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90425">
      <w:pPr>
        <w:ind w:right="338" w:rightChars="161"/>
        <w:jc w:val="right"/>
        <w:rPr>
          <w:rFonts w:eastAsia="楷体_GB2312"/>
          <w:sz w:val="36"/>
          <w:szCs w:val="36"/>
        </w:rPr>
      </w:pPr>
      <w:r>
        <w:rPr>
          <w:rFonts w:hint="eastAsia" w:eastAsia="楷体_GB2312"/>
          <w:sz w:val="36"/>
          <w:szCs w:val="36"/>
        </w:rPr>
        <w:t>达市矿通P【2025】01号</w:t>
      </w:r>
    </w:p>
    <w:p w14:paraId="654F7166">
      <w:pPr>
        <w:spacing w:line="600" w:lineRule="exact"/>
      </w:pPr>
    </w:p>
    <w:p w14:paraId="628F7FEC">
      <w:pPr>
        <w:pStyle w:val="6"/>
        <w:spacing w:after="0" w:line="600" w:lineRule="exact"/>
      </w:pPr>
    </w:p>
    <w:p w14:paraId="1DDD3147">
      <w:pPr>
        <w:spacing w:line="600" w:lineRule="exact"/>
      </w:pPr>
    </w:p>
    <w:p w14:paraId="7E18B974">
      <w:pPr>
        <w:spacing w:line="860" w:lineRule="exact"/>
        <w:jc w:val="center"/>
        <w:rPr>
          <w:rFonts w:eastAsia="方正小标宋简体"/>
          <w:bCs/>
          <w:w w:val="94"/>
          <w:sz w:val="52"/>
          <w:szCs w:val="52"/>
        </w:rPr>
      </w:pPr>
      <w:r>
        <w:rPr>
          <w:rFonts w:hint="eastAsia" w:eastAsia="方正小标宋简体"/>
          <w:bCs/>
          <w:w w:val="94"/>
          <w:sz w:val="52"/>
          <w:szCs w:val="52"/>
        </w:rPr>
        <w:t>达州市通川区双龙镇茶店村饰面用砂岩矿采矿权</w:t>
      </w:r>
      <w:r>
        <w:rPr>
          <w:rFonts w:eastAsia="方正小标宋简体"/>
          <w:bCs/>
          <w:w w:val="94"/>
          <w:sz w:val="52"/>
          <w:szCs w:val="52"/>
        </w:rPr>
        <w:t>拍卖出让文件</w:t>
      </w:r>
    </w:p>
    <w:p w14:paraId="1EAD18CA">
      <w:pPr>
        <w:pStyle w:val="6"/>
        <w:spacing w:after="0" w:line="640" w:lineRule="exact"/>
      </w:pPr>
    </w:p>
    <w:p w14:paraId="1ADFD048">
      <w:pPr>
        <w:pStyle w:val="6"/>
        <w:spacing w:after="0" w:line="640" w:lineRule="exact"/>
      </w:pPr>
    </w:p>
    <w:p w14:paraId="19D73445">
      <w:pPr>
        <w:pStyle w:val="6"/>
        <w:spacing w:after="0" w:line="640" w:lineRule="exact"/>
      </w:pPr>
    </w:p>
    <w:p w14:paraId="20879D17">
      <w:pPr>
        <w:pStyle w:val="6"/>
        <w:spacing w:after="0" w:line="640" w:lineRule="exact"/>
      </w:pPr>
    </w:p>
    <w:p w14:paraId="654E1D45">
      <w:pPr>
        <w:pStyle w:val="6"/>
        <w:spacing w:after="0" w:line="640" w:lineRule="exact"/>
      </w:pPr>
    </w:p>
    <w:p w14:paraId="2658BE7C">
      <w:pPr>
        <w:pStyle w:val="6"/>
        <w:spacing w:after="0" w:line="640" w:lineRule="exact"/>
      </w:pPr>
    </w:p>
    <w:p w14:paraId="7437A62E">
      <w:pPr>
        <w:spacing w:line="500" w:lineRule="exact"/>
        <w:ind w:left="1300" w:hanging="1300" w:hangingChars="250"/>
        <w:rPr>
          <w:rFonts w:eastAsia="黑体"/>
          <w:sz w:val="52"/>
          <w:szCs w:val="52"/>
        </w:rPr>
      </w:pPr>
    </w:p>
    <w:p w14:paraId="05114C1D">
      <w:pPr>
        <w:spacing w:line="700" w:lineRule="exact"/>
        <w:rPr>
          <w:rFonts w:eastAsia="方正小标宋简体"/>
          <w:bCs/>
          <w:sz w:val="44"/>
        </w:rPr>
      </w:pPr>
    </w:p>
    <w:p w14:paraId="5ABE0B8D">
      <w:pPr>
        <w:spacing w:line="700" w:lineRule="exact"/>
        <w:jc w:val="center"/>
        <w:rPr>
          <w:rFonts w:eastAsia="方正小标宋简体"/>
          <w:bCs/>
          <w:sz w:val="44"/>
        </w:rPr>
      </w:pPr>
      <w:r>
        <w:rPr>
          <w:rFonts w:hint="eastAsia" w:eastAsia="方正小标宋简体"/>
          <w:bCs/>
          <w:sz w:val="44"/>
        </w:rPr>
        <w:t>达州市通川区自然资源局</w:t>
      </w:r>
    </w:p>
    <w:p w14:paraId="7242EB83">
      <w:pPr>
        <w:pStyle w:val="6"/>
        <w:jc w:val="center"/>
        <w:rPr>
          <w:rFonts w:eastAsia="方正小标宋简体"/>
          <w:bCs/>
          <w:sz w:val="44"/>
        </w:rPr>
      </w:pPr>
      <w:r>
        <w:rPr>
          <w:rFonts w:eastAsia="方正小标宋简体"/>
          <w:bCs/>
          <w:sz w:val="44"/>
        </w:rPr>
        <w:t>达州市公共资源交易服务中心</w:t>
      </w:r>
    </w:p>
    <w:p w14:paraId="68E9D98B">
      <w:pPr>
        <w:spacing w:line="700" w:lineRule="exact"/>
        <w:jc w:val="center"/>
        <w:rPr>
          <w:rFonts w:eastAsia="方正小标宋简体"/>
          <w:bCs/>
          <w:sz w:val="44"/>
        </w:rPr>
      </w:pPr>
    </w:p>
    <w:p w14:paraId="07170FEE">
      <w:pPr>
        <w:spacing w:line="700" w:lineRule="exact"/>
        <w:jc w:val="center"/>
        <w:rPr>
          <w:rFonts w:eastAsia="方正小标宋简体"/>
          <w:bCs/>
          <w:sz w:val="44"/>
        </w:rPr>
        <w:sectPr>
          <w:headerReference r:id="rId5" w:type="first"/>
          <w:headerReference r:id="rId3" w:type="default"/>
          <w:footerReference r:id="rId6" w:type="default"/>
          <w:headerReference r:id="rId4" w:type="even"/>
          <w:footerReference r:id="rId7" w:type="even"/>
          <w:pgSz w:w="11906" w:h="16838"/>
          <w:pgMar w:top="2098" w:right="1474" w:bottom="1985" w:left="1588" w:header="851" w:footer="1588" w:gutter="0"/>
          <w:pgNumType w:fmt="numberInDash" w:start="1"/>
          <w:cols w:space="720" w:num="1"/>
          <w:docGrid w:linePitch="436" w:charSpace="0"/>
        </w:sectPr>
      </w:pPr>
    </w:p>
    <w:p w14:paraId="53D412B4">
      <w:pPr>
        <w:spacing w:line="700" w:lineRule="exact"/>
        <w:jc w:val="center"/>
        <w:rPr>
          <w:rFonts w:eastAsia="黑体"/>
          <w:bCs/>
          <w:sz w:val="44"/>
        </w:rPr>
      </w:pPr>
      <w:r>
        <w:rPr>
          <w:rFonts w:eastAsia="黑体"/>
          <w:bCs/>
          <w:sz w:val="44"/>
        </w:rPr>
        <w:t>目  录</w:t>
      </w:r>
    </w:p>
    <w:p w14:paraId="4D735E39">
      <w:pPr>
        <w:pStyle w:val="13"/>
        <w:tabs>
          <w:tab w:val="right" w:leader="dot" w:pos="8834"/>
        </w:tabs>
        <w:spacing w:line="600" w:lineRule="exact"/>
        <w:rPr>
          <w:rFonts w:ascii="仿宋" w:hAnsi="仿宋" w:eastAsia="仿宋"/>
          <w:sz w:val="28"/>
          <w:szCs w:val="28"/>
        </w:rPr>
      </w:pPr>
    </w:p>
    <w:p w14:paraId="33FD7A5F">
      <w:pPr>
        <w:pStyle w:val="13"/>
        <w:tabs>
          <w:tab w:val="right" w:leader="dot" w:pos="8834"/>
        </w:tabs>
        <w:spacing w:line="240" w:lineRule="auto"/>
        <w:rPr>
          <w:rFonts w:ascii="仿宋" w:hAnsi="仿宋" w:eastAsia="仿宋"/>
          <w:sz w:val="28"/>
          <w:szCs w:val="28"/>
        </w:rPr>
      </w:pPr>
      <w:r>
        <w:rPr>
          <w:rFonts w:ascii="仿宋" w:hAnsi="仿宋" w:eastAsia="仿宋"/>
          <w:color w:val="auto"/>
          <w:sz w:val="28"/>
          <w:szCs w:val="28"/>
          <w:u w:val="none"/>
        </w:rPr>
        <w:t>一、采矿权拍卖出</w:t>
      </w:r>
      <w:bookmarkStart w:id="0" w:name="_Hlt141385086"/>
      <w:r>
        <w:rPr>
          <w:rFonts w:ascii="仿宋" w:hAnsi="仿宋" w:eastAsia="仿宋"/>
          <w:color w:val="auto"/>
          <w:sz w:val="28"/>
          <w:szCs w:val="28"/>
          <w:u w:val="none"/>
        </w:rPr>
        <w:t>让</w:t>
      </w:r>
      <w:bookmarkEnd w:id="0"/>
      <w:r>
        <w:rPr>
          <w:rFonts w:ascii="仿宋" w:hAnsi="仿宋" w:eastAsia="仿宋"/>
          <w:color w:val="auto"/>
          <w:sz w:val="28"/>
          <w:szCs w:val="28"/>
          <w:u w:val="none"/>
        </w:rPr>
        <w:t>公告</w:t>
      </w:r>
      <w:r>
        <w:rPr>
          <w:rFonts w:ascii="仿宋" w:hAnsi="仿宋" w:eastAsia="仿宋"/>
          <w:sz w:val="28"/>
          <w:szCs w:val="28"/>
        </w:rPr>
        <w:tab/>
      </w:r>
      <w:r>
        <w:rPr>
          <w:rFonts w:ascii="仿宋" w:hAnsi="仿宋" w:eastAsia="仿宋"/>
          <w:sz w:val="28"/>
          <w:szCs w:val="28"/>
        </w:rPr>
        <w:t>- 1 -</w:t>
      </w:r>
    </w:p>
    <w:p w14:paraId="138558AC">
      <w:pPr>
        <w:pStyle w:val="13"/>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二、采矿权拍</w:t>
      </w:r>
      <w:bookmarkStart w:id="1" w:name="_Hlt141385076"/>
      <w:bookmarkStart w:id="2" w:name="_Hlt141385075"/>
      <w:r>
        <w:rPr>
          <w:rFonts w:ascii="仿宋" w:hAnsi="仿宋" w:eastAsia="仿宋"/>
          <w:color w:val="auto"/>
          <w:sz w:val="28"/>
          <w:szCs w:val="28"/>
          <w:u w:val="none"/>
        </w:rPr>
        <w:t>卖</w:t>
      </w:r>
      <w:bookmarkEnd w:id="1"/>
      <w:bookmarkEnd w:id="2"/>
      <w:bookmarkStart w:id="3" w:name="_Hlt141478676"/>
      <w:bookmarkStart w:id="4" w:name="_Hlt141478677"/>
      <w:r>
        <w:rPr>
          <w:rFonts w:ascii="仿宋" w:hAnsi="仿宋" w:eastAsia="仿宋"/>
          <w:color w:val="auto"/>
          <w:sz w:val="28"/>
          <w:szCs w:val="28"/>
          <w:u w:val="none"/>
        </w:rPr>
        <w:t>出</w:t>
      </w:r>
      <w:bookmarkEnd w:id="3"/>
      <w:bookmarkEnd w:id="4"/>
      <w:bookmarkStart w:id="5" w:name="_Hlt141275834"/>
      <w:bookmarkStart w:id="6" w:name="_Hlt141275833"/>
      <w:r>
        <w:rPr>
          <w:rFonts w:ascii="仿宋" w:hAnsi="仿宋" w:eastAsia="仿宋"/>
          <w:color w:val="auto"/>
          <w:sz w:val="28"/>
          <w:szCs w:val="28"/>
          <w:u w:val="none"/>
        </w:rPr>
        <w:t>让</w:t>
      </w:r>
      <w:bookmarkEnd w:id="5"/>
      <w:bookmarkEnd w:id="6"/>
      <w:r>
        <w:rPr>
          <w:rFonts w:ascii="仿宋" w:hAnsi="仿宋" w:eastAsia="仿宋"/>
          <w:color w:val="auto"/>
          <w:sz w:val="28"/>
          <w:szCs w:val="28"/>
          <w:u w:val="none"/>
        </w:rPr>
        <w:t>须知</w:t>
      </w:r>
      <w:r>
        <w:rPr>
          <w:rFonts w:ascii="仿宋" w:hAnsi="仿宋" w:eastAsia="仿宋"/>
          <w:sz w:val="28"/>
          <w:szCs w:val="28"/>
        </w:rPr>
        <w:tab/>
      </w:r>
      <w:r>
        <w:rPr>
          <w:rFonts w:ascii="仿宋" w:hAnsi="仿宋" w:eastAsia="仿宋"/>
          <w:sz w:val="28"/>
          <w:szCs w:val="28"/>
        </w:rPr>
        <w:t>- 10 -</w:t>
      </w:r>
    </w:p>
    <w:p w14:paraId="1B4A56B8">
      <w:pPr>
        <w:pStyle w:val="13"/>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三、竞买申请书（样本）</w:t>
      </w:r>
      <w:r>
        <w:rPr>
          <w:rFonts w:ascii="仿宋" w:hAnsi="仿宋" w:eastAsia="仿宋"/>
          <w:sz w:val="28"/>
          <w:szCs w:val="28"/>
        </w:rPr>
        <w:tab/>
      </w:r>
      <w:r>
        <w:rPr>
          <w:rFonts w:ascii="仿宋" w:hAnsi="仿宋" w:eastAsia="仿宋"/>
          <w:sz w:val="28"/>
          <w:szCs w:val="28"/>
        </w:rPr>
        <w:t>- 27 -</w:t>
      </w:r>
    </w:p>
    <w:p w14:paraId="194754B4">
      <w:pPr>
        <w:pStyle w:val="13"/>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四、竞买承诺书（样本）</w:t>
      </w:r>
      <w:r>
        <w:rPr>
          <w:rFonts w:ascii="仿宋" w:hAnsi="仿宋" w:eastAsia="仿宋"/>
          <w:sz w:val="28"/>
          <w:szCs w:val="28"/>
        </w:rPr>
        <w:tab/>
      </w:r>
      <w:r>
        <w:rPr>
          <w:rFonts w:ascii="仿宋" w:hAnsi="仿宋" w:eastAsia="仿宋"/>
          <w:sz w:val="28"/>
          <w:szCs w:val="28"/>
        </w:rPr>
        <w:t>- 29 -</w:t>
      </w:r>
    </w:p>
    <w:p w14:paraId="5E53D434">
      <w:pPr>
        <w:pStyle w:val="13"/>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五、无失信行为承诺书（样本）</w:t>
      </w:r>
      <w:r>
        <w:rPr>
          <w:rFonts w:ascii="仿宋" w:hAnsi="仿宋" w:eastAsia="仿宋"/>
          <w:sz w:val="28"/>
          <w:szCs w:val="28"/>
        </w:rPr>
        <w:tab/>
      </w:r>
      <w:r>
        <w:rPr>
          <w:rFonts w:ascii="仿宋" w:hAnsi="仿宋" w:eastAsia="仿宋"/>
          <w:sz w:val="28"/>
          <w:szCs w:val="28"/>
        </w:rPr>
        <w:t>- 29 -</w:t>
      </w:r>
    </w:p>
    <w:p w14:paraId="6C7D1129">
      <w:pPr>
        <w:pStyle w:val="13"/>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六、法定代</w:t>
      </w:r>
      <w:bookmarkStart w:id="7" w:name="_Hlt141385095"/>
      <w:r>
        <w:rPr>
          <w:rFonts w:ascii="仿宋" w:hAnsi="仿宋" w:eastAsia="仿宋"/>
          <w:color w:val="auto"/>
          <w:sz w:val="28"/>
          <w:szCs w:val="28"/>
          <w:u w:val="none"/>
        </w:rPr>
        <w:t>表</w:t>
      </w:r>
      <w:bookmarkEnd w:id="7"/>
      <w:r>
        <w:rPr>
          <w:rFonts w:ascii="仿宋" w:hAnsi="仿宋" w:eastAsia="仿宋"/>
          <w:color w:val="auto"/>
          <w:sz w:val="28"/>
          <w:szCs w:val="28"/>
          <w:u w:val="none"/>
        </w:rPr>
        <w:t>人身份证明书（样本）</w:t>
      </w:r>
      <w:r>
        <w:rPr>
          <w:rFonts w:ascii="仿宋" w:hAnsi="仿宋" w:eastAsia="仿宋"/>
          <w:sz w:val="28"/>
          <w:szCs w:val="28"/>
        </w:rPr>
        <w:tab/>
      </w:r>
      <w:r>
        <w:rPr>
          <w:rFonts w:ascii="仿宋" w:hAnsi="仿宋" w:eastAsia="仿宋"/>
          <w:sz w:val="28"/>
          <w:szCs w:val="28"/>
        </w:rPr>
        <w:t>- 33 -</w:t>
      </w:r>
    </w:p>
    <w:p w14:paraId="0E7292FE">
      <w:pPr>
        <w:pStyle w:val="13"/>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七、授权</w:t>
      </w:r>
      <w:bookmarkStart w:id="8" w:name="_Hlt141275871"/>
      <w:r>
        <w:rPr>
          <w:rFonts w:ascii="仿宋" w:hAnsi="仿宋" w:eastAsia="仿宋"/>
          <w:color w:val="auto"/>
          <w:sz w:val="28"/>
          <w:szCs w:val="28"/>
          <w:u w:val="none"/>
        </w:rPr>
        <w:t>委</w:t>
      </w:r>
      <w:bookmarkEnd w:id="8"/>
      <w:r>
        <w:rPr>
          <w:rFonts w:ascii="仿宋" w:hAnsi="仿宋" w:eastAsia="仿宋"/>
          <w:color w:val="auto"/>
          <w:sz w:val="28"/>
          <w:szCs w:val="28"/>
          <w:u w:val="none"/>
        </w:rPr>
        <w:t>托</w:t>
      </w:r>
      <w:bookmarkStart w:id="9" w:name="_Hlt141218320"/>
      <w:r>
        <w:rPr>
          <w:rFonts w:ascii="仿宋" w:hAnsi="仿宋" w:eastAsia="仿宋"/>
          <w:color w:val="auto"/>
          <w:sz w:val="28"/>
          <w:szCs w:val="28"/>
          <w:u w:val="none"/>
        </w:rPr>
        <w:t>书</w:t>
      </w:r>
      <w:bookmarkEnd w:id="9"/>
      <w:r>
        <w:rPr>
          <w:rFonts w:ascii="仿宋" w:hAnsi="仿宋" w:eastAsia="仿宋"/>
          <w:color w:val="auto"/>
          <w:sz w:val="28"/>
          <w:szCs w:val="28"/>
          <w:u w:val="none"/>
        </w:rPr>
        <w:t>（样本）</w:t>
      </w:r>
      <w:r>
        <w:rPr>
          <w:rFonts w:ascii="仿宋" w:hAnsi="仿宋" w:eastAsia="仿宋"/>
          <w:sz w:val="28"/>
          <w:szCs w:val="28"/>
        </w:rPr>
        <w:tab/>
      </w:r>
      <w:r>
        <w:rPr>
          <w:rFonts w:ascii="仿宋" w:hAnsi="仿宋" w:eastAsia="仿宋"/>
          <w:sz w:val="28"/>
          <w:szCs w:val="28"/>
        </w:rPr>
        <w:t>- 34 -</w:t>
      </w:r>
    </w:p>
    <w:p w14:paraId="39F09D1D">
      <w:pPr>
        <w:pStyle w:val="13"/>
        <w:tabs>
          <w:tab w:val="right" w:leader="dot" w:pos="8834"/>
        </w:tabs>
        <w:spacing w:line="600" w:lineRule="exact"/>
        <w:rPr>
          <w:rFonts w:ascii="仿宋" w:hAnsi="仿宋" w:eastAsia="仿宋"/>
          <w:sz w:val="28"/>
          <w:szCs w:val="28"/>
        </w:rPr>
      </w:pPr>
      <w:r>
        <w:rPr>
          <w:rFonts w:ascii="仿宋" w:hAnsi="仿宋" w:eastAsia="仿宋"/>
          <w:color w:val="auto"/>
          <w:sz w:val="28"/>
          <w:szCs w:val="28"/>
          <w:u w:val="none"/>
        </w:rPr>
        <w:t>八、成交确认</w:t>
      </w:r>
      <w:bookmarkStart w:id="10" w:name="_Hlt141218331"/>
      <w:r>
        <w:rPr>
          <w:rFonts w:ascii="仿宋" w:hAnsi="仿宋" w:eastAsia="仿宋"/>
          <w:color w:val="auto"/>
          <w:sz w:val="28"/>
          <w:szCs w:val="28"/>
          <w:u w:val="none"/>
        </w:rPr>
        <w:t>书</w:t>
      </w:r>
      <w:bookmarkEnd w:id="10"/>
      <w:r>
        <w:rPr>
          <w:rFonts w:ascii="仿宋" w:hAnsi="仿宋" w:eastAsia="仿宋"/>
          <w:color w:val="auto"/>
          <w:sz w:val="28"/>
          <w:szCs w:val="28"/>
          <w:u w:val="none"/>
        </w:rPr>
        <w:t>（样本）</w:t>
      </w:r>
      <w:r>
        <w:rPr>
          <w:rFonts w:ascii="仿宋" w:hAnsi="仿宋" w:eastAsia="仿宋"/>
          <w:sz w:val="28"/>
          <w:szCs w:val="28"/>
        </w:rPr>
        <w:tab/>
      </w:r>
      <w:r>
        <w:rPr>
          <w:rFonts w:ascii="仿宋" w:hAnsi="仿宋" w:eastAsia="仿宋"/>
          <w:sz w:val="28"/>
          <w:szCs w:val="28"/>
        </w:rPr>
        <w:t>- 35 -</w:t>
      </w:r>
    </w:p>
    <w:p w14:paraId="2860F050">
      <w:pPr>
        <w:pStyle w:val="13"/>
        <w:tabs>
          <w:tab w:val="right" w:leader="dot" w:pos="8834"/>
        </w:tabs>
        <w:spacing w:line="600" w:lineRule="exact"/>
        <w:rPr>
          <w:rFonts w:ascii="仿宋" w:hAnsi="仿宋" w:eastAsia="仿宋"/>
          <w:color w:val="auto"/>
          <w:sz w:val="28"/>
          <w:szCs w:val="28"/>
          <w:u w:val="none"/>
        </w:rPr>
      </w:pPr>
      <w:r>
        <w:rPr>
          <w:rFonts w:ascii="仿宋" w:hAnsi="仿宋" w:eastAsia="仿宋"/>
          <w:color w:val="auto"/>
          <w:sz w:val="28"/>
          <w:szCs w:val="28"/>
          <w:u w:val="none"/>
        </w:rPr>
        <w:t>九、矿区</w:t>
      </w:r>
      <w:bookmarkStart w:id="11" w:name="_Hlt141218340"/>
      <w:bookmarkStart w:id="12" w:name="_Hlt141229319"/>
      <w:r>
        <w:rPr>
          <w:rFonts w:ascii="仿宋" w:hAnsi="仿宋" w:eastAsia="仿宋"/>
          <w:color w:val="auto"/>
          <w:sz w:val="28"/>
          <w:szCs w:val="28"/>
          <w:u w:val="none"/>
        </w:rPr>
        <w:t>范</w:t>
      </w:r>
      <w:bookmarkEnd w:id="11"/>
      <w:bookmarkEnd w:id="12"/>
      <w:r>
        <w:rPr>
          <w:rFonts w:ascii="仿宋" w:hAnsi="仿宋" w:eastAsia="仿宋"/>
          <w:color w:val="auto"/>
          <w:sz w:val="28"/>
          <w:szCs w:val="28"/>
          <w:u w:val="none"/>
        </w:rPr>
        <w:t>围图</w:t>
      </w:r>
      <w:r>
        <w:rPr>
          <w:rFonts w:ascii="仿宋" w:hAnsi="仿宋" w:eastAsia="仿宋"/>
          <w:color w:val="auto"/>
          <w:sz w:val="28"/>
          <w:szCs w:val="28"/>
          <w:u w:val="none"/>
        </w:rPr>
        <w:tab/>
      </w:r>
      <w:r>
        <w:rPr>
          <w:rFonts w:ascii="仿宋" w:hAnsi="仿宋" w:eastAsia="仿宋"/>
          <w:color w:val="auto"/>
          <w:sz w:val="28"/>
          <w:szCs w:val="28"/>
          <w:u w:val="none"/>
        </w:rPr>
        <w:t>- 37 -</w:t>
      </w:r>
    </w:p>
    <w:p w14:paraId="19D7B0A7">
      <w:pPr>
        <w:pStyle w:val="13"/>
        <w:tabs>
          <w:tab w:val="right" w:leader="dot" w:pos="8834"/>
        </w:tabs>
        <w:spacing w:line="600" w:lineRule="exact"/>
        <w:rPr>
          <w:rFonts w:ascii="Times New Roman" w:hAnsi="Times New Roman" w:eastAsia="仿宋_GB2312"/>
          <w:color w:val="auto"/>
          <w:u w:val="none"/>
        </w:rPr>
      </w:pPr>
      <w:r>
        <w:rPr>
          <w:rFonts w:ascii="仿宋" w:hAnsi="仿宋" w:eastAsia="仿宋" w:cs="Times New Roman"/>
          <w:color w:val="auto"/>
          <w:kern w:val="2"/>
          <w:sz w:val="28"/>
          <w:szCs w:val="28"/>
          <w:lang w:val="en-US" w:eastAsia="zh-CN" w:bidi="ar-SA"/>
        </w:rPr>
        <w:t>十</w:t>
      </w:r>
      <w:r>
        <w:rPr>
          <w:rFonts w:hint="eastAsia" w:ascii="仿宋" w:hAnsi="仿宋" w:eastAsia="仿宋" w:cs="Times New Roman"/>
          <w:color w:val="auto"/>
          <w:kern w:val="2"/>
          <w:sz w:val="28"/>
          <w:szCs w:val="28"/>
          <w:lang w:val="en-US" w:eastAsia="zh-CN" w:bidi="ar-SA"/>
        </w:rPr>
        <w:t>一</w:t>
      </w:r>
      <w:r>
        <w:rPr>
          <w:rFonts w:ascii="仿宋" w:hAnsi="仿宋" w:eastAsia="仿宋" w:cs="Times New Roman"/>
          <w:color w:val="auto"/>
          <w:kern w:val="2"/>
          <w:sz w:val="28"/>
          <w:szCs w:val="28"/>
          <w:lang w:val="en-US" w:eastAsia="zh-CN" w:bidi="ar-SA"/>
        </w:rPr>
        <w:t>、</w:t>
      </w:r>
      <w:r>
        <w:rPr>
          <w:rFonts w:hint="eastAsia" w:ascii="仿宋" w:hAnsi="仿宋" w:eastAsia="仿宋" w:cs="Times New Roman"/>
          <w:color w:val="auto"/>
          <w:kern w:val="2"/>
          <w:sz w:val="28"/>
          <w:szCs w:val="28"/>
          <w:lang w:val="en-US" w:eastAsia="zh-CN" w:bidi="ar-SA"/>
        </w:rPr>
        <w:t>三区三线套合图</w:t>
      </w:r>
      <w:r>
        <w:rPr>
          <w:rFonts w:ascii="仿宋" w:hAnsi="仿宋" w:eastAsia="仿宋" w:cs="Times New Roman"/>
          <w:color w:val="auto"/>
          <w:kern w:val="2"/>
          <w:sz w:val="28"/>
          <w:szCs w:val="28"/>
          <w:lang w:val="en-US" w:eastAsia="zh-CN" w:bidi="ar-SA"/>
        </w:rPr>
        <w:tab/>
      </w:r>
      <w:r>
        <w:rPr>
          <w:rFonts w:ascii="仿宋" w:hAnsi="仿宋" w:eastAsia="仿宋" w:cs="Times New Roman"/>
          <w:color w:val="auto"/>
          <w:kern w:val="2"/>
          <w:sz w:val="28"/>
          <w:szCs w:val="28"/>
          <w:lang w:val="en-US" w:eastAsia="zh-CN" w:bidi="ar-SA"/>
        </w:rPr>
        <w:t>- 3</w:t>
      </w:r>
      <w:r>
        <w:rPr>
          <w:rFonts w:hint="eastAsia" w:ascii="仿宋" w:hAnsi="仿宋" w:eastAsia="仿宋" w:cs="Times New Roman"/>
          <w:color w:val="auto"/>
          <w:kern w:val="2"/>
          <w:sz w:val="28"/>
          <w:szCs w:val="28"/>
          <w:lang w:val="en-US" w:eastAsia="zh-CN" w:bidi="ar-SA"/>
        </w:rPr>
        <w:t>8</w:t>
      </w:r>
      <w:r>
        <w:rPr>
          <w:rFonts w:ascii="仿宋" w:hAnsi="仿宋" w:eastAsia="仿宋" w:cs="Times New Roman"/>
          <w:color w:val="auto"/>
          <w:kern w:val="2"/>
          <w:sz w:val="28"/>
          <w:szCs w:val="28"/>
          <w:lang w:val="en-US" w:eastAsia="zh-CN" w:bidi="ar-SA"/>
        </w:rPr>
        <w:t xml:space="preserve"> -</w:t>
      </w:r>
    </w:p>
    <w:p w14:paraId="2557E373">
      <w:pPr>
        <w:pStyle w:val="13"/>
        <w:tabs>
          <w:tab w:val="right" w:leader="dot" w:pos="8834"/>
        </w:tabs>
        <w:spacing w:line="600" w:lineRule="exact"/>
        <w:rPr>
          <w:rFonts w:ascii="Times New Roman" w:hAnsi="Times New Roman" w:eastAsia="仿宋_GB2312"/>
          <w:color w:val="auto"/>
          <w:u w:val="none"/>
        </w:rPr>
      </w:pPr>
      <w:r>
        <w:rPr>
          <w:rFonts w:ascii="仿宋" w:hAnsi="仿宋" w:eastAsia="仿宋" w:cs="Times New Roman"/>
          <w:color w:val="auto"/>
          <w:kern w:val="2"/>
          <w:sz w:val="28"/>
          <w:szCs w:val="28"/>
          <w:lang w:val="en-US" w:eastAsia="zh-CN" w:bidi="ar-SA"/>
        </w:rPr>
        <w:t>十</w:t>
      </w:r>
      <w:r>
        <w:rPr>
          <w:rFonts w:hint="eastAsia" w:ascii="仿宋" w:hAnsi="仿宋" w:eastAsia="仿宋" w:cs="Times New Roman"/>
          <w:color w:val="auto"/>
          <w:kern w:val="2"/>
          <w:sz w:val="28"/>
          <w:szCs w:val="28"/>
          <w:lang w:val="en-US" w:eastAsia="zh-CN" w:bidi="ar-SA"/>
        </w:rPr>
        <w:t>二</w:t>
      </w:r>
      <w:r>
        <w:rPr>
          <w:rFonts w:ascii="仿宋" w:hAnsi="仿宋" w:eastAsia="仿宋" w:cs="Times New Roman"/>
          <w:color w:val="auto"/>
          <w:kern w:val="2"/>
          <w:sz w:val="28"/>
          <w:szCs w:val="28"/>
          <w:lang w:val="en-US" w:eastAsia="zh-CN" w:bidi="ar-SA"/>
        </w:rPr>
        <w:t>、</w:t>
      </w:r>
      <w:r>
        <w:rPr>
          <w:rFonts w:hint="eastAsia" w:ascii="仿宋" w:hAnsi="仿宋" w:eastAsia="仿宋" w:cs="Times New Roman"/>
          <w:color w:val="auto"/>
          <w:kern w:val="2"/>
          <w:sz w:val="28"/>
          <w:szCs w:val="28"/>
          <w:lang w:val="en-US" w:eastAsia="zh-CN" w:bidi="ar-SA"/>
        </w:rPr>
        <w:t>进矿道路示意图</w:t>
      </w:r>
      <w:r>
        <w:rPr>
          <w:rFonts w:ascii="仿宋" w:hAnsi="仿宋" w:eastAsia="仿宋" w:cs="Times New Roman"/>
          <w:color w:val="auto"/>
          <w:kern w:val="2"/>
          <w:sz w:val="28"/>
          <w:szCs w:val="28"/>
          <w:lang w:val="en-US" w:eastAsia="zh-CN" w:bidi="ar-SA"/>
        </w:rPr>
        <w:tab/>
      </w:r>
      <w:r>
        <w:rPr>
          <w:rFonts w:ascii="仿宋" w:hAnsi="仿宋" w:eastAsia="仿宋" w:cs="Times New Roman"/>
          <w:color w:val="auto"/>
          <w:kern w:val="2"/>
          <w:sz w:val="28"/>
          <w:szCs w:val="28"/>
          <w:lang w:val="en-US" w:eastAsia="zh-CN" w:bidi="ar-SA"/>
        </w:rPr>
        <w:t xml:space="preserve">- </w:t>
      </w:r>
      <w:r>
        <w:rPr>
          <w:rFonts w:hint="eastAsia" w:ascii="仿宋" w:hAnsi="仿宋" w:eastAsia="仿宋" w:cs="Times New Roman"/>
          <w:color w:val="auto"/>
          <w:kern w:val="2"/>
          <w:sz w:val="28"/>
          <w:szCs w:val="28"/>
          <w:lang w:val="en-US" w:eastAsia="zh-CN" w:bidi="ar-SA"/>
        </w:rPr>
        <w:t>39</w:t>
      </w:r>
      <w:r>
        <w:rPr>
          <w:rFonts w:ascii="仿宋" w:hAnsi="仿宋" w:eastAsia="仿宋" w:cs="Times New Roman"/>
          <w:color w:val="auto"/>
          <w:kern w:val="2"/>
          <w:sz w:val="28"/>
          <w:szCs w:val="28"/>
          <w:lang w:val="en-US" w:eastAsia="zh-CN" w:bidi="ar-SA"/>
        </w:rPr>
        <w:t xml:space="preserve"> -</w:t>
      </w:r>
    </w:p>
    <w:p w14:paraId="671913B2">
      <w:pPr>
        <w:pStyle w:val="13"/>
        <w:tabs>
          <w:tab w:val="right" w:leader="dot" w:pos="8834"/>
        </w:tabs>
        <w:spacing w:line="600" w:lineRule="exact"/>
        <w:rPr>
          <w:rFonts w:ascii="Times New Roman" w:hAnsi="Times New Roman" w:eastAsia="仿宋_GB2312"/>
          <w:color w:val="auto"/>
          <w:u w:val="none"/>
        </w:rPr>
      </w:pPr>
      <w:r>
        <w:rPr>
          <w:rFonts w:ascii="仿宋" w:hAnsi="仿宋" w:eastAsia="仿宋" w:cs="Times New Roman"/>
          <w:color w:val="auto"/>
          <w:kern w:val="2"/>
          <w:sz w:val="28"/>
          <w:szCs w:val="28"/>
          <w:lang w:val="en-US" w:eastAsia="zh-CN" w:bidi="ar-SA"/>
        </w:rPr>
        <w:t>十</w:t>
      </w:r>
      <w:r>
        <w:rPr>
          <w:rFonts w:hint="eastAsia" w:ascii="仿宋" w:hAnsi="仿宋" w:eastAsia="仿宋" w:cs="Times New Roman"/>
          <w:color w:val="auto"/>
          <w:kern w:val="2"/>
          <w:sz w:val="28"/>
          <w:szCs w:val="28"/>
          <w:lang w:val="en-US" w:eastAsia="zh-CN" w:bidi="ar-SA"/>
        </w:rPr>
        <w:t>三</w:t>
      </w:r>
      <w:r>
        <w:rPr>
          <w:rFonts w:ascii="仿宋" w:hAnsi="仿宋" w:eastAsia="仿宋" w:cs="Times New Roman"/>
          <w:color w:val="auto"/>
          <w:kern w:val="2"/>
          <w:sz w:val="28"/>
          <w:szCs w:val="28"/>
          <w:lang w:val="en-US" w:eastAsia="zh-CN" w:bidi="ar-SA"/>
        </w:rPr>
        <w:t>、采矿权</w:t>
      </w:r>
      <w:bookmarkStart w:id="13" w:name="_Hlt141218348"/>
      <w:r>
        <w:rPr>
          <w:rFonts w:ascii="仿宋" w:hAnsi="仿宋" w:eastAsia="仿宋" w:cs="Times New Roman"/>
          <w:color w:val="auto"/>
          <w:kern w:val="2"/>
          <w:sz w:val="28"/>
          <w:szCs w:val="28"/>
          <w:lang w:val="en-US" w:eastAsia="zh-CN" w:bidi="ar-SA"/>
        </w:rPr>
        <w:t>出</w:t>
      </w:r>
      <w:bookmarkEnd w:id="13"/>
      <w:r>
        <w:rPr>
          <w:rFonts w:ascii="仿宋" w:hAnsi="仿宋" w:eastAsia="仿宋" w:cs="Times New Roman"/>
          <w:color w:val="auto"/>
          <w:kern w:val="2"/>
          <w:sz w:val="28"/>
          <w:szCs w:val="28"/>
          <w:lang w:val="en-US" w:eastAsia="zh-CN" w:bidi="ar-SA"/>
        </w:rPr>
        <w:t>让合同（样本）</w:t>
      </w:r>
      <w:r>
        <w:rPr>
          <w:rFonts w:ascii="仿宋" w:hAnsi="仿宋" w:eastAsia="仿宋" w:cs="Times New Roman"/>
          <w:color w:val="auto"/>
          <w:kern w:val="2"/>
          <w:sz w:val="28"/>
          <w:szCs w:val="28"/>
          <w:lang w:val="en-US" w:eastAsia="zh-CN" w:bidi="ar-SA"/>
        </w:rPr>
        <w:tab/>
      </w:r>
      <w:r>
        <w:rPr>
          <w:rFonts w:ascii="仿宋" w:hAnsi="仿宋" w:eastAsia="仿宋" w:cs="Times New Roman"/>
          <w:color w:val="auto"/>
          <w:kern w:val="2"/>
          <w:sz w:val="28"/>
          <w:szCs w:val="28"/>
          <w:lang w:val="en-US" w:eastAsia="zh-CN" w:bidi="ar-SA"/>
        </w:rPr>
        <w:t xml:space="preserve">- </w:t>
      </w:r>
      <w:r>
        <w:rPr>
          <w:rFonts w:hint="eastAsia" w:ascii="仿宋" w:hAnsi="仿宋" w:eastAsia="仿宋" w:cs="Times New Roman"/>
          <w:color w:val="auto"/>
          <w:kern w:val="2"/>
          <w:sz w:val="28"/>
          <w:szCs w:val="28"/>
          <w:lang w:val="en-US" w:eastAsia="zh-CN" w:bidi="ar-SA"/>
        </w:rPr>
        <w:t>40</w:t>
      </w:r>
      <w:r>
        <w:rPr>
          <w:rFonts w:ascii="仿宋" w:hAnsi="仿宋" w:eastAsia="仿宋" w:cs="Times New Roman"/>
          <w:color w:val="auto"/>
          <w:kern w:val="2"/>
          <w:sz w:val="28"/>
          <w:szCs w:val="28"/>
          <w:lang w:val="en-US" w:eastAsia="zh-CN" w:bidi="ar-SA"/>
        </w:rPr>
        <w:t xml:space="preserve"> -</w:t>
      </w:r>
    </w:p>
    <w:p w14:paraId="3E4612C4">
      <w:pPr>
        <w:spacing w:line="600" w:lineRule="exact"/>
        <w:ind w:firstLine="200"/>
      </w:pPr>
    </w:p>
    <w:p w14:paraId="29FEF6B5">
      <w:pPr>
        <w:spacing w:line="580" w:lineRule="exact"/>
        <w:jc w:val="center"/>
        <w:rPr>
          <w:rFonts w:eastAsia="方正小标宋简体"/>
          <w:sz w:val="44"/>
          <w:szCs w:val="44"/>
        </w:rPr>
        <w:sectPr>
          <w:footerReference r:id="rId8" w:type="default"/>
          <w:pgSz w:w="11906" w:h="16838"/>
          <w:pgMar w:top="2098" w:right="1474" w:bottom="1985" w:left="1588" w:header="851" w:footer="1588" w:gutter="0"/>
          <w:pgNumType w:fmt="numberInDash"/>
          <w:cols w:space="720" w:num="1"/>
          <w:titlePg/>
          <w:docGrid w:linePitch="436" w:charSpace="0"/>
        </w:sectPr>
      </w:pPr>
    </w:p>
    <w:p w14:paraId="5246ED37">
      <w:pPr>
        <w:spacing w:line="6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达州市通川区自然资源局</w:t>
      </w:r>
    </w:p>
    <w:p w14:paraId="58DD8750">
      <w:pPr>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达州市公共资源交易服务中心</w:t>
      </w:r>
    </w:p>
    <w:p w14:paraId="61912A4C">
      <w:pPr>
        <w:spacing w:line="600" w:lineRule="exact"/>
        <w:jc w:val="center"/>
        <w:rPr>
          <w:rFonts w:hint="eastAsia" w:ascii="Times New Roman" w:hAnsi="Times New Roman" w:eastAsia="方正小标宋简体"/>
          <w:sz w:val="44"/>
          <w:szCs w:val="44"/>
        </w:rPr>
      </w:pPr>
      <w:bookmarkStart w:id="14" w:name="_Toc141217384"/>
      <w:bookmarkStart w:id="15" w:name="_Toc141217780"/>
      <w:bookmarkStart w:id="16" w:name="_Toc141218087"/>
      <w:r>
        <w:rPr>
          <w:rFonts w:hint="eastAsia" w:ascii="Times New Roman" w:hAnsi="Times New Roman" w:eastAsia="方正小标宋简体"/>
          <w:sz w:val="44"/>
          <w:szCs w:val="44"/>
        </w:rPr>
        <w:t>达州市通川区东岳镇玉钟村、双龙镇茶店村</w:t>
      </w:r>
    </w:p>
    <w:p w14:paraId="1C6B4DE2">
      <w:pPr>
        <w:spacing w:line="6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饰面用砂岩矿采矿权</w:t>
      </w:r>
      <w:r>
        <w:rPr>
          <w:rFonts w:ascii="Times New Roman" w:hAnsi="Times New Roman" w:eastAsia="方正小标宋简体"/>
          <w:sz w:val="44"/>
          <w:szCs w:val="44"/>
        </w:rPr>
        <w:t>拍卖出让公告</w:t>
      </w:r>
      <w:bookmarkEnd w:id="14"/>
      <w:bookmarkEnd w:id="15"/>
      <w:bookmarkEnd w:id="16"/>
    </w:p>
    <w:p w14:paraId="11236DD8">
      <w:pPr>
        <w:spacing w:line="600" w:lineRule="exact"/>
        <w:jc w:val="center"/>
        <w:rPr>
          <w:rFonts w:ascii="Times New Roman" w:hAnsi="Times New Roman" w:eastAsia="方正小标宋简体"/>
          <w:sz w:val="44"/>
          <w:szCs w:val="44"/>
        </w:rPr>
      </w:pPr>
    </w:p>
    <w:p w14:paraId="578DA237">
      <w:pPr>
        <w:spacing w:line="600" w:lineRule="exact"/>
        <w:jc w:val="center"/>
        <w:rPr>
          <w:rFonts w:ascii="Times New Roman" w:hAnsi="Times New Roman" w:eastAsia="方正小标宋简体"/>
          <w:b/>
          <w:sz w:val="32"/>
          <w:szCs w:val="32"/>
        </w:rPr>
      </w:pPr>
      <w:r>
        <w:rPr>
          <w:rFonts w:hint="eastAsia" w:ascii="Times New Roman" w:hAnsi="Times New Roman" w:eastAsia="方正小标宋简体"/>
          <w:sz w:val="32"/>
          <w:szCs w:val="32"/>
        </w:rPr>
        <w:t>达市矿通P【2025】01号</w:t>
      </w:r>
    </w:p>
    <w:p w14:paraId="2077884E">
      <w:pPr>
        <w:spacing w:line="400" w:lineRule="exact"/>
        <w:jc w:val="center"/>
        <w:rPr>
          <w:rFonts w:eastAsia="仿宋_GB2312"/>
          <w:sz w:val="32"/>
          <w:szCs w:val="32"/>
        </w:rPr>
      </w:pPr>
    </w:p>
    <w:p w14:paraId="31E50D83">
      <w:pPr>
        <w:spacing w:line="579"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根据《中华人民共和国矿产资源法》《矿业权出让交易规则》及有关法律法规的规定，经</w:t>
      </w:r>
      <w:r>
        <w:rPr>
          <w:rFonts w:hint="eastAsia" w:ascii="仿宋" w:hAnsi="仿宋" w:eastAsia="仿宋"/>
          <w:color w:val="auto"/>
          <w:sz w:val="32"/>
          <w:szCs w:val="32"/>
        </w:rPr>
        <w:t>达州市通川区人民政府</w:t>
      </w:r>
      <w:r>
        <w:rPr>
          <w:rFonts w:hint="eastAsia" w:ascii="仿宋" w:hAnsi="仿宋" w:eastAsia="仿宋" w:cs="仿宋_GB2312"/>
          <w:sz w:val="32"/>
          <w:szCs w:val="32"/>
        </w:rPr>
        <w:t>批准，达州市通川区自然资源局决定以拍卖方式公开出让</w:t>
      </w:r>
      <w:r>
        <w:rPr>
          <w:rFonts w:hint="eastAsia" w:ascii="仿宋" w:hAnsi="仿宋" w:eastAsia="仿宋" w:cs="仿宋_GB2312"/>
          <w:sz w:val="32"/>
          <w:szCs w:val="32"/>
          <w:u w:val="single"/>
        </w:rPr>
        <w:t>达州市通川区东岳镇玉钟村、双龙镇茶店村饰面用砂岩矿采矿权</w:t>
      </w:r>
      <w:r>
        <w:rPr>
          <w:rFonts w:hint="eastAsia" w:ascii="仿宋" w:hAnsi="仿宋" w:eastAsia="仿宋" w:cs="仿宋_GB2312"/>
          <w:sz w:val="32"/>
          <w:szCs w:val="32"/>
        </w:rPr>
        <w:t>。达州市公共资源交易服务中心受出让人委托对以上采矿权组织拍卖活动。现将有关事项公告如下：</w:t>
      </w:r>
    </w:p>
    <w:p w14:paraId="15336024">
      <w:pPr>
        <w:widowControl/>
        <w:spacing w:line="540" w:lineRule="exact"/>
        <w:ind w:firstLine="640" w:firstLineChars="200"/>
        <w:jc w:val="left"/>
        <w:rPr>
          <w:rFonts w:eastAsia="黑体"/>
          <w:kern w:val="0"/>
          <w:sz w:val="32"/>
          <w:szCs w:val="32"/>
        </w:rPr>
      </w:pPr>
      <w:r>
        <w:rPr>
          <w:rFonts w:eastAsia="黑体"/>
          <w:kern w:val="0"/>
          <w:sz w:val="32"/>
          <w:szCs w:val="32"/>
        </w:rPr>
        <w:t>一、出让采矿权基本情况</w:t>
      </w:r>
    </w:p>
    <w:tbl>
      <w:tblPr>
        <w:tblStyle w:val="19"/>
        <w:tblW w:w="10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5"/>
        <w:gridCol w:w="1122"/>
        <w:gridCol w:w="709"/>
        <w:gridCol w:w="607"/>
        <w:gridCol w:w="567"/>
        <w:gridCol w:w="613"/>
        <w:gridCol w:w="663"/>
        <w:gridCol w:w="481"/>
        <w:gridCol w:w="602"/>
        <w:gridCol w:w="559"/>
        <w:gridCol w:w="709"/>
        <w:gridCol w:w="709"/>
        <w:gridCol w:w="732"/>
        <w:gridCol w:w="448"/>
        <w:gridCol w:w="630"/>
      </w:tblGrid>
      <w:tr w14:paraId="61AC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9" w:hRule="atLeast"/>
          <w:jc w:val="center"/>
        </w:trPr>
        <w:tc>
          <w:tcPr>
            <w:tcW w:w="995" w:type="dxa"/>
            <w:vAlign w:val="center"/>
          </w:tcPr>
          <w:p w14:paraId="5486D6A1">
            <w:pPr>
              <w:snapToGrid w:val="0"/>
              <w:jc w:val="center"/>
              <w:textAlignment w:val="center"/>
              <w:rPr>
                <w:rFonts w:ascii="黑体" w:hAnsi="黑体" w:eastAsia="黑体"/>
                <w:kern w:val="0"/>
                <w:sz w:val="18"/>
                <w:szCs w:val="18"/>
              </w:rPr>
            </w:pPr>
            <w:r>
              <w:rPr>
                <w:rFonts w:ascii="黑体" w:hAnsi="黑体" w:eastAsia="黑体"/>
                <w:kern w:val="0"/>
                <w:sz w:val="18"/>
                <w:szCs w:val="18"/>
              </w:rPr>
              <w:t>项目名称</w:t>
            </w:r>
          </w:p>
        </w:tc>
        <w:tc>
          <w:tcPr>
            <w:tcW w:w="1122" w:type="dxa"/>
            <w:vAlign w:val="center"/>
          </w:tcPr>
          <w:p w14:paraId="665C0367">
            <w:pPr>
              <w:snapToGrid w:val="0"/>
              <w:jc w:val="center"/>
              <w:textAlignment w:val="center"/>
              <w:rPr>
                <w:rFonts w:ascii="黑体" w:hAnsi="黑体" w:eastAsia="黑体"/>
                <w:kern w:val="0"/>
                <w:sz w:val="18"/>
                <w:szCs w:val="18"/>
              </w:rPr>
            </w:pPr>
            <w:r>
              <w:rPr>
                <w:rFonts w:ascii="黑体" w:hAnsi="黑体" w:eastAsia="黑体"/>
                <w:kern w:val="0"/>
                <w:sz w:val="18"/>
                <w:szCs w:val="18"/>
              </w:rPr>
              <w:t>地理</w:t>
            </w:r>
          </w:p>
          <w:p w14:paraId="210BAD6C">
            <w:pPr>
              <w:snapToGrid w:val="0"/>
              <w:jc w:val="center"/>
              <w:textAlignment w:val="center"/>
              <w:rPr>
                <w:rFonts w:ascii="黑体" w:hAnsi="黑体" w:eastAsia="黑体"/>
                <w:kern w:val="0"/>
                <w:sz w:val="18"/>
                <w:szCs w:val="18"/>
              </w:rPr>
            </w:pPr>
            <w:r>
              <w:rPr>
                <w:rFonts w:ascii="黑体" w:hAnsi="黑体" w:eastAsia="黑体"/>
                <w:kern w:val="0"/>
                <w:sz w:val="18"/>
                <w:szCs w:val="18"/>
              </w:rPr>
              <w:t>位置</w:t>
            </w:r>
          </w:p>
        </w:tc>
        <w:tc>
          <w:tcPr>
            <w:tcW w:w="709" w:type="dxa"/>
            <w:vAlign w:val="center"/>
          </w:tcPr>
          <w:p w14:paraId="64859FFA">
            <w:pPr>
              <w:snapToGrid w:val="0"/>
              <w:jc w:val="center"/>
              <w:textAlignment w:val="center"/>
              <w:rPr>
                <w:rFonts w:ascii="黑体" w:hAnsi="黑体" w:eastAsia="黑体"/>
                <w:kern w:val="0"/>
                <w:sz w:val="18"/>
                <w:szCs w:val="18"/>
              </w:rPr>
            </w:pPr>
            <w:r>
              <w:rPr>
                <w:rFonts w:ascii="黑体" w:hAnsi="黑体" w:eastAsia="黑体"/>
                <w:kern w:val="0"/>
                <w:sz w:val="18"/>
                <w:szCs w:val="18"/>
              </w:rPr>
              <w:t>开采</w:t>
            </w:r>
          </w:p>
          <w:p w14:paraId="50AD7235">
            <w:pPr>
              <w:snapToGrid w:val="0"/>
              <w:jc w:val="center"/>
              <w:textAlignment w:val="center"/>
              <w:rPr>
                <w:rFonts w:ascii="黑体" w:hAnsi="黑体" w:eastAsia="黑体"/>
                <w:kern w:val="0"/>
                <w:sz w:val="18"/>
                <w:szCs w:val="18"/>
              </w:rPr>
            </w:pPr>
            <w:r>
              <w:rPr>
                <w:rFonts w:ascii="黑体" w:hAnsi="黑体" w:eastAsia="黑体"/>
                <w:kern w:val="0"/>
                <w:sz w:val="18"/>
                <w:szCs w:val="18"/>
              </w:rPr>
              <w:t>矿种</w:t>
            </w:r>
          </w:p>
        </w:tc>
        <w:tc>
          <w:tcPr>
            <w:tcW w:w="607" w:type="dxa"/>
            <w:vAlign w:val="center"/>
          </w:tcPr>
          <w:p w14:paraId="6DE44E20">
            <w:pPr>
              <w:snapToGrid w:val="0"/>
              <w:jc w:val="center"/>
              <w:textAlignment w:val="center"/>
              <w:rPr>
                <w:rFonts w:ascii="黑体" w:hAnsi="黑体" w:eastAsia="黑体"/>
                <w:kern w:val="0"/>
                <w:sz w:val="18"/>
                <w:szCs w:val="18"/>
              </w:rPr>
            </w:pPr>
            <w:r>
              <w:rPr>
                <w:rFonts w:ascii="黑体" w:hAnsi="黑体" w:eastAsia="黑体"/>
                <w:kern w:val="0"/>
                <w:sz w:val="18"/>
                <w:szCs w:val="18"/>
              </w:rPr>
              <w:t>拐点</w:t>
            </w:r>
          </w:p>
          <w:p w14:paraId="4EEF9A3D">
            <w:pPr>
              <w:snapToGrid w:val="0"/>
              <w:jc w:val="center"/>
              <w:textAlignment w:val="center"/>
              <w:rPr>
                <w:rFonts w:ascii="黑体" w:hAnsi="黑体" w:eastAsia="黑体"/>
                <w:kern w:val="0"/>
                <w:sz w:val="18"/>
                <w:szCs w:val="18"/>
              </w:rPr>
            </w:pPr>
            <w:r>
              <w:rPr>
                <w:rFonts w:ascii="黑体" w:hAnsi="黑体" w:eastAsia="黑体"/>
                <w:kern w:val="0"/>
                <w:sz w:val="18"/>
                <w:szCs w:val="18"/>
              </w:rPr>
              <w:t>坐标</w:t>
            </w:r>
          </w:p>
        </w:tc>
        <w:tc>
          <w:tcPr>
            <w:tcW w:w="567" w:type="dxa"/>
            <w:vAlign w:val="center"/>
          </w:tcPr>
          <w:p w14:paraId="6FCA5FB3">
            <w:pPr>
              <w:snapToGrid w:val="0"/>
              <w:jc w:val="center"/>
              <w:textAlignment w:val="center"/>
              <w:rPr>
                <w:rFonts w:ascii="黑体" w:hAnsi="黑体" w:eastAsia="黑体"/>
                <w:kern w:val="0"/>
                <w:sz w:val="18"/>
                <w:szCs w:val="18"/>
              </w:rPr>
            </w:pPr>
            <w:r>
              <w:rPr>
                <w:rFonts w:ascii="黑体" w:hAnsi="黑体" w:eastAsia="黑体"/>
                <w:kern w:val="0"/>
                <w:sz w:val="18"/>
                <w:szCs w:val="18"/>
              </w:rPr>
              <w:t>矿区面积</w:t>
            </w:r>
          </w:p>
          <w:p w14:paraId="393D7C10">
            <w:pPr>
              <w:snapToGrid w:val="0"/>
              <w:jc w:val="center"/>
              <w:textAlignment w:val="center"/>
              <w:rPr>
                <w:rFonts w:ascii="黑体" w:hAnsi="黑体" w:eastAsia="黑体"/>
                <w:kern w:val="0"/>
                <w:sz w:val="18"/>
                <w:szCs w:val="18"/>
              </w:rPr>
            </w:pPr>
            <w:r>
              <w:rPr>
                <w:rFonts w:ascii="黑体" w:hAnsi="黑体" w:eastAsia="黑体"/>
                <w:kern w:val="0"/>
                <w:sz w:val="18"/>
                <w:szCs w:val="18"/>
              </w:rPr>
              <w:t>(km</w:t>
            </w:r>
            <w:r>
              <w:rPr>
                <w:rFonts w:ascii="Times New Roman" w:hAnsi="Times New Roman" w:eastAsia="黑体"/>
                <w:kern w:val="0"/>
                <w:sz w:val="18"/>
                <w:szCs w:val="18"/>
              </w:rPr>
              <w:t>²</w:t>
            </w:r>
            <w:r>
              <w:rPr>
                <w:rFonts w:ascii="黑体" w:hAnsi="黑体" w:eastAsia="黑体"/>
                <w:kern w:val="0"/>
                <w:sz w:val="18"/>
                <w:szCs w:val="18"/>
              </w:rPr>
              <w:t>)</w:t>
            </w:r>
          </w:p>
        </w:tc>
        <w:tc>
          <w:tcPr>
            <w:tcW w:w="613" w:type="dxa"/>
            <w:tcMar>
              <w:left w:w="28" w:type="dxa"/>
              <w:right w:w="28" w:type="dxa"/>
            </w:tcMar>
            <w:vAlign w:val="center"/>
          </w:tcPr>
          <w:p w14:paraId="1AC75777">
            <w:pPr>
              <w:snapToGrid w:val="0"/>
              <w:jc w:val="center"/>
              <w:textAlignment w:val="center"/>
              <w:rPr>
                <w:rFonts w:ascii="黑体" w:hAnsi="黑体" w:eastAsia="黑体"/>
                <w:kern w:val="0"/>
                <w:sz w:val="18"/>
                <w:szCs w:val="18"/>
              </w:rPr>
            </w:pPr>
            <w:r>
              <w:rPr>
                <w:rFonts w:ascii="黑体" w:hAnsi="黑体" w:eastAsia="黑体"/>
                <w:kern w:val="0"/>
                <w:sz w:val="18"/>
                <w:szCs w:val="18"/>
              </w:rPr>
              <w:t>开采</w:t>
            </w:r>
          </w:p>
          <w:p w14:paraId="0ECFA1B1">
            <w:pPr>
              <w:snapToGrid w:val="0"/>
              <w:jc w:val="center"/>
              <w:textAlignment w:val="center"/>
              <w:rPr>
                <w:rFonts w:ascii="黑体" w:hAnsi="黑体" w:eastAsia="黑体"/>
                <w:kern w:val="0"/>
                <w:sz w:val="18"/>
                <w:szCs w:val="18"/>
              </w:rPr>
            </w:pPr>
            <w:r>
              <w:rPr>
                <w:rFonts w:ascii="黑体" w:hAnsi="黑体" w:eastAsia="黑体"/>
                <w:kern w:val="0"/>
                <w:sz w:val="18"/>
                <w:szCs w:val="18"/>
              </w:rPr>
              <w:t>标高</w:t>
            </w:r>
          </w:p>
          <w:p w14:paraId="1D4B4070">
            <w:pPr>
              <w:snapToGrid w:val="0"/>
              <w:jc w:val="center"/>
              <w:textAlignment w:val="center"/>
              <w:rPr>
                <w:rFonts w:ascii="黑体" w:hAnsi="黑体" w:eastAsia="黑体"/>
                <w:kern w:val="0"/>
                <w:sz w:val="18"/>
                <w:szCs w:val="18"/>
              </w:rPr>
            </w:pPr>
            <w:r>
              <w:rPr>
                <w:rFonts w:ascii="黑体" w:hAnsi="黑体" w:eastAsia="黑体"/>
                <w:spacing w:val="-10"/>
                <w:w w:val="95"/>
                <w:kern w:val="0"/>
                <w:sz w:val="18"/>
                <w:szCs w:val="18"/>
              </w:rPr>
              <w:t>（米）</w:t>
            </w:r>
          </w:p>
        </w:tc>
        <w:tc>
          <w:tcPr>
            <w:tcW w:w="663" w:type="dxa"/>
            <w:tcMar>
              <w:left w:w="28" w:type="dxa"/>
              <w:right w:w="28" w:type="dxa"/>
            </w:tcMar>
            <w:vAlign w:val="center"/>
          </w:tcPr>
          <w:p w14:paraId="6540518A">
            <w:pPr>
              <w:snapToGrid w:val="0"/>
              <w:jc w:val="center"/>
              <w:textAlignment w:val="center"/>
              <w:rPr>
                <w:rFonts w:ascii="黑体" w:hAnsi="黑体" w:eastAsia="黑体"/>
                <w:kern w:val="0"/>
                <w:sz w:val="18"/>
                <w:szCs w:val="18"/>
              </w:rPr>
            </w:pPr>
            <w:r>
              <w:rPr>
                <w:rFonts w:ascii="黑体" w:hAnsi="黑体" w:eastAsia="黑体"/>
                <w:kern w:val="0"/>
                <w:sz w:val="18"/>
                <w:szCs w:val="18"/>
              </w:rPr>
              <w:t>保有资源量(万吨)</w:t>
            </w:r>
          </w:p>
        </w:tc>
        <w:tc>
          <w:tcPr>
            <w:tcW w:w="481" w:type="dxa"/>
            <w:tcMar>
              <w:left w:w="28" w:type="dxa"/>
              <w:right w:w="28" w:type="dxa"/>
            </w:tcMar>
            <w:vAlign w:val="center"/>
          </w:tcPr>
          <w:p w14:paraId="69EB09E0">
            <w:pPr>
              <w:snapToGrid w:val="0"/>
              <w:jc w:val="center"/>
              <w:textAlignment w:val="center"/>
              <w:rPr>
                <w:rFonts w:ascii="黑体" w:hAnsi="黑体" w:eastAsia="黑体"/>
                <w:kern w:val="0"/>
                <w:sz w:val="18"/>
                <w:szCs w:val="18"/>
              </w:rPr>
            </w:pPr>
            <w:r>
              <w:rPr>
                <w:rFonts w:ascii="黑体" w:hAnsi="黑体" w:eastAsia="黑体"/>
                <w:kern w:val="0"/>
                <w:sz w:val="18"/>
                <w:szCs w:val="18"/>
              </w:rPr>
              <w:t>开采方式</w:t>
            </w:r>
          </w:p>
        </w:tc>
        <w:tc>
          <w:tcPr>
            <w:tcW w:w="602" w:type="dxa"/>
            <w:tcMar>
              <w:left w:w="28" w:type="dxa"/>
              <w:right w:w="28" w:type="dxa"/>
            </w:tcMar>
            <w:vAlign w:val="center"/>
          </w:tcPr>
          <w:p w14:paraId="04E11996">
            <w:pPr>
              <w:snapToGrid w:val="0"/>
              <w:jc w:val="center"/>
              <w:textAlignment w:val="center"/>
              <w:rPr>
                <w:rFonts w:ascii="黑体" w:hAnsi="黑体" w:eastAsia="黑体"/>
                <w:spacing w:val="-10"/>
                <w:w w:val="95"/>
                <w:kern w:val="0"/>
                <w:sz w:val="18"/>
                <w:szCs w:val="18"/>
              </w:rPr>
            </w:pPr>
            <w:r>
              <w:rPr>
                <w:rFonts w:hint="eastAsia" w:ascii="黑体" w:hAnsi="黑体" w:eastAsia="黑体"/>
                <w:kern w:val="0"/>
                <w:sz w:val="18"/>
                <w:szCs w:val="18"/>
                <w:lang w:val="en-US" w:eastAsia="zh-CN"/>
              </w:rPr>
              <w:t>生产</w:t>
            </w:r>
            <w:r>
              <w:rPr>
                <w:rFonts w:ascii="黑体" w:hAnsi="黑体" w:eastAsia="黑体"/>
                <w:kern w:val="0"/>
                <w:sz w:val="18"/>
                <w:szCs w:val="18"/>
              </w:rPr>
              <w:t>规模(万吨/年)</w:t>
            </w:r>
          </w:p>
        </w:tc>
        <w:tc>
          <w:tcPr>
            <w:tcW w:w="559" w:type="dxa"/>
            <w:tcMar>
              <w:left w:w="28" w:type="dxa"/>
              <w:right w:w="28" w:type="dxa"/>
            </w:tcMar>
            <w:vAlign w:val="center"/>
          </w:tcPr>
          <w:p w14:paraId="22997901">
            <w:pPr>
              <w:snapToGrid w:val="0"/>
              <w:jc w:val="center"/>
              <w:textAlignment w:val="center"/>
              <w:rPr>
                <w:rFonts w:ascii="黑体" w:hAnsi="黑体" w:eastAsia="黑体"/>
                <w:kern w:val="0"/>
                <w:sz w:val="18"/>
                <w:szCs w:val="18"/>
              </w:rPr>
            </w:pPr>
            <w:r>
              <w:rPr>
                <w:rFonts w:ascii="黑体" w:hAnsi="黑体" w:eastAsia="黑体"/>
                <w:kern w:val="0"/>
                <w:sz w:val="18"/>
                <w:szCs w:val="18"/>
              </w:rPr>
              <w:t>出让</w:t>
            </w:r>
          </w:p>
          <w:p w14:paraId="6532D2A8">
            <w:pPr>
              <w:snapToGrid w:val="0"/>
              <w:jc w:val="center"/>
              <w:textAlignment w:val="center"/>
              <w:rPr>
                <w:rFonts w:ascii="黑体" w:hAnsi="黑体" w:eastAsia="黑体"/>
                <w:kern w:val="0"/>
                <w:sz w:val="18"/>
                <w:szCs w:val="18"/>
              </w:rPr>
            </w:pPr>
            <w:r>
              <w:rPr>
                <w:rFonts w:ascii="黑体" w:hAnsi="黑体" w:eastAsia="黑体"/>
                <w:kern w:val="0"/>
                <w:sz w:val="18"/>
                <w:szCs w:val="18"/>
              </w:rPr>
              <w:t>年限（年）</w:t>
            </w:r>
          </w:p>
        </w:tc>
        <w:tc>
          <w:tcPr>
            <w:tcW w:w="709" w:type="dxa"/>
            <w:tcMar>
              <w:left w:w="28" w:type="dxa"/>
              <w:right w:w="28" w:type="dxa"/>
            </w:tcMar>
            <w:vAlign w:val="center"/>
          </w:tcPr>
          <w:p w14:paraId="26081F3C">
            <w:pPr>
              <w:snapToGrid w:val="0"/>
              <w:jc w:val="center"/>
              <w:textAlignment w:val="center"/>
              <w:rPr>
                <w:rFonts w:ascii="黑体" w:hAnsi="黑体" w:eastAsia="黑体"/>
                <w:kern w:val="0"/>
                <w:sz w:val="18"/>
                <w:szCs w:val="18"/>
              </w:rPr>
            </w:pPr>
            <w:r>
              <w:rPr>
                <w:rFonts w:hint="eastAsia" w:ascii="黑体" w:hAnsi="黑体" w:eastAsia="黑体"/>
                <w:kern w:val="0"/>
                <w:sz w:val="18"/>
                <w:szCs w:val="18"/>
              </w:rPr>
              <w:t>资源开发利用情况</w:t>
            </w:r>
          </w:p>
        </w:tc>
        <w:tc>
          <w:tcPr>
            <w:tcW w:w="709" w:type="dxa"/>
            <w:tcMar>
              <w:left w:w="28" w:type="dxa"/>
              <w:right w:w="28" w:type="dxa"/>
            </w:tcMar>
            <w:vAlign w:val="center"/>
          </w:tcPr>
          <w:p w14:paraId="27E0CA43">
            <w:pPr>
              <w:snapToGrid w:val="0"/>
              <w:jc w:val="center"/>
              <w:textAlignment w:val="center"/>
              <w:rPr>
                <w:rFonts w:ascii="黑体" w:hAnsi="黑体" w:eastAsia="黑体"/>
                <w:kern w:val="0"/>
                <w:sz w:val="18"/>
                <w:szCs w:val="18"/>
              </w:rPr>
            </w:pPr>
            <w:r>
              <w:rPr>
                <w:rFonts w:ascii="黑体" w:hAnsi="黑体" w:eastAsia="黑体"/>
                <w:kern w:val="0"/>
                <w:sz w:val="18"/>
                <w:szCs w:val="18"/>
              </w:rPr>
              <w:t>出让起始价(万元)</w:t>
            </w:r>
          </w:p>
        </w:tc>
        <w:tc>
          <w:tcPr>
            <w:tcW w:w="732" w:type="dxa"/>
            <w:vAlign w:val="center"/>
          </w:tcPr>
          <w:p w14:paraId="3785EB41">
            <w:pPr>
              <w:snapToGrid w:val="0"/>
              <w:jc w:val="center"/>
              <w:rPr>
                <w:rFonts w:ascii="黑体" w:hAnsi="黑体" w:eastAsia="黑体"/>
                <w:kern w:val="0"/>
                <w:sz w:val="18"/>
                <w:szCs w:val="18"/>
              </w:rPr>
            </w:pPr>
            <w:r>
              <w:rPr>
                <w:rFonts w:ascii="黑体" w:hAnsi="黑体" w:eastAsia="黑体"/>
                <w:kern w:val="0"/>
                <w:sz w:val="18"/>
                <w:szCs w:val="18"/>
              </w:rPr>
              <w:t>增价</w:t>
            </w:r>
          </w:p>
          <w:p w14:paraId="5A65FBE6">
            <w:pPr>
              <w:snapToGrid w:val="0"/>
              <w:jc w:val="center"/>
              <w:rPr>
                <w:rFonts w:ascii="黑体" w:hAnsi="黑体" w:eastAsia="黑体"/>
                <w:kern w:val="0"/>
                <w:sz w:val="18"/>
                <w:szCs w:val="18"/>
              </w:rPr>
            </w:pPr>
            <w:r>
              <w:rPr>
                <w:rFonts w:ascii="黑体" w:hAnsi="黑体" w:eastAsia="黑体"/>
                <w:kern w:val="0"/>
                <w:sz w:val="18"/>
                <w:szCs w:val="18"/>
              </w:rPr>
              <w:t>幅度</w:t>
            </w:r>
          </w:p>
        </w:tc>
        <w:tc>
          <w:tcPr>
            <w:tcW w:w="448" w:type="dxa"/>
            <w:vAlign w:val="center"/>
          </w:tcPr>
          <w:p w14:paraId="5A6E686F">
            <w:pPr>
              <w:snapToGrid w:val="0"/>
              <w:jc w:val="center"/>
              <w:textAlignment w:val="center"/>
              <w:rPr>
                <w:rFonts w:ascii="黑体" w:hAnsi="黑体" w:eastAsia="黑体"/>
                <w:kern w:val="0"/>
                <w:sz w:val="18"/>
                <w:szCs w:val="18"/>
              </w:rPr>
            </w:pPr>
            <w:r>
              <w:rPr>
                <w:rFonts w:ascii="黑体" w:hAnsi="黑体" w:eastAsia="黑体"/>
                <w:kern w:val="0"/>
                <w:sz w:val="18"/>
                <w:szCs w:val="18"/>
              </w:rPr>
              <w:t>是否设底价</w:t>
            </w:r>
          </w:p>
        </w:tc>
        <w:tc>
          <w:tcPr>
            <w:tcW w:w="630" w:type="dxa"/>
            <w:vAlign w:val="center"/>
          </w:tcPr>
          <w:p w14:paraId="3B4E74E4">
            <w:pPr>
              <w:snapToGrid w:val="0"/>
              <w:jc w:val="center"/>
              <w:textAlignment w:val="center"/>
              <w:rPr>
                <w:rFonts w:ascii="黑体" w:hAnsi="黑体" w:eastAsia="黑体"/>
                <w:kern w:val="0"/>
                <w:sz w:val="18"/>
                <w:szCs w:val="18"/>
              </w:rPr>
            </w:pPr>
            <w:r>
              <w:rPr>
                <w:rFonts w:ascii="黑体" w:hAnsi="黑体" w:eastAsia="黑体"/>
                <w:kern w:val="0"/>
                <w:sz w:val="18"/>
                <w:szCs w:val="18"/>
              </w:rPr>
              <w:t>竞买保证金(万元)</w:t>
            </w:r>
          </w:p>
        </w:tc>
      </w:tr>
      <w:tr w14:paraId="4506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6" w:hRule="atLeast"/>
          <w:jc w:val="center"/>
        </w:trPr>
        <w:tc>
          <w:tcPr>
            <w:tcW w:w="995" w:type="dxa"/>
            <w:tcMar>
              <w:left w:w="28" w:type="dxa"/>
              <w:right w:w="28" w:type="dxa"/>
            </w:tcMar>
            <w:vAlign w:val="center"/>
          </w:tcPr>
          <w:p w14:paraId="1BCD3D81">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达州市通川区东岳镇玉钟村饰面用砂岩矿采矿权</w:t>
            </w:r>
          </w:p>
        </w:tc>
        <w:tc>
          <w:tcPr>
            <w:tcW w:w="1122" w:type="dxa"/>
            <w:tcMar>
              <w:left w:w="28" w:type="dxa"/>
              <w:right w:w="28" w:type="dxa"/>
            </w:tcMar>
            <w:vAlign w:val="center"/>
          </w:tcPr>
          <w:p w14:paraId="0A8C325F">
            <w:pPr>
              <w:snapToGrid w:val="0"/>
              <w:jc w:val="center"/>
              <w:textAlignment w:val="center"/>
              <w:rPr>
                <w:rFonts w:hint="eastAsia" w:ascii="仿宋" w:hAnsi="仿宋" w:eastAsia="仿宋"/>
                <w:snapToGrid w:val="0"/>
                <w:kern w:val="0"/>
                <w:sz w:val="18"/>
                <w:szCs w:val="18"/>
                <w:lang w:eastAsia="zh-CN"/>
              </w:rPr>
            </w:pPr>
            <w:r>
              <w:rPr>
                <w:rFonts w:ascii="仿宋" w:hAnsi="仿宋" w:eastAsia="仿宋"/>
                <w:snapToGrid w:val="0"/>
                <w:kern w:val="0"/>
                <w:sz w:val="18"/>
                <w:szCs w:val="18"/>
              </w:rPr>
              <w:t>详见《</w:t>
            </w:r>
            <w:r>
              <w:rPr>
                <w:rFonts w:hint="eastAsia" w:ascii="仿宋" w:hAnsi="仿宋" w:eastAsia="仿宋"/>
                <w:snapToGrid w:val="0"/>
                <w:kern w:val="0"/>
                <w:sz w:val="18"/>
                <w:szCs w:val="18"/>
              </w:rPr>
              <w:t>达州市通川区东岳镇玉钟村饰面用砂岩矿采矿权拍卖</w:t>
            </w:r>
            <w:r>
              <w:rPr>
                <w:rFonts w:ascii="仿宋" w:hAnsi="仿宋" w:eastAsia="仿宋"/>
                <w:snapToGrid w:val="0"/>
                <w:kern w:val="0"/>
                <w:sz w:val="18"/>
                <w:szCs w:val="18"/>
              </w:rPr>
              <w:t>出让文件》</w:t>
            </w:r>
          </w:p>
        </w:tc>
        <w:tc>
          <w:tcPr>
            <w:tcW w:w="709" w:type="dxa"/>
            <w:vAlign w:val="center"/>
          </w:tcPr>
          <w:p w14:paraId="60432B17">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饰面用砂岩</w:t>
            </w:r>
          </w:p>
        </w:tc>
        <w:tc>
          <w:tcPr>
            <w:tcW w:w="607" w:type="dxa"/>
            <w:vAlign w:val="center"/>
          </w:tcPr>
          <w:p w14:paraId="6CE16208">
            <w:pPr>
              <w:snapToGrid w:val="0"/>
              <w:jc w:val="center"/>
              <w:textAlignment w:val="center"/>
              <w:rPr>
                <w:rFonts w:ascii="仿宋" w:hAnsi="仿宋" w:eastAsia="仿宋"/>
                <w:snapToGrid w:val="0"/>
                <w:kern w:val="0"/>
                <w:sz w:val="18"/>
                <w:szCs w:val="18"/>
              </w:rPr>
            </w:pPr>
            <w:r>
              <w:rPr>
                <w:rFonts w:ascii="仿宋" w:hAnsi="仿宋" w:eastAsia="仿宋"/>
                <w:snapToGrid w:val="0"/>
                <w:kern w:val="0"/>
                <w:sz w:val="18"/>
                <w:szCs w:val="18"/>
              </w:rPr>
              <w:t>详见《</w:t>
            </w:r>
            <w:r>
              <w:rPr>
                <w:rFonts w:hint="eastAsia" w:ascii="仿宋" w:hAnsi="仿宋" w:eastAsia="仿宋"/>
                <w:snapToGrid w:val="0"/>
                <w:kern w:val="0"/>
                <w:sz w:val="18"/>
                <w:szCs w:val="18"/>
              </w:rPr>
              <w:t>达州市通川区东岳镇玉钟村饰面用砂岩矿采矿权拍卖</w:t>
            </w:r>
            <w:r>
              <w:rPr>
                <w:rFonts w:ascii="仿宋" w:hAnsi="仿宋" w:eastAsia="仿宋"/>
                <w:snapToGrid w:val="0"/>
                <w:kern w:val="0"/>
                <w:sz w:val="18"/>
                <w:szCs w:val="18"/>
              </w:rPr>
              <w:t>出让文件》</w:t>
            </w:r>
          </w:p>
        </w:tc>
        <w:tc>
          <w:tcPr>
            <w:tcW w:w="567" w:type="dxa"/>
            <w:vAlign w:val="center"/>
          </w:tcPr>
          <w:p w14:paraId="4B47E398">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0.1824</w:t>
            </w:r>
          </w:p>
        </w:tc>
        <w:tc>
          <w:tcPr>
            <w:tcW w:w="613" w:type="dxa"/>
            <w:tcMar>
              <w:left w:w="28" w:type="dxa"/>
              <w:right w:w="28" w:type="dxa"/>
            </w:tcMar>
            <w:vAlign w:val="center"/>
          </w:tcPr>
          <w:p w14:paraId="32156A81">
            <w:pPr>
              <w:snapToGrid w:val="0"/>
              <w:jc w:val="center"/>
              <w:textAlignment w:val="center"/>
              <w:rPr>
                <w:rFonts w:hint="eastAsia" w:ascii="仿宋" w:hAnsi="仿宋" w:eastAsia="仿宋"/>
                <w:snapToGrid w:val="0"/>
                <w:kern w:val="0"/>
                <w:sz w:val="18"/>
                <w:szCs w:val="18"/>
              </w:rPr>
            </w:pPr>
            <w:r>
              <w:rPr>
                <w:rFonts w:hint="eastAsia" w:ascii="仿宋" w:hAnsi="仿宋" w:eastAsia="仿宋"/>
                <w:snapToGrid w:val="0"/>
                <w:kern w:val="0"/>
                <w:sz w:val="18"/>
                <w:szCs w:val="18"/>
              </w:rPr>
              <w:t>+540～</w:t>
            </w:r>
          </w:p>
          <w:p w14:paraId="604EC4F8">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+375</w:t>
            </w:r>
          </w:p>
        </w:tc>
        <w:tc>
          <w:tcPr>
            <w:tcW w:w="663" w:type="dxa"/>
            <w:tcMar>
              <w:left w:w="28" w:type="dxa"/>
              <w:right w:w="28" w:type="dxa"/>
            </w:tcMar>
            <w:vAlign w:val="center"/>
          </w:tcPr>
          <w:p w14:paraId="5B5B706A">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857.16万吨</w:t>
            </w:r>
          </w:p>
        </w:tc>
        <w:tc>
          <w:tcPr>
            <w:tcW w:w="481" w:type="dxa"/>
            <w:tcMar>
              <w:left w:w="28" w:type="dxa"/>
              <w:right w:w="28" w:type="dxa"/>
            </w:tcMar>
            <w:vAlign w:val="center"/>
          </w:tcPr>
          <w:p w14:paraId="113826EC">
            <w:pPr>
              <w:snapToGrid w:val="0"/>
              <w:jc w:val="center"/>
              <w:textAlignment w:val="center"/>
              <w:rPr>
                <w:rFonts w:hint="eastAsia" w:ascii="仿宋" w:hAnsi="仿宋" w:eastAsia="仿宋"/>
                <w:snapToGrid w:val="0"/>
                <w:kern w:val="0"/>
                <w:sz w:val="18"/>
                <w:szCs w:val="18"/>
              </w:rPr>
            </w:pPr>
            <w:r>
              <w:rPr>
                <w:rFonts w:hint="eastAsia" w:ascii="仿宋" w:hAnsi="仿宋" w:eastAsia="仿宋"/>
                <w:snapToGrid w:val="0"/>
                <w:kern w:val="0"/>
                <w:sz w:val="18"/>
                <w:szCs w:val="18"/>
              </w:rPr>
              <w:t>露天</w:t>
            </w:r>
          </w:p>
          <w:p w14:paraId="075BC186">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开采</w:t>
            </w:r>
          </w:p>
        </w:tc>
        <w:tc>
          <w:tcPr>
            <w:tcW w:w="602" w:type="dxa"/>
            <w:tcMar>
              <w:left w:w="28" w:type="dxa"/>
              <w:right w:w="28" w:type="dxa"/>
            </w:tcMar>
            <w:vAlign w:val="center"/>
          </w:tcPr>
          <w:p w14:paraId="378F026E">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50</w:t>
            </w:r>
          </w:p>
        </w:tc>
        <w:tc>
          <w:tcPr>
            <w:tcW w:w="559" w:type="dxa"/>
            <w:tcMar>
              <w:left w:w="28" w:type="dxa"/>
              <w:right w:w="28" w:type="dxa"/>
            </w:tcMar>
            <w:vAlign w:val="center"/>
          </w:tcPr>
          <w:p w14:paraId="5BE8F1F2">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16.3</w:t>
            </w:r>
          </w:p>
        </w:tc>
        <w:tc>
          <w:tcPr>
            <w:tcW w:w="709" w:type="dxa"/>
            <w:tcMar>
              <w:left w:w="28" w:type="dxa"/>
              <w:right w:w="28" w:type="dxa"/>
            </w:tcMar>
            <w:vAlign w:val="center"/>
          </w:tcPr>
          <w:p w14:paraId="6A3BA60B">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空白区新设</w:t>
            </w:r>
          </w:p>
        </w:tc>
        <w:tc>
          <w:tcPr>
            <w:tcW w:w="709" w:type="dxa"/>
            <w:tcMar>
              <w:left w:w="28" w:type="dxa"/>
              <w:right w:w="28" w:type="dxa"/>
            </w:tcMar>
            <w:vAlign w:val="center"/>
          </w:tcPr>
          <w:p w14:paraId="3EA9D8C6">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2400</w:t>
            </w:r>
          </w:p>
        </w:tc>
        <w:tc>
          <w:tcPr>
            <w:tcW w:w="732" w:type="dxa"/>
            <w:vAlign w:val="center"/>
          </w:tcPr>
          <w:p w14:paraId="2ABCBCA4">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30万元或30万元的整倍数</w:t>
            </w:r>
          </w:p>
        </w:tc>
        <w:tc>
          <w:tcPr>
            <w:tcW w:w="448" w:type="dxa"/>
            <w:vAlign w:val="center"/>
          </w:tcPr>
          <w:p w14:paraId="45101054">
            <w:pPr>
              <w:snapToGrid w:val="0"/>
              <w:jc w:val="center"/>
              <w:textAlignment w:val="center"/>
              <w:rPr>
                <w:rFonts w:ascii="仿宋" w:hAnsi="仿宋" w:eastAsia="仿宋"/>
                <w:snapToGrid w:val="0"/>
                <w:kern w:val="0"/>
                <w:sz w:val="18"/>
                <w:szCs w:val="18"/>
              </w:rPr>
            </w:pPr>
            <w:r>
              <w:rPr>
                <w:rFonts w:ascii="仿宋" w:hAnsi="仿宋" w:eastAsia="仿宋"/>
                <w:snapToGrid w:val="0"/>
                <w:kern w:val="0"/>
                <w:sz w:val="18"/>
                <w:szCs w:val="18"/>
              </w:rPr>
              <w:t>政府设置底价</w:t>
            </w:r>
          </w:p>
        </w:tc>
        <w:tc>
          <w:tcPr>
            <w:tcW w:w="630" w:type="dxa"/>
            <w:vAlign w:val="center"/>
          </w:tcPr>
          <w:p w14:paraId="20512B45">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2400</w:t>
            </w:r>
          </w:p>
        </w:tc>
      </w:tr>
      <w:tr w14:paraId="6D9C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0" w:hRule="atLeast"/>
          <w:jc w:val="center"/>
        </w:trPr>
        <w:tc>
          <w:tcPr>
            <w:tcW w:w="995" w:type="dxa"/>
            <w:tcMar>
              <w:left w:w="28" w:type="dxa"/>
              <w:right w:w="28" w:type="dxa"/>
            </w:tcMar>
            <w:vAlign w:val="center"/>
          </w:tcPr>
          <w:p w14:paraId="2FF0AA68">
            <w:pPr>
              <w:snapToGrid w:val="0"/>
              <w:jc w:val="center"/>
              <w:textAlignment w:val="center"/>
              <w:rPr>
                <w:rFonts w:hint="eastAsia" w:ascii="仿宋" w:hAnsi="仿宋" w:eastAsia="仿宋"/>
                <w:snapToGrid w:val="0"/>
                <w:kern w:val="0"/>
                <w:sz w:val="18"/>
                <w:szCs w:val="18"/>
              </w:rPr>
            </w:pPr>
            <w:r>
              <w:rPr>
                <w:rFonts w:hint="eastAsia" w:ascii="仿宋" w:hAnsi="仿宋" w:eastAsia="仿宋"/>
                <w:snapToGrid w:val="0"/>
                <w:kern w:val="0"/>
                <w:sz w:val="18"/>
                <w:szCs w:val="18"/>
              </w:rPr>
              <w:t>达州市通川区双龙镇茶店村饰面用砂岩矿采矿权</w:t>
            </w:r>
          </w:p>
        </w:tc>
        <w:tc>
          <w:tcPr>
            <w:tcW w:w="1122" w:type="dxa"/>
            <w:tcMar>
              <w:left w:w="28" w:type="dxa"/>
              <w:right w:w="28" w:type="dxa"/>
            </w:tcMar>
            <w:vAlign w:val="center"/>
          </w:tcPr>
          <w:p w14:paraId="55610316">
            <w:pPr>
              <w:snapToGrid w:val="0"/>
              <w:jc w:val="center"/>
              <w:textAlignment w:val="center"/>
              <w:rPr>
                <w:rFonts w:hint="eastAsia" w:ascii="仿宋" w:hAnsi="仿宋" w:eastAsia="仿宋"/>
                <w:snapToGrid w:val="0"/>
                <w:kern w:val="0"/>
                <w:sz w:val="18"/>
                <w:szCs w:val="18"/>
                <w:lang w:eastAsia="zh-CN"/>
              </w:rPr>
            </w:pPr>
            <w:r>
              <w:rPr>
                <w:rFonts w:ascii="仿宋" w:hAnsi="仿宋" w:eastAsia="仿宋"/>
                <w:snapToGrid w:val="0"/>
                <w:kern w:val="0"/>
                <w:sz w:val="18"/>
                <w:szCs w:val="18"/>
              </w:rPr>
              <w:t>详见《</w:t>
            </w:r>
            <w:r>
              <w:rPr>
                <w:rFonts w:hint="eastAsia" w:ascii="仿宋" w:hAnsi="仿宋" w:eastAsia="仿宋"/>
                <w:snapToGrid w:val="0"/>
                <w:kern w:val="0"/>
                <w:sz w:val="18"/>
                <w:szCs w:val="18"/>
              </w:rPr>
              <w:t>达州市通川区双龙镇茶店村饰面用砂岩矿采矿权</w:t>
            </w:r>
            <w:r>
              <w:rPr>
                <w:rFonts w:ascii="仿宋" w:hAnsi="仿宋" w:eastAsia="仿宋"/>
                <w:snapToGrid w:val="0"/>
                <w:kern w:val="0"/>
                <w:sz w:val="18"/>
                <w:szCs w:val="18"/>
              </w:rPr>
              <w:t>出让文件》</w:t>
            </w:r>
          </w:p>
        </w:tc>
        <w:tc>
          <w:tcPr>
            <w:tcW w:w="709" w:type="dxa"/>
            <w:vAlign w:val="center"/>
          </w:tcPr>
          <w:p w14:paraId="08CAE0DF">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饰面用砂岩</w:t>
            </w:r>
          </w:p>
        </w:tc>
        <w:tc>
          <w:tcPr>
            <w:tcW w:w="607" w:type="dxa"/>
            <w:vAlign w:val="center"/>
          </w:tcPr>
          <w:p w14:paraId="04C81BDC">
            <w:pPr>
              <w:snapToGrid w:val="0"/>
              <w:jc w:val="center"/>
              <w:textAlignment w:val="center"/>
              <w:rPr>
                <w:rFonts w:ascii="仿宋" w:hAnsi="仿宋" w:eastAsia="仿宋"/>
                <w:snapToGrid w:val="0"/>
                <w:kern w:val="0"/>
                <w:sz w:val="18"/>
                <w:szCs w:val="18"/>
              </w:rPr>
            </w:pPr>
            <w:r>
              <w:rPr>
                <w:rFonts w:ascii="仿宋" w:hAnsi="仿宋" w:eastAsia="仿宋"/>
                <w:snapToGrid w:val="0"/>
                <w:kern w:val="0"/>
                <w:sz w:val="18"/>
                <w:szCs w:val="18"/>
              </w:rPr>
              <w:t>详见《</w:t>
            </w:r>
            <w:r>
              <w:rPr>
                <w:rFonts w:hint="eastAsia" w:ascii="仿宋" w:hAnsi="仿宋" w:eastAsia="仿宋"/>
                <w:snapToGrid w:val="0"/>
                <w:kern w:val="0"/>
                <w:sz w:val="18"/>
                <w:szCs w:val="18"/>
              </w:rPr>
              <w:t>达州市通川区双龙镇茶店村饰面用砂岩矿采矿权</w:t>
            </w:r>
            <w:r>
              <w:rPr>
                <w:rFonts w:ascii="仿宋" w:hAnsi="仿宋" w:eastAsia="仿宋"/>
                <w:snapToGrid w:val="0"/>
                <w:kern w:val="0"/>
                <w:sz w:val="18"/>
                <w:szCs w:val="18"/>
              </w:rPr>
              <w:t>出让文件》</w:t>
            </w:r>
          </w:p>
        </w:tc>
        <w:tc>
          <w:tcPr>
            <w:tcW w:w="567" w:type="dxa"/>
            <w:vAlign w:val="center"/>
          </w:tcPr>
          <w:p w14:paraId="1E49A44F">
            <w:pPr>
              <w:snapToGrid w:val="0"/>
              <w:jc w:val="center"/>
              <w:textAlignment w:val="center"/>
              <w:rPr>
                <w:rFonts w:ascii="仿宋" w:hAnsi="仿宋" w:eastAsia="仿宋" w:cs="Times New Roman"/>
                <w:snapToGrid w:val="0"/>
                <w:kern w:val="0"/>
                <w:sz w:val="18"/>
                <w:szCs w:val="18"/>
              </w:rPr>
            </w:pPr>
            <w:r>
              <w:rPr>
                <w:rFonts w:hint="eastAsia" w:ascii="仿宋" w:hAnsi="仿宋" w:eastAsia="仿宋" w:cs="Times New Roman"/>
                <w:snapToGrid w:val="0"/>
                <w:kern w:val="0"/>
                <w:sz w:val="18"/>
                <w:szCs w:val="18"/>
              </w:rPr>
              <w:t>0.1809</w:t>
            </w:r>
          </w:p>
        </w:tc>
        <w:tc>
          <w:tcPr>
            <w:tcW w:w="613" w:type="dxa"/>
            <w:tcMar>
              <w:left w:w="28" w:type="dxa"/>
              <w:right w:w="28" w:type="dxa"/>
            </w:tcMar>
            <w:vAlign w:val="center"/>
          </w:tcPr>
          <w:p w14:paraId="5B02E49D">
            <w:pPr>
              <w:snapToGrid w:val="0"/>
              <w:jc w:val="center"/>
              <w:textAlignment w:val="center"/>
              <w:rPr>
                <w:rFonts w:ascii="仿宋" w:hAnsi="仿宋" w:eastAsia="仿宋" w:cs="Times New Roman"/>
                <w:snapToGrid w:val="0"/>
                <w:kern w:val="0"/>
                <w:sz w:val="18"/>
                <w:szCs w:val="18"/>
              </w:rPr>
            </w:pPr>
            <w:r>
              <w:rPr>
                <w:rFonts w:ascii="仿宋" w:hAnsi="仿宋" w:eastAsia="仿宋" w:cs="Times New Roman"/>
                <w:snapToGrid w:val="0"/>
                <w:kern w:val="0"/>
                <w:sz w:val="18"/>
                <w:szCs w:val="18"/>
              </w:rPr>
              <w:t>+</w:t>
            </w:r>
            <w:r>
              <w:rPr>
                <w:rFonts w:ascii="仿宋" w:hAnsi="仿宋" w:eastAsia="仿宋" w:cs="Times New Roman"/>
                <w:snapToGrid w:val="0"/>
                <w:kern w:val="0"/>
                <w:sz w:val="18"/>
                <w:szCs w:val="18"/>
                <w:lang w:val="en-US" w:eastAsia="zh-CN"/>
              </w:rPr>
              <w:t>680</w:t>
            </w:r>
            <w:r>
              <w:rPr>
                <w:rFonts w:ascii="仿宋" w:hAnsi="仿宋" w:eastAsia="仿宋" w:cs="Times New Roman"/>
                <w:snapToGrid w:val="0"/>
                <w:kern w:val="0"/>
                <w:sz w:val="18"/>
                <w:szCs w:val="18"/>
              </w:rPr>
              <w:t>～</w:t>
            </w:r>
          </w:p>
          <w:p w14:paraId="7F75B768">
            <w:pPr>
              <w:snapToGrid w:val="0"/>
              <w:jc w:val="center"/>
              <w:textAlignment w:val="center"/>
              <w:rPr>
                <w:rFonts w:ascii="仿宋" w:hAnsi="仿宋" w:eastAsia="仿宋" w:cs="Times New Roman"/>
                <w:snapToGrid w:val="0"/>
                <w:kern w:val="0"/>
                <w:sz w:val="18"/>
                <w:szCs w:val="18"/>
              </w:rPr>
            </w:pPr>
            <w:r>
              <w:rPr>
                <w:rFonts w:ascii="仿宋" w:hAnsi="仿宋" w:eastAsia="仿宋" w:cs="Times New Roman"/>
                <w:snapToGrid w:val="0"/>
                <w:kern w:val="0"/>
                <w:sz w:val="18"/>
                <w:szCs w:val="18"/>
              </w:rPr>
              <w:t>+</w:t>
            </w:r>
            <w:r>
              <w:rPr>
                <w:rFonts w:ascii="仿宋" w:hAnsi="仿宋" w:eastAsia="仿宋" w:cs="Times New Roman"/>
                <w:snapToGrid w:val="0"/>
                <w:kern w:val="0"/>
                <w:sz w:val="18"/>
                <w:szCs w:val="18"/>
                <w:lang w:val="en-US" w:eastAsia="zh-CN"/>
              </w:rPr>
              <w:t>50</w:t>
            </w:r>
            <w:r>
              <w:rPr>
                <w:rFonts w:ascii="仿宋" w:hAnsi="仿宋" w:eastAsia="仿宋" w:cs="Times New Roman"/>
                <w:snapToGrid w:val="0"/>
                <w:kern w:val="0"/>
                <w:sz w:val="18"/>
                <w:szCs w:val="18"/>
              </w:rPr>
              <w:t>0</w:t>
            </w:r>
          </w:p>
        </w:tc>
        <w:tc>
          <w:tcPr>
            <w:tcW w:w="663" w:type="dxa"/>
            <w:tcMar>
              <w:left w:w="28" w:type="dxa"/>
              <w:right w:w="28" w:type="dxa"/>
            </w:tcMar>
            <w:vAlign w:val="center"/>
          </w:tcPr>
          <w:p w14:paraId="45B725D6">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467.4万吨</w:t>
            </w:r>
          </w:p>
        </w:tc>
        <w:tc>
          <w:tcPr>
            <w:tcW w:w="481" w:type="dxa"/>
            <w:tcMar>
              <w:left w:w="28" w:type="dxa"/>
              <w:right w:w="28" w:type="dxa"/>
            </w:tcMar>
            <w:vAlign w:val="center"/>
          </w:tcPr>
          <w:p w14:paraId="027768B7">
            <w:pPr>
              <w:snapToGrid w:val="0"/>
              <w:jc w:val="center"/>
              <w:textAlignment w:val="center"/>
              <w:rPr>
                <w:rFonts w:hint="eastAsia" w:ascii="仿宋" w:hAnsi="仿宋" w:eastAsia="仿宋"/>
                <w:snapToGrid w:val="0"/>
                <w:kern w:val="0"/>
                <w:sz w:val="18"/>
                <w:szCs w:val="18"/>
              </w:rPr>
            </w:pPr>
            <w:r>
              <w:rPr>
                <w:rFonts w:hint="eastAsia" w:ascii="仿宋" w:hAnsi="仿宋" w:eastAsia="仿宋"/>
                <w:snapToGrid w:val="0"/>
                <w:kern w:val="0"/>
                <w:sz w:val="18"/>
                <w:szCs w:val="18"/>
              </w:rPr>
              <w:t>露天</w:t>
            </w:r>
          </w:p>
          <w:p w14:paraId="5CE11FBF">
            <w:pPr>
              <w:snapToGrid w:val="0"/>
              <w:jc w:val="center"/>
              <w:textAlignment w:val="center"/>
              <w:rPr>
                <w:rFonts w:ascii="仿宋" w:hAnsi="仿宋" w:eastAsia="仿宋"/>
                <w:snapToGrid w:val="0"/>
                <w:kern w:val="0"/>
                <w:sz w:val="18"/>
                <w:szCs w:val="18"/>
              </w:rPr>
            </w:pPr>
            <w:r>
              <w:rPr>
                <w:rFonts w:hint="eastAsia" w:ascii="仿宋" w:hAnsi="仿宋" w:eastAsia="仿宋"/>
                <w:snapToGrid w:val="0"/>
                <w:kern w:val="0"/>
                <w:sz w:val="18"/>
                <w:szCs w:val="18"/>
              </w:rPr>
              <w:t>开采</w:t>
            </w:r>
          </w:p>
        </w:tc>
        <w:tc>
          <w:tcPr>
            <w:tcW w:w="602" w:type="dxa"/>
            <w:tcMar>
              <w:left w:w="28" w:type="dxa"/>
              <w:right w:w="28" w:type="dxa"/>
            </w:tcMar>
            <w:vAlign w:val="center"/>
          </w:tcPr>
          <w:p w14:paraId="22FA6236">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30</w:t>
            </w:r>
          </w:p>
        </w:tc>
        <w:tc>
          <w:tcPr>
            <w:tcW w:w="559" w:type="dxa"/>
            <w:tcMar>
              <w:left w:w="28" w:type="dxa"/>
              <w:right w:w="28" w:type="dxa"/>
            </w:tcMar>
            <w:vAlign w:val="center"/>
          </w:tcPr>
          <w:p w14:paraId="3F44DEB4">
            <w:pPr>
              <w:snapToGrid w:val="0"/>
              <w:jc w:val="center"/>
              <w:textAlignment w:val="center"/>
              <w:rPr>
                <w:rFonts w:hint="default"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14.8</w:t>
            </w:r>
          </w:p>
        </w:tc>
        <w:tc>
          <w:tcPr>
            <w:tcW w:w="709" w:type="dxa"/>
            <w:shd w:val="clear" w:color="auto" w:fill="auto"/>
            <w:tcMar>
              <w:left w:w="28" w:type="dxa"/>
              <w:right w:w="28" w:type="dxa"/>
            </w:tcMar>
            <w:vAlign w:val="center"/>
          </w:tcPr>
          <w:p w14:paraId="238358F4">
            <w:pPr>
              <w:snapToGrid w:val="0"/>
              <w:jc w:val="center"/>
              <w:textAlignment w:val="center"/>
              <w:rPr>
                <w:rFonts w:hint="eastAsia" w:ascii="仿宋" w:hAnsi="仿宋" w:eastAsia="仿宋"/>
                <w:snapToGrid w:val="0"/>
                <w:kern w:val="0"/>
                <w:sz w:val="18"/>
                <w:szCs w:val="18"/>
                <w:lang w:val="en-US" w:eastAsia="zh-CN"/>
              </w:rPr>
            </w:pPr>
            <w:r>
              <w:rPr>
                <w:rFonts w:hint="eastAsia" w:ascii="仿宋" w:hAnsi="仿宋" w:eastAsia="仿宋"/>
                <w:snapToGrid w:val="0"/>
                <w:kern w:val="0"/>
                <w:sz w:val="18"/>
                <w:szCs w:val="18"/>
                <w:lang w:val="en-US" w:eastAsia="zh-CN"/>
              </w:rPr>
              <w:t>空白区新设</w:t>
            </w:r>
          </w:p>
        </w:tc>
        <w:tc>
          <w:tcPr>
            <w:tcW w:w="709" w:type="dxa"/>
            <w:shd w:val="clear" w:color="auto" w:fill="auto"/>
            <w:tcMar>
              <w:left w:w="28" w:type="dxa"/>
              <w:right w:w="28" w:type="dxa"/>
            </w:tcMar>
            <w:vAlign w:val="center"/>
          </w:tcPr>
          <w:p w14:paraId="31CB83B9">
            <w:pPr>
              <w:snapToGrid w:val="0"/>
              <w:jc w:val="center"/>
              <w:textAlignment w:val="center"/>
              <w:rPr>
                <w:rFonts w:hint="default" w:ascii="仿宋" w:hAnsi="仿宋" w:eastAsia="仿宋" w:cs="Times New Roman"/>
                <w:snapToGrid w:val="0"/>
                <w:kern w:val="0"/>
                <w:sz w:val="18"/>
                <w:szCs w:val="18"/>
                <w:lang w:val="en-US" w:eastAsia="zh-CN" w:bidi="ar-SA"/>
              </w:rPr>
            </w:pPr>
            <w:r>
              <w:rPr>
                <w:rFonts w:hint="eastAsia" w:ascii="仿宋" w:hAnsi="仿宋" w:eastAsia="仿宋"/>
                <w:snapToGrid w:val="0"/>
                <w:kern w:val="0"/>
                <w:sz w:val="18"/>
                <w:szCs w:val="18"/>
                <w:lang w:val="en-US" w:eastAsia="zh-CN"/>
              </w:rPr>
              <w:t>1300</w:t>
            </w:r>
          </w:p>
        </w:tc>
        <w:tc>
          <w:tcPr>
            <w:tcW w:w="732" w:type="dxa"/>
            <w:shd w:val="clear" w:color="auto" w:fill="auto"/>
            <w:vAlign w:val="center"/>
          </w:tcPr>
          <w:p w14:paraId="3A92AE3A">
            <w:pPr>
              <w:snapToGrid w:val="0"/>
              <w:jc w:val="center"/>
              <w:textAlignment w:val="center"/>
              <w:rPr>
                <w:rFonts w:ascii="仿宋" w:hAnsi="仿宋" w:eastAsia="仿宋" w:cs="Times New Roman"/>
                <w:snapToGrid w:val="0"/>
                <w:kern w:val="0"/>
                <w:sz w:val="18"/>
                <w:szCs w:val="18"/>
                <w:lang w:val="en-US" w:eastAsia="zh-CN" w:bidi="ar-SA"/>
              </w:rPr>
            </w:pPr>
            <w:r>
              <w:rPr>
                <w:rFonts w:hint="eastAsia" w:ascii="仿宋" w:hAnsi="仿宋" w:eastAsia="仿宋"/>
                <w:snapToGrid w:val="0"/>
                <w:kern w:val="0"/>
                <w:sz w:val="18"/>
                <w:szCs w:val="18"/>
                <w:lang w:val="en-US" w:eastAsia="zh-CN"/>
              </w:rPr>
              <w:t>2</w:t>
            </w:r>
            <w:r>
              <w:rPr>
                <w:rFonts w:hint="eastAsia" w:ascii="仿宋" w:hAnsi="仿宋" w:eastAsia="仿宋"/>
                <w:snapToGrid w:val="0"/>
                <w:kern w:val="0"/>
                <w:sz w:val="18"/>
                <w:szCs w:val="18"/>
              </w:rPr>
              <w:t>0万元或</w:t>
            </w:r>
            <w:r>
              <w:rPr>
                <w:rFonts w:hint="eastAsia" w:ascii="仿宋" w:hAnsi="仿宋" w:eastAsia="仿宋"/>
                <w:snapToGrid w:val="0"/>
                <w:kern w:val="0"/>
                <w:sz w:val="18"/>
                <w:szCs w:val="18"/>
                <w:lang w:val="en-US" w:eastAsia="zh-CN"/>
              </w:rPr>
              <w:t>2</w:t>
            </w:r>
            <w:r>
              <w:rPr>
                <w:rFonts w:hint="eastAsia" w:ascii="仿宋" w:hAnsi="仿宋" w:eastAsia="仿宋"/>
                <w:snapToGrid w:val="0"/>
                <w:kern w:val="0"/>
                <w:sz w:val="18"/>
                <w:szCs w:val="18"/>
              </w:rPr>
              <w:t>0万元的整倍数</w:t>
            </w:r>
          </w:p>
        </w:tc>
        <w:tc>
          <w:tcPr>
            <w:tcW w:w="448" w:type="dxa"/>
            <w:shd w:val="clear" w:color="auto" w:fill="auto"/>
            <w:vAlign w:val="center"/>
          </w:tcPr>
          <w:p w14:paraId="18D7C0F6">
            <w:pPr>
              <w:snapToGrid w:val="0"/>
              <w:jc w:val="center"/>
              <w:textAlignment w:val="center"/>
              <w:rPr>
                <w:rFonts w:ascii="仿宋" w:hAnsi="仿宋" w:eastAsia="仿宋" w:cs="Times New Roman"/>
                <w:snapToGrid w:val="0"/>
                <w:kern w:val="0"/>
                <w:sz w:val="18"/>
                <w:szCs w:val="18"/>
                <w:lang w:val="en-US" w:eastAsia="zh-CN" w:bidi="ar-SA"/>
              </w:rPr>
            </w:pPr>
            <w:r>
              <w:rPr>
                <w:rFonts w:ascii="仿宋" w:hAnsi="仿宋" w:eastAsia="仿宋"/>
                <w:snapToGrid w:val="0"/>
                <w:kern w:val="0"/>
                <w:sz w:val="18"/>
                <w:szCs w:val="18"/>
              </w:rPr>
              <w:t>政府设置底价</w:t>
            </w:r>
          </w:p>
        </w:tc>
        <w:tc>
          <w:tcPr>
            <w:tcW w:w="630" w:type="dxa"/>
            <w:shd w:val="clear" w:color="auto" w:fill="auto"/>
            <w:vAlign w:val="center"/>
          </w:tcPr>
          <w:p w14:paraId="742D2A3D">
            <w:pPr>
              <w:snapToGrid w:val="0"/>
              <w:jc w:val="center"/>
              <w:textAlignment w:val="center"/>
              <w:rPr>
                <w:rFonts w:hint="default" w:ascii="仿宋" w:hAnsi="仿宋" w:eastAsia="仿宋" w:cs="Times New Roman"/>
                <w:snapToGrid w:val="0"/>
                <w:kern w:val="0"/>
                <w:sz w:val="18"/>
                <w:szCs w:val="18"/>
                <w:lang w:val="en-US" w:eastAsia="zh-CN" w:bidi="ar-SA"/>
              </w:rPr>
            </w:pPr>
            <w:r>
              <w:rPr>
                <w:rFonts w:hint="eastAsia" w:ascii="仿宋" w:hAnsi="仿宋" w:eastAsia="仿宋"/>
                <w:snapToGrid w:val="0"/>
                <w:kern w:val="0"/>
                <w:sz w:val="18"/>
                <w:szCs w:val="18"/>
                <w:lang w:val="en-US" w:eastAsia="zh-CN"/>
              </w:rPr>
              <w:t>1300</w:t>
            </w:r>
          </w:p>
        </w:tc>
      </w:tr>
    </w:tbl>
    <w:p w14:paraId="1160B6C0">
      <w:pPr>
        <w:spacing w:line="540" w:lineRule="exact"/>
        <w:ind w:firstLine="640" w:firstLineChars="200"/>
        <w:rPr>
          <w:rFonts w:eastAsia="黑体"/>
          <w:sz w:val="32"/>
          <w:szCs w:val="32"/>
        </w:rPr>
      </w:pPr>
      <w:r>
        <w:rPr>
          <w:rFonts w:eastAsia="黑体"/>
          <w:sz w:val="32"/>
          <w:szCs w:val="32"/>
        </w:rPr>
        <w:t>二、竞买人资格条件</w:t>
      </w:r>
    </w:p>
    <w:p w14:paraId="14AC3884">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（一）在中华人民共和国境内注册的有效存续的具有独立承担民事责任能力的企业、事业法人（同一法定代表人注册的多家公司或母子等公司，只能由其中一家公司申请参加竞买同一宗采矿权）。</w:t>
      </w:r>
    </w:p>
    <w:p w14:paraId="60F06D14">
      <w:pPr>
        <w:spacing w:line="540" w:lineRule="exact"/>
        <w:ind w:firstLine="640" w:firstLineChars="200"/>
        <w:rPr>
          <w:rFonts w:ascii="仿宋" w:hAnsi="仿宋" w:eastAsia="仿宋"/>
          <w:snapToGrid w:val="0"/>
          <w:kern w:val="0"/>
          <w:sz w:val="32"/>
          <w:szCs w:val="32"/>
        </w:rPr>
      </w:pPr>
      <w:bookmarkStart w:id="17" w:name="_Hlk141474008"/>
      <w:r>
        <w:rPr>
          <w:rFonts w:ascii="仿宋" w:hAnsi="仿宋" w:eastAsia="仿宋"/>
          <w:snapToGrid w:val="0"/>
          <w:kern w:val="0"/>
          <w:sz w:val="32"/>
          <w:szCs w:val="32"/>
        </w:rPr>
        <w:t>（二）竞买人需具备与开采该矿相匹配的资金实力。</w:t>
      </w:r>
    </w:p>
    <w:bookmarkEnd w:id="17"/>
    <w:p w14:paraId="2AC8783A">
      <w:pPr>
        <w:adjustRightInd w:val="0"/>
        <w:spacing w:line="540" w:lineRule="exact"/>
        <w:ind w:firstLine="640" w:firstLineChars="200"/>
        <w:rPr>
          <w:rFonts w:ascii="仿宋" w:hAnsi="仿宋" w:eastAsia="仿宋" w:cs="Times New Roman"/>
          <w:snapToGrid w:val="0"/>
          <w:kern w:val="0"/>
          <w:sz w:val="32"/>
          <w:szCs w:val="32"/>
        </w:rPr>
      </w:pPr>
      <w:r>
        <w:rPr>
          <w:rFonts w:ascii="仿宋" w:hAnsi="仿宋" w:eastAsia="仿宋"/>
          <w:snapToGrid w:val="0"/>
          <w:kern w:val="0"/>
          <w:sz w:val="32"/>
          <w:szCs w:val="32"/>
        </w:rPr>
        <w:t>（三）具有以下情形之一的不得参与竞买：</w:t>
      </w:r>
      <w:r>
        <w:rPr>
          <w:rFonts w:hint="eastAsia" w:ascii="仿宋" w:hAnsi="仿宋" w:eastAsia="仿宋"/>
          <w:snapToGrid w:val="0"/>
          <w:kern w:val="0"/>
          <w:sz w:val="32"/>
          <w:szCs w:val="32"/>
        </w:rPr>
        <w:t>1．</w:t>
      </w:r>
      <w:r>
        <w:rPr>
          <w:rFonts w:ascii="仿宋" w:hAnsi="仿宋" w:eastAsia="仿宋"/>
          <w:snapToGrid w:val="0"/>
          <w:kern w:val="0"/>
          <w:sz w:val="32"/>
          <w:szCs w:val="32"/>
        </w:rPr>
        <w:t>在“全国矿业权人勘查开采信息公示系统”中被列入“矿业权人异常名录”或“严重违法名单”的。</w:t>
      </w:r>
      <w:r>
        <w:rPr>
          <w:rFonts w:hint="eastAsia" w:ascii="仿宋" w:hAnsi="仿宋" w:eastAsia="仿宋"/>
          <w:snapToGrid w:val="0"/>
          <w:kern w:val="0"/>
          <w:sz w:val="32"/>
          <w:szCs w:val="32"/>
        </w:rPr>
        <w:t>2．</w:t>
      </w:r>
      <w:r>
        <w:rPr>
          <w:rFonts w:ascii="仿宋" w:hAnsi="仿宋" w:eastAsia="仿宋"/>
          <w:snapToGrid w:val="0"/>
          <w:kern w:val="0"/>
          <w:sz w:val="32"/>
          <w:szCs w:val="32"/>
        </w:rPr>
        <w:t>在“信用中国”网站中被列入“失信惩戒对象”或“重点关注名单”或“安全生产领域失信生产经营单位”的。</w:t>
      </w:r>
      <w:r>
        <w:rPr>
          <w:rFonts w:hint="eastAsia" w:ascii="仿宋" w:hAnsi="仿宋" w:eastAsia="仿宋"/>
          <w:snapToGrid w:val="0"/>
          <w:kern w:val="0"/>
          <w:sz w:val="32"/>
          <w:szCs w:val="32"/>
        </w:rPr>
        <w:t>3．</w:t>
      </w:r>
      <w:r>
        <w:rPr>
          <w:rFonts w:ascii="仿宋" w:hAnsi="仿宋" w:eastAsia="仿宋"/>
          <w:snapToGrid w:val="0"/>
          <w:kern w:val="0"/>
          <w:sz w:val="32"/>
          <w:szCs w:val="32"/>
        </w:rPr>
        <w:t>在“国家企业信用信息公示系统”中被列入“经营异常名录”或“严重违法失信企业名单”的。</w:t>
      </w:r>
      <w:r>
        <w:rPr>
          <w:rFonts w:hint="eastAsia" w:ascii="仿宋" w:hAnsi="仿宋" w:eastAsia="仿宋"/>
          <w:snapToGrid w:val="0"/>
          <w:kern w:val="0"/>
          <w:sz w:val="32"/>
          <w:szCs w:val="32"/>
        </w:rPr>
        <w:t>4．</w:t>
      </w:r>
      <w:r>
        <w:rPr>
          <w:rFonts w:ascii="仿宋" w:hAnsi="仿宋" w:eastAsia="仿宋"/>
          <w:snapToGrid w:val="0"/>
          <w:kern w:val="0"/>
          <w:sz w:val="32"/>
          <w:szCs w:val="32"/>
        </w:rPr>
        <w:t>被吊销采矿</w:t>
      </w:r>
      <w:r>
        <w:rPr>
          <w:rFonts w:ascii="仿宋" w:hAnsi="仿宋" w:eastAsia="仿宋" w:cs="Times New Roman"/>
          <w:snapToGrid w:val="0"/>
          <w:kern w:val="0"/>
          <w:sz w:val="32"/>
          <w:szCs w:val="32"/>
        </w:rPr>
        <w:t>许可证，从吊销之日起至提交申请之日未满2年的。</w:t>
      </w:r>
      <w:r>
        <w:rPr>
          <w:rFonts w:hint="eastAsia" w:ascii="仿宋" w:hAnsi="仿宋" w:eastAsia="仿宋" w:cs="Times New Roman"/>
          <w:snapToGrid w:val="0"/>
          <w:kern w:val="0"/>
          <w:sz w:val="32"/>
          <w:szCs w:val="32"/>
        </w:rPr>
        <w:t>5．其他</w:t>
      </w:r>
      <w:r>
        <w:rPr>
          <w:rFonts w:ascii="仿宋" w:hAnsi="仿宋" w:eastAsia="仿宋" w:cs="Times New Roman"/>
          <w:snapToGrid w:val="0"/>
          <w:kern w:val="0"/>
          <w:sz w:val="32"/>
          <w:szCs w:val="32"/>
        </w:rPr>
        <w:t>依法禁止参与竞买情形的</w:t>
      </w:r>
      <w:r>
        <w:rPr>
          <w:rFonts w:hint="eastAsia" w:ascii="仿宋" w:hAnsi="仿宋" w:eastAsia="仿宋" w:cs="Times New Roman"/>
          <w:snapToGrid w:val="0"/>
          <w:kern w:val="0"/>
          <w:sz w:val="32"/>
          <w:szCs w:val="32"/>
        </w:rPr>
        <w:t>。</w:t>
      </w:r>
    </w:p>
    <w:p w14:paraId="7E839CF5">
      <w:pPr>
        <w:adjustRightInd w:val="0"/>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（四）不接受联合体竞买。</w:t>
      </w:r>
    </w:p>
    <w:p w14:paraId="0A8F1CEE">
      <w:pPr>
        <w:spacing w:line="578" w:lineRule="exact"/>
        <w:ind w:firstLine="640" w:firstLineChars="200"/>
        <w:rPr>
          <w:rFonts w:hint="eastAsia" w:ascii="仿宋" w:hAnsi="仿宋" w:eastAsia="仿宋"/>
          <w:snapToGrid w:val="0"/>
          <w:kern w:val="0"/>
          <w:sz w:val="32"/>
          <w:szCs w:val="32"/>
        </w:rPr>
      </w:pPr>
      <w:r>
        <w:rPr>
          <w:rFonts w:ascii="仿宋" w:hAnsi="仿宋" w:eastAsia="仿宋" w:cs="Times New Roman"/>
          <w:snapToGrid w:val="0"/>
          <w:kern w:val="0"/>
          <w:sz w:val="32"/>
          <w:szCs w:val="32"/>
        </w:rPr>
        <w:t>（五）竞买申请人须按要求提交：</w:t>
      </w:r>
      <w:bookmarkStart w:id="54" w:name="_GoBack"/>
      <w:r>
        <w:rPr>
          <w:rFonts w:ascii="仿宋" w:hAnsi="仿宋" w:eastAsia="仿宋" w:cs="Times New Roman"/>
          <w:snapToGrid w:val="0"/>
          <w:kern w:val="0"/>
          <w:sz w:val="32"/>
          <w:szCs w:val="32"/>
        </w:rPr>
        <w:t>1．</w:t>
      </w:r>
      <w:r>
        <w:rPr>
          <w:rFonts w:hint="eastAsia" w:ascii="仿宋" w:hAnsi="仿宋" w:eastAsia="仿宋"/>
          <w:snapToGrid w:val="0"/>
          <w:kern w:val="0"/>
          <w:sz w:val="32"/>
          <w:szCs w:val="32"/>
          <w:lang w:eastAsia="zh-CN"/>
        </w:rPr>
        <w:t>达州市通川区东岳镇玉钟村饰面用砂岩矿采矿权：</w:t>
      </w:r>
      <w:r>
        <w:rPr>
          <w:rFonts w:ascii="仿宋" w:hAnsi="仿宋" w:eastAsia="仿宋"/>
          <w:snapToGrid w:val="0"/>
          <w:kern w:val="0"/>
          <w:sz w:val="32"/>
          <w:szCs w:val="32"/>
        </w:rPr>
        <w:t>足额缴纳</w:t>
      </w:r>
      <w:r>
        <w:rPr>
          <w:rFonts w:hint="eastAsia" w:ascii="仿宋" w:hAnsi="仿宋" w:eastAsia="仿宋"/>
          <w:snapToGrid w:val="0"/>
          <w:kern w:val="0"/>
          <w:sz w:val="32"/>
          <w:szCs w:val="32"/>
          <w:lang w:val="en-US" w:eastAsia="zh-CN"/>
        </w:rPr>
        <w:t>2400</w:t>
      </w:r>
      <w:r>
        <w:rPr>
          <w:rFonts w:ascii="仿宋" w:hAnsi="仿宋" w:eastAsia="仿宋"/>
          <w:snapToGrid w:val="0"/>
          <w:kern w:val="0"/>
          <w:sz w:val="32"/>
          <w:szCs w:val="32"/>
        </w:rPr>
        <w:t>万元竞买保证金的相关证明材料</w:t>
      </w:r>
      <w:r>
        <w:rPr>
          <w:rFonts w:hint="eastAsia" w:ascii="仿宋" w:hAnsi="仿宋" w:eastAsia="仿宋"/>
          <w:snapToGrid w:val="0"/>
          <w:kern w:val="0"/>
          <w:sz w:val="32"/>
          <w:szCs w:val="32"/>
          <w:lang w:eastAsia="zh-CN"/>
        </w:rPr>
        <w:t>；</w:t>
      </w:r>
      <w:r>
        <w:rPr>
          <w:rFonts w:hint="eastAsia" w:ascii="仿宋" w:hAnsi="仿宋" w:eastAsia="仿宋"/>
          <w:snapToGrid w:val="0"/>
          <w:kern w:val="0"/>
          <w:sz w:val="32"/>
          <w:szCs w:val="32"/>
        </w:rPr>
        <w:t>达州市通川区双龙镇茶店村饰面用砂岩矿采矿权</w:t>
      </w:r>
      <w:r>
        <w:rPr>
          <w:rFonts w:hint="eastAsia" w:ascii="仿宋" w:hAnsi="仿宋" w:eastAsia="仿宋"/>
          <w:snapToGrid w:val="0"/>
          <w:kern w:val="0"/>
          <w:sz w:val="32"/>
          <w:szCs w:val="32"/>
          <w:lang w:eastAsia="zh-CN"/>
        </w:rPr>
        <w:t>：</w:t>
      </w:r>
      <w:r>
        <w:rPr>
          <w:rFonts w:ascii="仿宋" w:hAnsi="仿宋" w:eastAsia="仿宋"/>
          <w:snapToGrid w:val="0"/>
          <w:kern w:val="0"/>
          <w:sz w:val="32"/>
          <w:szCs w:val="32"/>
        </w:rPr>
        <w:t>足额缴纳</w:t>
      </w:r>
      <w:r>
        <w:rPr>
          <w:rFonts w:hint="eastAsia" w:ascii="仿宋" w:hAnsi="仿宋" w:eastAsia="仿宋"/>
          <w:snapToGrid w:val="0"/>
          <w:kern w:val="0"/>
          <w:sz w:val="32"/>
          <w:szCs w:val="32"/>
          <w:lang w:val="en-US" w:eastAsia="zh-CN"/>
        </w:rPr>
        <w:t>1300</w:t>
      </w:r>
      <w:r>
        <w:rPr>
          <w:rFonts w:ascii="仿宋" w:hAnsi="仿宋" w:eastAsia="仿宋"/>
          <w:snapToGrid w:val="0"/>
          <w:kern w:val="0"/>
          <w:sz w:val="32"/>
          <w:szCs w:val="32"/>
        </w:rPr>
        <w:t>万元竞买保证金的相关证明材料</w:t>
      </w:r>
      <w:r>
        <w:rPr>
          <w:rFonts w:hint="eastAsia" w:ascii="仿宋" w:hAnsi="仿宋" w:eastAsia="仿宋"/>
          <w:snapToGrid w:val="0"/>
          <w:kern w:val="0"/>
          <w:sz w:val="32"/>
          <w:szCs w:val="32"/>
          <w:lang w:eastAsia="zh-CN"/>
        </w:rPr>
        <w:t>。</w:t>
      </w:r>
      <w:r>
        <w:rPr>
          <w:rFonts w:ascii="仿宋" w:hAnsi="仿宋" w:eastAsia="仿宋"/>
          <w:snapToGrid w:val="0"/>
          <w:kern w:val="0"/>
          <w:sz w:val="32"/>
          <w:szCs w:val="32"/>
        </w:rPr>
        <w:t>竞得人缴纳的竞买保证金，</w:t>
      </w:r>
      <w:r>
        <w:rPr>
          <w:rFonts w:hint="eastAsia" w:ascii="仿宋" w:hAnsi="仿宋" w:eastAsia="仿宋"/>
          <w:snapToGrid w:val="0"/>
          <w:kern w:val="0"/>
          <w:sz w:val="32"/>
          <w:szCs w:val="32"/>
          <w:lang w:val="en-US" w:eastAsia="zh-CN"/>
        </w:rPr>
        <w:t>将</w:t>
      </w:r>
      <w:r>
        <w:rPr>
          <w:rFonts w:ascii="仿宋" w:hAnsi="仿宋" w:eastAsia="仿宋"/>
          <w:snapToGrid w:val="0"/>
          <w:kern w:val="0"/>
          <w:sz w:val="32"/>
          <w:szCs w:val="32"/>
        </w:rPr>
        <w:t>在签订《采矿权出让合同》并按合同约定缴清采矿权出让收益或首期采矿权出让收益后，5个工作日内予以退还，且不计利息。未竞得人缴纳的竞买保证金，</w:t>
      </w:r>
      <w:r>
        <w:rPr>
          <w:rFonts w:hint="eastAsia" w:ascii="仿宋" w:hAnsi="仿宋" w:eastAsia="仿宋"/>
          <w:snapToGrid w:val="0"/>
          <w:kern w:val="0"/>
          <w:sz w:val="32"/>
          <w:szCs w:val="32"/>
          <w:lang w:val="en-US" w:eastAsia="zh-CN"/>
        </w:rPr>
        <w:t>将</w:t>
      </w:r>
      <w:r>
        <w:rPr>
          <w:rFonts w:ascii="仿宋" w:hAnsi="仿宋" w:eastAsia="仿宋"/>
          <w:snapToGrid w:val="0"/>
          <w:kern w:val="0"/>
          <w:sz w:val="32"/>
          <w:szCs w:val="32"/>
        </w:rPr>
        <w:t>在拍卖活动结束后，5个工作日内予以退还，且不计利息。2．</w:t>
      </w:r>
      <w:r>
        <w:rPr>
          <w:rFonts w:hint="eastAsia" w:ascii="仿宋" w:hAnsi="仿宋" w:eastAsia="仿宋"/>
          <w:snapToGrid w:val="0"/>
          <w:kern w:val="0"/>
          <w:sz w:val="32"/>
          <w:szCs w:val="32"/>
        </w:rPr>
        <w:t>竞买</w:t>
      </w:r>
      <w:r>
        <w:rPr>
          <w:rFonts w:ascii="仿宋" w:hAnsi="仿宋" w:eastAsia="仿宋"/>
          <w:snapToGrid w:val="0"/>
          <w:kern w:val="0"/>
          <w:sz w:val="32"/>
          <w:szCs w:val="32"/>
        </w:rPr>
        <w:t>承诺书</w:t>
      </w:r>
      <w:r>
        <w:rPr>
          <w:rFonts w:hint="eastAsia" w:ascii="仿宋" w:hAnsi="仿宋" w:eastAsia="仿宋"/>
          <w:snapToGrid w:val="0"/>
          <w:kern w:val="0"/>
          <w:sz w:val="32"/>
          <w:szCs w:val="32"/>
        </w:rPr>
        <w:t>（</w:t>
      </w:r>
      <w:r>
        <w:rPr>
          <w:rFonts w:ascii="仿宋" w:hAnsi="仿宋" w:eastAsia="仿宋"/>
          <w:bCs/>
          <w:snapToGrid w:val="0"/>
          <w:kern w:val="0"/>
          <w:sz w:val="32"/>
          <w:szCs w:val="32"/>
        </w:rPr>
        <w:t>须提交书面承诺的具体要求及模板详见拍卖出让文件</w:t>
      </w:r>
      <w:r>
        <w:rPr>
          <w:rFonts w:hint="eastAsia" w:ascii="仿宋" w:hAnsi="仿宋" w:eastAsia="仿宋"/>
          <w:snapToGrid w:val="0"/>
          <w:kern w:val="0"/>
          <w:sz w:val="32"/>
          <w:szCs w:val="32"/>
        </w:rPr>
        <w:t>）。</w:t>
      </w:r>
    </w:p>
    <w:bookmarkEnd w:id="54"/>
    <w:p w14:paraId="2F081F04">
      <w:pPr>
        <w:spacing w:line="540" w:lineRule="exact"/>
        <w:ind w:firstLine="640" w:firstLineChars="200"/>
        <w:rPr>
          <w:rFonts w:eastAsia="黑体"/>
          <w:kern w:val="0"/>
          <w:sz w:val="24"/>
        </w:rPr>
      </w:pPr>
      <w:r>
        <w:rPr>
          <w:rFonts w:eastAsia="黑体"/>
          <w:sz w:val="32"/>
          <w:szCs w:val="32"/>
        </w:rPr>
        <w:t>三、</w:t>
      </w:r>
      <w:r>
        <w:rPr>
          <w:rFonts w:eastAsia="黑体"/>
          <w:kern w:val="0"/>
          <w:sz w:val="32"/>
          <w:szCs w:val="28"/>
        </w:rPr>
        <w:t>出让方式及交易时间、地点</w:t>
      </w:r>
    </w:p>
    <w:p w14:paraId="44629A1C">
      <w:pPr>
        <w:spacing w:line="540" w:lineRule="exact"/>
        <w:ind w:firstLine="640" w:firstLineChars="200"/>
        <w:rPr>
          <w:rFonts w:ascii="仿宋" w:hAnsi="仿宋" w:eastAsia="仿宋"/>
          <w:sz w:val="32"/>
          <w:szCs w:val="32"/>
        </w:rPr>
      </w:pPr>
      <w:r>
        <w:rPr>
          <w:rFonts w:ascii="仿宋" w:hAnsi="仿宋" w:eastAsia="仿宋"/>
          <w:sz w:val="32"/>
          <w:szCs w:val="32"/>
        </w:rPr>
        <w:t>出让方式：</w:t>
      </w:r>
      <w:r>
        <w:rPr>
          <w:rFonts w:hint="eastAsia" w:ascii="仿宋" w:hAnsi="仿宋" w:eastAsia="仿宋"/>
          <w:sz w:val="32"/>
          <w:szCs w:val="32"/>
          <w:lang w:val="en-US" w:eastAsia="zh-CN"/>
        </w:rPr>
        <w:t>公开</w:t>
      </w:r>
      <w:r>
        <w:rPr>
          <w:rFonts w:ascii="仿宋" w:hAnsi="仿宋" w:eastAsia="仿宋"/>
          <w:sz w:val="32"/>
          <w:szCs w:val="32"/>
        </w:rPr>
        <w:t>拍卖。</w:t>
      </w:r>
    </w:p>
    <w:p w14:paraId="44DCA1D1">
      <w:pPr>
        <w:spacing w:line="540" w:lineRule="exact"/>
        <w:ind w:firstLine="640" w:firstLineChars="200"/>
        <w:rPr>
          <w:rFonts w:ascii="仿宋" w:hAnsi="仿宋" w:eastAsia="仿宋"/>
          <w:sz w:val="32"/>
          <w:szCs w:val="32"/>
        </w:rPr>
      </w:pPr>
      <w:r>
        <w:rPr>
          <w:rFonts w:ascii="仿宋" w:hAnsi="仿宋" w:eastAsia="仿宋"/>
          <w:sz w:val="32"/>
          <w:szCs w:val="32"/>
        </w:rPr>
        <w:t>时间：</w:t>
      </w:r>
      <w:r>
        <w:rPr>
          <w:rStyle w:val="30"/>
          <w:rFonts w:ascii="仿宋" w:hAnsi="仿宋" w:eastAsia="仿宋"/>
          <w:b/>
          <w:color w:val="auto"/>
          <w:sz w:val="32"/>
          <w:szCs w:val="32"/>
        </w:rPr>
        <w:t>202</w:t>
      </w:r>
      <w:r>
        <w:rPr>
          <w:rStyle w:val="30"/>
          <w:rFonts w:hint="eastAsia" w:ascii="仿宋" w:hAnsi="仿宋" w:eastAsia="仿宋"/>
          <w:b/>
          <w:color w:val="auto"/>
          <w:sz w:val="32"/>
          <w:szCs w:val="32"/>
          <w:lang w:val="en-US" w:eastAsia="zh-CN"/>
        </w:rPr>
        <w:t>6</w:t>
      </w:r>
      <w:r>
        <w:rPr>
          <w:rStyle w:val="30"/>
          <w:rFonts w:ascii="仿宋" w:hAnsi="仿宋" w:eastAsia="仿宋"/>
          <w:b/>
          <w:color w:val="auto"/>
          <w:sz w:val="32"/>
          <w:szCs w:val="32"/>
        </w:rPr>
        <w:t>年</w:t>
      </w:r>
      <w:r>
        <w:rPr>
          <w:rStyle w:val="30"/>
          <w:rFonts w:hint="eastAsia" w:ascii="仿宋" w:hAnsi="仿宋" w:eastAsia="仿宋"/>
          <w:b/>
          <w:color w:val="auto"/>
          <w:sz w:val="32"/>
          <w:szCs w:val="32"/>
          <w:lang w:val="en-US" w:eastAsia="zh-CN"/>
        </w:rPr>
        <w:t>1</w:t>
      </w:r>
      <w:r>
        <w:rPr>
          <w:rStyle w:val="30"/>
          <w:rFonts w:ascii="仿宋" w:hAnsi="仿宋" w:eastAsia="仿宋"/>
          <w:b/>
          <w:color w:val="auto"/>
          <w:sz w:val="32"/>
          <w:szCs w:val="32"/>
        </w:rPr>
        <w:t>月</w:t>
      </w:r>
      <w:r>
        <w:rPr>
          <w:rStyle w:val="30"/>
          <w:rFonts w:hint="eastAsia" w:ascii="仿宋" w:hAnsi="仿宋" w:eastAsia="仿宋"/>
          <w:b/>
          <w:color w:val="auto"/>
          <w:sz w:val="32"/>
          <w:szCs w:val="32"/>
          <w:lang w:val="en-US" w:eastAsia="zh-CN"/>
        </w:rPr>
        <w:t>30</w:t>
      </w:r>
      <w:r>
        <w:rPr>
          <w:rStyle w:val="30"/>
          <w:rFonts w:ascii="仿宋" w:hAnsi="仿宋" w:eastAsia="仿宋"/>
          <w:b/>
          <w:color w:val="auto"/>
          <w:sz w:val="32"/>
          <w:szCs w:val="32"/>
        </w:rPr>
        <w:t>日10:</w:t>
      </w:r>
      <w:r>
        <w:rPr>
          <w:rStyle w:val="30"/>
          <w:rFonts w:hint="eastAsia" w:ascii="仿宋" w:hAnsi="仿宋" w:eastAsia="仿宋"/>
          <w:b/>
          <w:color w:val="auto"/>
          <w:sz w:val="32"/>
          <w:szCs w:val="32"/>
          <w:lang w:val="en-US" w:eastAsia="zh-CN"/>
        </w:rPr>
        <w:t>0</w:t>
      </w:r>
      <w:r>
        <w:rPr>
          <w:rStyle w:val="30"/>
          <w:rFonts w:ascii="仿宋" w:hAnsi="仿宋" w:eastAsia="仿宋"/>
          <w:b/>
          <w:color w:val="auto"/>
          <w:sz w:val="32"/>
          <w:szCs w:val="32"/>
        </w:rPr>
        <w:t>0</w:t>
      </w:r>
      <w:r>
        <w:rPr>
          <w:rFonts w:ascii="仿宋" w:hAnsi="仿宋" w:eastAsia="仿宋"/>
          <w:sz w:val="32"/>
          <w:szCs w:val="32"/>
        </w:rPr>
        <w:t>（拍卖会时间可能因资格审查而延迟）。</w:t>
      </w:r>
    </w:p>
    <w:p w14:paraId="4681E2E5">
      <w:pPr>
        <w:spacing w:line="540" w:lineRule="exact"/>
        <w:ind w:firstLine="640" w:firstLineChars="200"/>
        <w:rPr>
          <w:rFonts w:eastAsia="仿宋_GB2312"/>
          <w:sz w:val="32"/>
          <w:szCs w:val="32"/>
        </w:rPr>
      </w:pPr>
      <w:r>
        <w:rPr>
          <w:rFonts w:ascii="仿宋" w:hAnsi="仿宋" w:eastAsia="仿宋"/>
          <w:sz w:val="32"/>
          <w:szCs w:val="32"/>
        </w:rPr>
        <w:t>地点：四川省达州市马踏洞新区龙马大道与鱼泉路交叉口处新政务服务大楼，达州市公共资源交易服务中心</w:t>
      </w:r>
      <w:r>
        <w:rPr>
          <w:rStyle w:val="30"/>
          <w:rFonts w:ascii="仿宋" w:hAnsi="仿宋" w:eastAsia="仿宋"/>
          <w:b/>
          <w:color w:val="auto"/>
          <w:sz w:val="32"/>
          <w:szCs w:val="32"/>
        </w:rPr>
        <w:t>开标</w:t>
      </w:r>
      <w:r>
        <w:rPr>
          <w:rStyle w:val="30"/>
          <w:rFonts w:hint="eastAsia" w:ascii="仿宋" w:hAnsi="仿宋" w:eastAsia="仿宋"/>
          <w:b/>
          <w:color w:val="auto"/>
          <w:sz w:val="32"/>
          <w:szCs w:val="32"/>
        </w:rPr>
        <w:t>二</w:t>
      </w:r>
      <w:r>
        <w:rPr>
          <w:rStyle w:val="30"/>
          <w:rFonts w:ascii="仿宋" w:hAnsi="仿宋" w:eastAsia="仿宋"/>
          <w:b/>
          <w:color w:val="auto"/>
          <w:sz w:val="32"/>
          <w:szCs w:val="32"/>
        </w:rPr>
        <w:t>厅</w:t>
      </w:r>
      <w:r>
        <w:rPr>
          <w:rFonts w:ascii="仿宋" w:hAnsi="仿宋" w:eastAsia="仿宋"/>
          <w:sz w:val="32"/>
          <w:szCs w:val="32"/>
        </w:rPr>
        <w:t>。</w:t>
      </w:r>
    </w:p>
    <w:p w14:paraId="5E47E995">
      <w:pPr>
        <w:spacing w:line="540" w:lineRule="exact"/>
        <w:ind w:firstLine="640" w:firstLineChars="200"/>
        <w:rPr>
          <w:rFonts w:eastAsia="黑体"/>
          <w:sz w:val="32"/>
          <w:szCs w:val="32"/>
        </w:rPr>
      </w:pPr>
      <w:r>
        <w:rPr>
          <w:rFonts w:eastAsia="黑体"/>
          <w:sz w:val="32"/>
          <w:szCs w:val="32"/>
        </w:rPr>
        <w:t>四、申请竞买方式及资格审查</w:t>
      </w:r>
    </w:p>
    <w:p w14:paraId="7F84928D">
      <w:pPr>
        <w:spacing w:line="540" w:lineRule="exact"/>
        <w:ind w:firstLine="640" w:firstLineChars="200"/>
        <w:rPr>
          <w:rFonts w:ascii="仿宋" w:hAnsi="仿宋" w:eastAsia="仿宋"/>
          <w:sz w:val="32"/>
          <w:szCs w:val="32"/>
        </w:rPr>
      </w:pPr>
      <w:r>
        <w:rPr>
          <w:rFonts w:ascii="仿宋" w:hAnsi="仿宋" w:eastAsia="仿宋"/>
          <w:sz w:val="32"/>
          <w:szCs w:val="32"/>
        </w:rPr>
        <w:t>本次采矿权拍卖出让实行网上报名，竞买申请人须在</w:t>
      </w:r>
      <w:r>
        <w:rPr>
          <w:rStyle w:val="30"/>
          <w:rFonts w:ascii="仿宋" w:hAnsi="仿宋" w:eastAsia="仿宋"/>
          <w:color w:val="auto"/>
          <w:sz w:val="32"/>
          <w:szCs w:val="32"/>
          <w:u w:val="none"/>
          <w:shd w:val="clear" w:color="auto" w:fill="FFFFFF"/>
        </w:rPr>
        <w:t>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u w:val="none"/>
          <w:shd w:val="clear" w:color="auto" w:fill="FFFFFF"/>
        </w:rPr>
        <w:t>http://www.dzggzy.cn</w:t>
      </w:r>
      <w:r>
        <w:rPr>
          <w:rStyle w:val="30"/>
          <w:rFonts w:ascii="仿宋" w:hAnsi="仿宋" w:eastAsia="仿宋"/>
          <w:color w:val="auto"/>
          <w:sz w:val="32"/>
          <w:szCs w:val="32"/>
          <w:u w:val="none"/>
          <w:shd w:val="clear" w:color="auto" w:fill="FFFFFF"/>
        </w:rPr>
        <w:fldChar w:fldCharType="end"/>
      </w:r>
      <w:r>
        <w:rPr>
          <w:rFonts w:hint="eastAsia"/>
        </w:rPr>
        <w:t>/</w:t>
      </w:r>
      <w:r>
        <w:rPr>
          <w:rStyle w:val="30"/>
          <w:rFonts w:ascii="仿宋" w:hAnsi="仿宋" w:eastAsia="仿宋"/>
          <w:color w:val="auto"/>
          <w:sz w:val="32"/>
          <w:szCs w:val="32"/>
          <w:u w:val="none"/>
          <w:shd w:val="clear" w:color="auto" w:fill="FFFFFF"/>
        </w:rPr>
        <w:t>）查阅网上操作指南，完成用户注册、网上报名等</w:t>
      </w:r>
      <w:r>
        <w:rPr>
          <w:rFonts w:ascii="仿宋" w:hAnsi="仿宋" w:eastAsia="仿宋"/>
          <w:sz w:val="32"/>
          <w:szCs w:val="32"/>
        </w:rPr>
        <w:t>。</w:t>
      </w:r>
    </w:p>
    <w:p w14:paraId="70E28B5D">
      <w:pPr>
        <w:spacing w:line="540" w:lineRule="exact"/>
        <w:ind w:firstLine="640" w:firstLineChars="200"/>
        <w:rPr>
          <w:rFonts w:ascii="仿宋" w:hAnsi="仿宋" w:eastAsia="仿宋"/>
          <w:sz w:val="32"/>
          <w:szCs w:val="32"/>
          <w:shd w:val="clear" w:color="auto" w:fill="FFFFFF"/>
        </w:rPr>
      </w:pPr>
      <w:r>
        <w:rPr>
          <w:rStyle w:val="30"/>
          <w:rFonts w:ascii="仿宋" w:hAnsi="仿宋" w:eastAsia="仿宋"/>
          <w:color w:val="auto"/>
          <w:sz w:val="32"/>
          <w:szCs w:val="32"/>
          <w:u w:val="none"/>
        </w:rPr>
        <w:t>已完成用户注册的竞买申请</w:t>
      </w:r>
      <w:r>
        <w:rPr>
          <w:rStyle w:val="30"/>
          <w:rFonts w:ascii="仿宋" w:hAnsi="仿宋" w:eastAsia="仿宋"/>
          <w:color w:val="auto"/>
          <w:sz w:val="32"/>
          <w:szCs w:val="32"/>
          <w:u w:val="none"/>
          <w:shd w:val="clear" w:color="auto" w:fill="FFFFFF"/>
        </w:rPr>
        <w:t>人须于</w:t>
      </w:r>
      <w:r>
        <w:rPr>
          <w:rStyle w:val="30"/>
          <w:rFonts w:ascii="仿宋" w:hAnsi="仿宋" w:eastAsia="仿宋"/>
          <w:b/>
          <w:bCs/>
          <w:color w:val="auto"/>
          <w:sz w:val="32"/>
          <w:szCs w:val="32"/>
          <w:u w:val="none"/>
          <w:shd w:val="clear" w:color="auto" w:fill="FFFFFF"/>
        </w:rPr>
        <w:t>20</w:t>
      </w:r>
      <w:r>
        <w:rPr>
          <w:rStyle w:val="30"/>
          <w:rFonts w:hint="eastAsia" w:ascii="仿宋" w:hAnsi="仿宋" w:eastAsia="仿宋"/>
          <w:b/>
          <w:bCs/>
          <w:color w:val="auto"/>
          <w:sz w:val="32"/>
          <w:szCs w:val="32"/>
          <w:u w:val="none"/>
          <w:shd w:val="clear" w:color="auto" w:fill="FFFFFF"/>
          <w:lang w:val="en-US" w:eastAsia="zh-CN"/>
        </w:rPr>
        <w:t>26</w:t>
      </w:r>
      <w:r>
        <w:rPr>
          <w:rStyle w:val="30"/>
          <w:rFonts w:ascii="仿宋" w:hAnsi="仿宋" w:eastAsia="仿宋"/>
          <w:b/>
          <w:bCs/>
          <w:color w:val="auto"/>
          <w:sz w:val="32"/>
          <w:szCs w:val="32"/>
          <w:u w:val="none"/>
          <w:shd w:val="clear" w:color="auto" w:fill="FFFFFF"/>
        </w:rPr>
        <w:t>年</w:t>
      </w:r>
      <w:r>
        <w:rPr>
          <w:rStyle w:val="30"/>
          <w:rFonts w:hint="eastAsia" w:ascii="仿宋" w:hAnsi="仿宋" w:eastAsia="仿宋"/>
          <w:b/>
          <w:bCs/>
          <w:color w:val="auto"/>
          <w:sz w:val="32"/>
          <w:szCs w:val="32"/>
          <w:u w:val="none"/>
          <w:shd w:val="clear" w:color="auto" w:fill="FFFFFF"/>
          <w:lang w:val="en-US" w:eastAsia="zh-CN"/>
        </w:rPr>
        <w:t>1</w:t>
      </w:r>
      <w:r>
        <w:rPr>
          <w:rStyle w:val="30"/>
          <w:rFonts w:ascii="仿宋" w:hAnsi="仿宋" w:eastAsia="仿宋"/>
          <w:b/>
          <w:bCs/>
          <w:color w:val="auto"/>
          <w:sz w:val="32"/>
          <w:szCs w:val="32"/>
          <w:u w:val="none"/>
          <w:shd w:val="clear" w:color="auto" w:fill="FFFFFF"/>
        </w:rPr>
        <w:t>月</w:t>
      </w:r>
      <w:r>
        <w:rPr>
          <w:rStyle w:val="30"/>
          <w:rFonts w:hint="eastAsia" w:ascii="仿宋" w:hAnsi="仿宋" w:eastAsia="仿宋"/>
          <w:b/>
          <w:bCs/>
          <w:color w:val="auto"/>
          <w:sz w:val="32"/>
          <w:szCs w:val="32"/>
          <w:u w:val="none"/>
          <w:shd w:val="clear" w:color="auto" w:fill="FFFFFF"/>
          <w:lang w:val="en-US" w:eastAsia="zh-CN"/>
        </w:rPr>
        <w:t>29</w:t>
      </w:r>
      <w:r>
        <w:rPr>
          <w:rStyle w:val="30"/>
          <w:rFonts w:ascii="仿宋" w:hAnsi="仿宋" w:eastAsia="仿宋"/>
          <w:b/>
          <w:bCs/>
          <w:color w:val="auto"/>
          <w:sz w:val="32"/>
          <w:szCs w:val="32"/>
          <w:u w:val="none"/>
          <w:shd w:val="clear" w:color="auto" w:fill="FFFFFF"/>
        </w:rPr>
        <w:t>日17:00</w:t>
      </w:r>
      <w:r>
        <w:rPr>
          <w:rStyle w:val="30"/>
          <w:rFonts w:ascii="仿宋" w:hAnsi="仿宋" w:eastAsia="仿宋"/>
          <w:color w:val="auto"/>
          <w:sz w:val="32"/>
          <w:szCs w:val="32"/>
          <w:u w:val="none"/>
          <w:shd w:val="clear" w:color="auto" w:fill="FFFFFF"/>
        </w:rPr>
        <w:t>之前在达州市公共资源交易服务网（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u w:val="none"/>
          <w:shd w:val="clear" w:color="auto" w:fill="FFFFFF"/>
        </w:rPr>
        <w:t>http://www.dzggzy.cn</w:t>
      </w:r>
      <w:r>
        <w:rPr>
          <w:rStyle w:val="30"/>
          <w:rFonts w:ascii="仿宋" w:hAnsi="仿宋" w:eastAsia="仿宋"/>
          <w:color w:val="auto"/>
          <w:sz w:val="32"/>
          <w:szCs w:val="32"/>
          <w:u w:val="none"/>
          <w:shd w:val="clear" w:color="auto" w:fill="FFFFFF"/>
        </w:rPr>
        <w:fldChar w:fldCharType="end"/>
      </w:r>
      <w:r>
        <w:rPr>
          <w:rFonts w:hint="eastAsia"/>
        </w:rPr>
        <w:t>/</w:t>
      </w:r>
      <w:r>
        <w:rPr>
          <w:rStyle w:val="30"/>
          <w:rFonts w:ascii="仿宋" w:hAnsi="仿宋" w:eastAsia="仿宋"/>
          <w:color w:val="auto"/>
          <w:sz w:val="32"/>
          <w:szCs w:val="32"/>
          <w:u w:val="none"/>
          <w:shd w:val="clear" w:color="auto" w:fill="FFFFFF"/>
        </w:rPr>
        <w:t>）通过系统提交竞买申请。通过指定账户缴纳竞买保证金，到账截止时间为</w:t>
      </w:r>
      <w:r>
        <w:rPr>
          <w:rStyle w:val="30"/>
          <w:rFonts w:ascii="仿宋" w:hAnsi="仿宋" w:eastAsia="仿宋"/>
          <w:b/>
          <w:bCs/>
          <w:color w:val="auto"/>
          <w:sz w:val="32"/>
          <w:szCs w:val="32"/>
          <w:u w:val="none"/>
          <w:shd w:val="clear" w:color="auto" w:fill="FFFFFF"/>
        </w:rPr>
        <w:t>20</w:t>
      </w:r>
      <w:r>
        <w:rPr>
          <w:rStyle w:val="30"/>
          <w:rFonts w:hint="eastAsia" w:ascii="仿宋" w:hAnsi="仿宋" w:eastAsia="仿宋"/>
          <w:b/>
          <w:bCs/>
          <w:color w:val="auto"/>
          <w:sz w:val="32"/>
          <w:szCs w:val="32"/>
          <w:u w:val="none"/>
          <w:shd w:val="clear" w:color="auto" w:fill="FFFFFF"/>
          <w:lang w:val="en-US" w:eastAsia="zh-CN"/>
        </w:rPr>
        <w:t>26</w:t>
      </w:r>
      <w:r>
        <w:rPr>
          <w:rStyle w:val="30"/>
          <w:rFonts w:ascii="仿宋" w:hAnsi="仿宋" w:eastAsia="仿宋"/>
          <w:b/>
          <w:bCs/>
          <w:color w:val="auto"/>
          <w:sz w:val="32"/>
          <w:szCs w:val="32"/>
          <w:u w:val="none"/>
          <w:shd w:val="clear" w:color="auto" w:fill="FFFFFF"/>
        </w:rPr>
        <w:t>年</w:t>
      </w:r>
      <w:r>
        <w:rPr>
          <w:rStyle w:val="30"/>
          <w:rFonts w:hint="eastAsia" w:ascii="仿宋" w:hAnsi="仿宋" w:eastAsia="仿宋"/>
          <w:b/>
          <w:bCs/>
          <w:color w:val="auto"/>
          <w:sz w:val="32"/>
          <w:szCs w:val="32"/>
          <w:u w:val="none"/>
          <w:shd w:val="clear" w:color="auto" w:fill="FFFFFF"/>
          <w:lang w:val="en-US" w:eastAsia="zh-CN"/>
        </w:rPr>
        <w:t>1</w:t>
      </w:r>
      <w:r>
        <w:rPr>
          <w:rStyle w:val="30"/>
          <w:rFonts w:ascii="仿宋" w:hAnsi="仿宋" w:eastAsia="仿宋"/>
          <w:b/>
          <w:bCs/>
          <w:color w:val="auto"/>
          <w:sz w:val="32"/>
          <w:szCs w:val="32"/>
          <w:u w:val="none"/>
          <w:shd w:val="clear" w:color="auto" w:fill="FFFFFF"/>
        </w:rPr>
        <w:t>月</w:t>
      </w:r>
      <w:r>
        <w:rPr>
          <w:rStyle w:val="30"/>
          <w:rFonts w:hint="eastAsia" w:ascii="仿宋" w:hAnsi="仿宋" w:eastAsia="仿宋"/>
          <w:b/>
          <w:bCs/>
          <w:color w:val="auto"/>
          <w:sz w:val="32"/>
          <w:szCs w:val="32"/>
          <w:u w:val="none"/>
          <w:shd w:val="clear" w:color="auto" w:fill="FFFFFF"/>
          <w:lang w:val="en-US" w:eastAsia="zh-CN"/>
        </w:rPr>
        <w:t>29</w:t>
      </w:r>
      <w:r>
        <w:rPr>
          <w:rStyle w:val="30"/>
          <w:rFonts w:ascii="仿宋" w:hAnsi="仿宋" w:eastAsia="仿宋"/>
          <w:b/>
          <w:bCs/>
          <w:color w:val="auto"/>
          <w:sz w:val="32"/>
          <w:szCs w:val="32"/>
          <w:u w:val="none"/>
          <w:shd w:val="clear" w:color="auto" w:fill="FFFFFF"/>
        </w:rPr>
        <w:t>日17:00</w:t>
      </w:r>
      <w:r>
        <w:rPr>
          <w:rFonts w:ascii="仿宋" w:hAnsi="仿宋" w:eastAsia="仿宋"/>
          <w:sz w:val="32"/>
          <w:szCs w:val="32"/>
          <w:shd w:val="clear" w:color="auto" w:fill="FFFFFF"/>
        </w:rPr>
        <w:t>。</w:t>
      </w:r>
    </w:p>
    <w:p w14:paraId="44C9D0D9">
      <w:pPr>
        <w:spacing w:line="540" w:lineRule="exact"/>
        <w:ind w:firstLine="640" w:firstLineChars="200"/>
        <w:rPr>
          <w:rStyle w:val="30"/>
          <w:rFonts w:ascii="仿宋" w:hAnsi="仿宋" w:eastAsia="仿宋"/>
          <w:color w:val="auto"/>
          <w:sz w:val="32"/>
          <w:szCs w:val="32"/>
          <w:u w:val="none"/>
          <w:shd w:val="clear" w:color="auto" w:fill="FFFFFF"/>
        </w:rPr>
      </w:pPr>
      <w:r>
        <w:rPr>
          <w:rStyle w:val="30"/>
          <w:rFonts w:ascii="仿宋" w:hAnsi="仿宋" w:eastAsia="仿宋"/>
          <w:color w:val="auto"/>
          <w:sz w:val="32"/>
          <w:szCs w:val="32"/>
          <w:u w:val="none"/>
          <w:shd w:val="clear" w:color="auto" w:fill="FFFFFF"/>
        </w:rPr>
        <w:t>已提交申请的竞买申请人须在资格审查当日</w:t>
      </w:r>
      <w:r>
        <w:rPr>
          <w:rStyle w:val="30"/>
          <w:rFonts w:ascii="仿宋" w:hAnsi="仿宋" w:eastAsia="仿宋"/>
          <w:b/>
          <w:bCs/>
          <w:color w:val="auto"/>
          <w:sz w:val="32"/>
          <w:szCs w:val="32"/>
          <w:u w:val="none"/>
          <w:shd w:val="clear" w:color="auto" w:fill="FFFFFF"/>
        </w:rPr>
        <w:t>（202</w:t>
      </w:r>
      <w:r>
        <w:rPr>
          <w:rStyle w:val="30"/>
          <w:rFonts w:hint="eastAsia" w:ascii="仿宋" w:hAnsi="仿宋" w:eastAsia="仿宋"/>
          <w:b/>
          <w:bCs/>
          <w:color w:val="auto"/>
          <w:sz w:val="32"/>
          <w:szCs w:val="32"/>
          <w:u w:val="none"/>
          <w:shd w:val="clear" w:color="auto" w:fill="FFFFFF"/>
          <w:lang w:val="en-US" w:eastAsia="zh-CN"/>
        </w:rPr>
        <w:t>6</w:t>
      </w:r>
      <w:r>
        <w:rPr>
          <w:rStyle w:val="30"/>
          <w:rFonts w:ascii="仿宋" w:hAnsi="仿宋" w:eastAsia="仿宋"/>
          <w:b/>
          <w:bCs/>
          <w:color w:val="auto"/>
          <w:sz w:val="32"/>
          <w:szCs w:val="32"/>
          <w:u w:val="none"/>
          <w:shd w:val="clear" w:color="auto" w:fill="FFFFFF"/>
        </w:rPr>
        <w:t>年</w:t>
      </w:r>
      <w:r>
        <w:rPr>
          <w:rStyle w:val="30"/>
          <w:rFonts w:hint="eastAsia" w:ascii="仿宋" w:hAnsi="仿宋" w:eastAsia="仿宋"/>
          <w:b/>
          <w:bCs/>
          <w:color w:val="auto"/>
          <w:sz w:val="32"/>
          <w:szCs w:val="32"/>
          <w:u w:val="none"/>
          <w:shd w:val="clear" w:color="auto" w:fill="FFFFFF"/>
          <w:lang w:val="en-US" w:eastAsia="zh-CN"/>
        </w:rPr>
        <w:t>1</w:t>
      </w:r>
      <w:r>
        <w:rPr>
          <w:rStyle w:val="30"/>
          <w:rFonts w:ascii="仿宋" w:hAnsi="仿宋" w:eastAsia="仿宋"/>
          <w:b/>
          <w:bCs/>
          <w:color w:val="auto"/>
          <w:sz w:val="32"/>
          <w:szCs w:val="32"/>
          <w:u w:val="none"/>
          <w:shd w:val="clear" w:color="auto" w:fill="FFFFFF"/>
        </w:rPr>
        <w:t>月</w:t>
      </w:r>
      <w:r>
        <w:rPr>
          <w:rStyle w:val="30"/>
          <w:rFonts w:hint="eastAsia" w:ascii="仿宋" w:hAnsi="仿宋" w:eastAsia="仿宋"/>
          <w:b/>
          <w:bCs/>
          <w:color w:val="auto"/>
          <w:sz w:val="32"/>
          <w:szCs w:val="32"/>
          <w:u w:val="none"/>
          <w:shd w:val="clear" w:color="auto" w:fill="FFFFFF"/>
          <w:lang w:val="en-US" w:eastAsia="zh-CN"/>
        </w:rPr>
        <w:t>30</w:t>
      </w:r>
      <w:r>
        <w:rPr>
          <w:rStyle w:val="30"/>
          <w:rFonts w:ascii="仿宋" w:hAnsi="仿宋" w:eastAsia="仿宋"/>
          <w:b/>
          <w:bCs/>
          <w:color w:val="auto"/>
          <w:sz w:val="32"/>
          <w:szCs w:val="32"/>
          <w:u w:val="none"/>
          <w:shd w:val="clear" w:color="auto" w:fill="FFFFFF"/>
        </w:rPr>
        <w:t>日）</w:t>
      </w:r>
      <w:r>
        <w:rPr>
          <w:rStyle w:val="30"/>
          <w:rFonts w:hint="eastAsia" w:ascii="仿宋" w:hAnsi="仿宋" w:eastAsia="仿宋"/>
          <w:b/>
          <w:bCs/>
          <w:color w:val="auto"/>
          <w:sz w:val="32"/>
          <w:szCs w:val="32"/>
          <w:u w:val="none"/>
          <w:shd w:val="clear" w:color="auto" w:fill="FFFFFF"/>
        </w:rPr>
        <w:t>0</w:t>
      </w:r>
      <w:r>
        <w:rPr>
          <w:rStyle w:val="30"/>
          <w:rFonts w:ascii="仿宋" w:hAnsi="仿宋" w:eastAsia="仿宋"/>
          <w:b/>
          <w:bCs/>
          <w:color w:val="auto"/>
          <w:sz w:val="32"/>
          <w:szCs w:val="32"/>
          <w:u w:val="none"/>
          <w:shd w:val="clear" w:color="auto" w:fill="FFFFFF"/>
        </w:rPr>
        <w:t>9:00</w:t>
      </w:r>
      <w:r>
        <w:rPr>
          <w:rStyle w:val="30"/>
          <w:rFonts w:ascii="仿宋" w:hAnsi="仿宋" w:eastAsia="仿宋"/>
          <w:color w:val="auto"/>
          <w:sz w:val="32"/>
          <w:szCs w:val="32"/>
          <w:u w:val="none"/>
          <w:shd w:val="clear" w:color="auto" w:fill="FFFFFF"/>
        </w:rPr>
        <w:t>之前将竞买申请文件原件现场提交至达州市公共资源交易服务中心</w:t>
      </w:r>
      <w:r>
        <w:rPr>
          <w:rStyle w:val="30"/>
          <w:rFonts w:hint="eastAsia" w:ascii="仿宋" w:hAnsi="仿宋" w:eastAsia="仿宋"/>
          <w:b/>
          <w:bCs/>
          <w:color w:val="auto"/>
          <w:sz w:val="32"/>
          <w:szCs w:val="32"/>
          <w:u w:val="none"/>
          <w:shd w:val="clear" w:color="auto" w:fill="FFFFFF"/>
        </w:rPr>
        <w:t>4B-17</w:t>
      </w:r>
      <w:r>
        <w:rPr>
          <w:rStyle w:val="30"/>
          <w:rFonts w:ascii="仿宋" w:hAnsi="仿宋" w:eastAsia="仿宋"/>
          <w:color w:val="auto"/>
          <w:sz w:val="32"/>
          <w:szCs w:val="32"/>
          <w:u w:val="none"/>
          <w:shd w:val="clear" w:color="auto" w:fill="FFFFFF"/>
        </w:rPr>
        <w:t>室，未按时提交原件的视为自行放弃竞买资格。</w:t>
      </w:r>
    </w:p>
    <w:p w14:paraId="276A02A2">
      <w:pPr>
        <w:spacing w:line="540" w:lineRule="exact"/>
        <w:ind w:firstLine="640" w:firstLineChars="200"/>
        <w:rPr>
          <w:rFonts w:ascii="仿宋" w:hAnsi="仿宋" w:eastAsia="仿宋"/>
          <w:sz w:val="32"/>
          <w:szCs w:val="32"/>
        </w:rPr>
      </w:pPr>
      <w:r>
        <w:rPr>
          <w:rStyle w:val="30"/>
          <w:rFonts w:ascii="仿宋" w:hAnsi="仿宋" w:eastAsia="仿宋"/>
          <w:color w:val="auto"/>
          <w:sz w:val="32"/>
          <w:szCs w:val="32"/>
          <w:u w:val="none"/>
          <w:shd w:val="clear" w:color="auto" w:fill="FFFFFF"/>
        </w:rPr>
        <w:t>通过竞买资格审查的竞买申请人须在</w:t>
      </w:r>
      <w:r>
        <w:rPr>
          <w:rStyle w:val="30"/>
          <w:rFonts w:ascii="仿宋" w:hAnsi="仿宋" w:eastAsia="仿宋"/>
          <w:b/>
          <w:bCs/>
          <w:color w:val="auto"/>
          <w:sz w:val="32"/>
          <w:szCs w:val="32"/>
          <w:u w:val="none"/>
          <w:shd w:val="clear" w:color="auto" w:fill="FFFFFF"/>
        </w:rPr>
        <w:t>202</w:t>
      </w:r>
      <w:r>
        <w:rPr>
          <w:rStyle w:val="30"/>
          <w:rFonts w:hint="eastAsia" w:ascii="仿宋" w:hAnsi="仿宋" w:eastAsia="仿宋"/>
          <w:b/>
          <w:bCs/>
          <w:color w:val="auto"/>
          <w:sz w:val="32"/>
          <w:szCs w:val="32"/>
          <w:u w:val="none"/>
          <w:shd w:val="clear" w:color="auto" w:fill="FFFFFF"/>
          <w:lang w:val="en-US" w:eastAsia="zh-CN"/>
        </w:rPr>
        <w:t>6</w:t>
      </w:r>
      <w:r>
        <w:rPr>
          <w:rStyle w:val="30"/>
          <w:rFonts w:ascii="仿宋" w:hAnsi="仿宋" w:eastAsia="仿宋"/>
          <w:b/>
          <w:bCs/>
          <w:color w:val="auto"/>
          <w:sz w:val="32"/>
          <w:szCs w:val="32"/>
          <w:u w:val="none"/>
          <w:shd w:val="clear" w:color="auto" w:fill="FFFFFF"/>
        </w:rPr>
        <w:t>年</w:t>
      </w:r>
      <w:r>
        <w:rPr>
          <w:rStyle w:val="30"/>
          <w:rFonts w:hint="eastAsia" w:ascii="仿宋" w:hAnsi="仿宋" w:eastAsia="仿宋"/>
          <w:b/>
          <w:bCs/>
          <w:color w:val="auto"/>
          <w:sz w:val="32"/>
          <w:szCs w:val="32"/>
          <w:u w:val="none"/>
          <w:shd w:val="clear" w:color="auto" w:fill="FFFFFF"/>
          <w:lang w:val="en-US" w:eastAsia="zh-CN"/>
        </w:rPr>
        <w:t>1</w:t>
      </w:r>
      <w:r>
        <w:rPr>
          <w:rStyle w:val="30"/>
          <w:rFonts w:ascii="仿宋" w:hAnsi="仿宋" w:eastAsia="仿宋"/>
          <w:b/>
          <w:bCs/>
          <w:color w:val="auto"/>
          <w:sz w:val="32"/>
          <w:szCs w:val="32"/>
          <w:u w:val="none"/>
          <w:shd w:val="clear" w:color="auto" w:fill="FFFFFF"/>
        </w:rPr>
        <w:t>月</w:t>
      </w:r>
      <w:r>
        <w:rPr>
          <w:rStyle w:val="30"/>
          <w:rFonts w:hint="eastAsia" w:ascii="仿宋" w:hAnsi="仿宋" w:eastAsia="仿宋"/>
          <w:b/>
          <w:bCs/>
          <w:color w:val="auto"/>
          <w:sz w:val="32"/>
          <w:szCs w:val="32"/>
          <w:u w:val="none"/>
          <w:shd w:val="clear" w:color="auto" w:fill="FFFFFF"/>
          <w:lang w:val="en-US" w:eastAsia="zh-CN"/>
        </w:rPr>
        <w:t>30</w:t>
      </w:r>
      <w:r>
        <w:rPr>
          <w:rStyle w:val="30"/>
          <w:rFonts w:ascii="仿宋" w:hAnsi="仿宋" w:eastAsia="仿宋"/>
          <w:b/>
          <w:bCs/>
          <w:color w:val="auto"/>
          <w:sz w:val="32"/>
          <w:szCs w:val="32"/>
          <w:u w:val="none"/>
          <w:shd w:val="clear" w:color="auto" w:fill="FFFFFF"/>
        </w:rPr>
        <w:t>日10:</w:t>
      </w:r>
      <w:r>
        <w:rPr>
          <w:rStyle w:val="30"/>
          <w:rFonts w:hint="eastAsia" w:ascii="仿宋" w:hAnsi="仿宋" w:eastAsia="仿宋"/>
          <w:b/>
          <w:bCs/>
          <w:color w:val="auto"/>
          <w:sz w:val="32"/>
          <w:szCs w:val="32"/>
          <w:u w:val="none"/>
          <w:shd w:val="clear" w:color="auto" w:fill="FFFFFF"/>
          <w:lang w:val="en-US" w:eastAsia="zh-CN"/>
        </w:rPr>
        <w:t>0</w:t>
      </w:r>
      <w:r>
        <w:rPr>
          <w:rStyle w:val="30"/>
          <w:rFonts w:ascii="仿宋" w:hAnsi="仿宋" w:eastAsia="仿宋"/>
          <w:b/>
          <w:bCs/>
          <w:color w:val="auto"/>
          <w:sz w:val="32"/>
          <w:szCs w:val="32"/>
          <w:u w:val="none"/>
          <w:shd w:val="clear" w:color="auto" w:fill="FFFFFF"/>
        </w:rPr>
        <w:t>0</w:t>
      </w:r>
      <w:r>
        <w:rPr>
          <w:rStyle w:val="30"/>
          <w:rFonts w:ascii="仿宋" w:hAnsi="仿宋" w:eastAsia="仿宋"/>
          <w:color w:val="auto"/>
          <w:sz w:val="32"/>
          <w:szCs w:val="32"/>
          <w:u w:val="none"/>
          <w:shd w:val="clear" w:color="auto" w:fill="FFFFFF"/>
        </w:rPr>
        <w:t>前自行通过达州市公共资源交易服务网（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u w:val="none"/>
          <w:shd w:val="clear" w:color="auto" w:fill="FFFFFF"/>
        </w:rPr>
        <w:t>http://www.dzggzy.cn</w:t>
      </w:r>
      <w:r>
        <w:rPr>
          <w:rStyle w:val="30"/>
          <w:rFonts w:ascii="仿宋" w:hAnsi="仿宋" w:eastAsia="仿宋"/>
          <w:color w:val="auto"/>
          <w:sz w:val="32"/>
          <w:szCs w:val="32"/>
          <w:u w:val="none"/>
          <w:shd w:val="clear" w:color="auto" w:fill="FFFFFF"/>
        </w:rPr>
        <w:fldChar w:fldCharType="end"/>
      </w:r>
      <w:r>
        <w:rPr>
          <w:rFonts w:hint="eastAsia"/>
        </w:rPr>
        <w:t>/</w:t>
      </w:r>
      <w:r>
        <w:rPr>
          <w:rStyle w:val="30"/>
          <w:rFonts w:ascii="仿宋" w:hAnsi="仿宋" w:eastAsia="仿宋"/>
          <w:color w:val="auto"/>
          <w:sz w:val="32"/>
          <w:szCs w:val="32"/>
          <w:u w:val="none"/>
          <w:shd w:val="clear" w:color="auto" w:fill="FFFFFF"/>
        </w:rPr>
        <w:t>）打印竞买资格确认书并带到拍卖</w:t>
      </w:r>
      <w:r>
        <w:rPr>
          <w:rFonts w:ascii="仿宋" w:hAnsi="仿宋" w:eastAsia="仿宋"/>
          <w:sz w:val="32"/>
          <w:szCs w:val="32"/>
        </w:rPr>
        <w:t>现场（打印时间可能因资格审查而延迟）。</w:t>
      </w:r>
    </w:p>
    <w:p w14:paraId="1192C29C">
      <w:pPr>
        <w:spacing w:line="540" w:lineRule="exact"/>
        <w:ind w:firstLine="640" w:firstLineChars="200"/>
        <w:rPr>
          <w:rFonts w:eastAsia="黑体"/>
          <w:sz w:val="32"/>
          <w:szCs w:val="32"/>
        </w:rPr>
      </w:pPr>
      <w:r>
        <w:rPr>
          <w:rFonts w:eastAsia="黑体"/>
          <w:sz w:val="32"/>
          <w:szCs w:val="32"/>
        </w:rPr>
        <w:t>五、确定竞得人标准和方法</w:t>
      </w:r>
    </w:p>
    <w:p w14:paraId="13477486">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本次</w:t>
      </w:r>
      <w:r>
        <w:rPr>
          <w:rFonts w:hint="eastAsia" w:ascii="仿宋" w:hAnsi="仿宋" w:eastAsia="仿宋"/>
          <w:snapToGrid w:val="0"/>
          <w:kern w:val="0"/>
          <w:sz w:val="32"/>
          <w:szCs w:val="32"/>
        </w:rPr>
        <w:t>达州市通川区东岳镇玉钟村、双龙镇茶店村饰面用砂岩矿采矿权</w:t>
      </w:r>
      <w:r>
        <w:rPr>
          <w:rFonts w:ascii="仿宋" w:hAnsi="仿宋" w:eastAsia="仿宋"/>
          <w:snapToGrid w:val="0"/>
          <w:kern w:val="0"/>
          <w:sz w:val="32"/>
          <w:szCs w:val="32"/>
        </w:rPr>
        <w:t>拍卖出让</w:t>
      </w:r>
      <w:r>
        <w:rPr>
          <w:rFonts w:hint="eastAsia" w:ascii="仿宋" w:hAnsi="仿宋" w:eastAsia="仿宋"/>
          <w:snapToGrid w:val="0"/>
          <w:kern w:val="0"/>
          <w:sz w:val="32"/>
          <w:szCs w:val="32"/>
          <w:lang w:val="en-US" w:eastAsia="zh-CN"/>
        </w:rPr>
        <w:t>区</w:t>
      </w:r>
      <w:r>
        <w:rPr>
          <w:rFonts w:ascii="仿宋" w:hAnsi="仿宋" w:eastAsia="仿宋"/>
          <w:snapToGrid w:val="0"/>
          <w:kern w:val="0"/>
          <w:sz w:val="32"/>
          <w:szCs w:val="32"/>
        </w:rPr>
        <w:t>政府设有底价，采用增价报价方式竞价</w:t>
      </w:r>
      <w:r>
        <w:rPr>
          <w:rFonts w:hint="eastAsia" w:ascii="仿宋" w:hAnsi="仿宋" w:eastAsia="仿宋"/>
          <w:snapToGrid w:val="0"/>
          <w:kern w:val="0"/>
          <w:sz w:val="32"/>
          <w:szCs w:val="32"/>
          <w:lang w:eastAsia="zh-CN"/>
        </w:rPr>
        <w:t>，达州市通川区东岳镇玉钟村饰面用砂岩矿采矿权</w:t>
      </w:r>
      <w:r>
        <w:rPr>
          <w:rFonts w:ascii="仿宋" w:hAnsi="仿宋" w:eastAsia="仿宋"/>
          <w:snapToGrid w:val="0"/>
          <w:kern w:val="0"/>
          <w:sz w:val="32"/>
          <w:szCs w:val="32"/>
        </w:rPr>
        <w:t>每次增价幅度为人民币</w:t>
      </w:r>
      <w:r>
        <w:rPr>
          <w:rFonts w:hint="eastAsia" w:ascii="仿宋" w:hAnsi="仿宋" w:eastAsia="仿宋"/>
          <w:snapToGrid w:val="0"/>
          <w:kern w:val="0"/>
          <w:sz w:val="32"/>
          <w:szCs w:val="32"/>
          <w:lang w:val="en-US" w:eastAsia="zh-CN"/>
        </w:rPr>
        <w:t>3</w:t>
      </w:r>
      <w:r>
        <w:rPr>
          <w:rFonts w:ascii="仿宋" w:hAnsi="仿宋" w:eastAsia="仿宋"/>
          <w:snapToGrid w:val="0"/>
          <w:kern w:val="0"/>
          <w:sz w:val="32"/>
          <w:szCs w:val="32"/>
        </w:rPr>
        <w:t>0万元或人民币</w:t>
      </w:r>
      <w:r>
        <w:rPr>
          <w:rFonts w:hint="eastAsia" w:ascii="仿宋" w:hAnsi="仿宋" w:eastAsia="仿宋"/>
          <w:snapToGrid w:val="0"/>
          <w:kern w:val="0"/>
          <w:sz w:val="32"/>
          <w:szCs w:val="32"/>
          <w:lang w:val="en-US" w:eastAsia="zh-CN"/>
        </w:rPr>
        <w:t>3</w:t>
      </w:r>
      <w:r>
        <w:rPr>
          <w:rFonts w:ascii="仿宋" w:hAnsi="仿宋" w:eastAsia="仿宋"/>
          <w:snapToGrid w:val="0"/>
          <w:kern w:val="0"/>
          <w:sz w:val="32"/>
          <w:szCs w:val="32"/>
        </w:rPr>
        <w:t>0万元的整倍数，</w:t>
      </w:r>
      <w:r>
        <w:rPr>
          <w:rFonts w:hint="eastAsia" w:ascii="仿宋" w:hAnsi="仿宋" w:eastAsia="仿宋"/>
          <w:snapToGrid w:val="0"/>
          <w:kern w:val="0"/>
          <w:sz w:val="32"/>
          <w:szCs w:val="32"/>
        </w:rPr>
        <w:t>达州市通川区双龙镇茶店村饰面用砂岩矿采矿权</w:t>
      </w:r>
      <w:r>
        <w:rPr>
          <w:rFonts w:ascii="仿宋" w:hAnsi="仿宋" w:eastAsia="仿宋"/>
          <w:snapToGrid w:val="0"/>
          <w:kern w:val="0"/>
          <w:sz w:val="32"/>
          <w:szCs w:val="32"/>
        </w:rPr>
        <w:t>每次增价幅度为人民币</w:t>
      </w:r>
      <w:r>
        <w:rPr>
          <w:rFonts w:hint="eastAsia" w:ascii="仿宋" w:hAnsi="仿宋" w:eastAsia="仿宋"/>
          <w:snapToGrid w:val="0"/>
          <w:kern w:val="0"/>
          <w:sz w:val="32"/>
          <w:szCs w:val="32"/>
          <w:lang w:val="en-US" w:eastAsia="zh-CN"/>
        </w:rPr>
        <w:t>2</w:t>
      </w:r>
      <w:r>
        <w:rPr>
          <w:rFonts w:ascii="仿宋" w:hAnsi="仿宋" w:eastAsia="仿宋"/>
          <w:snapToGrid w:val="0"/>
          <w:kern w:val="0"/>
          <w:sz w:val="32"/>
          <w:szCs w:val="32"/>
        </w:rPr>
        <w:t>0万元或人民币</w:t>
      </w:r>
      <w:r>
        <w:rPr>
          <w:rFonts w:hint="eastAsia" w:ascii="仿宋" w:hAnsi="仿宋" w:eastAsia="仿宋"/>
          <w:snapToGrid w:val="0"/>
          <w:kern w:val="0"/>
          <w:sz w:val="32"/>
          <w:szCs w:val="32"/>
          <w:lang w:val="en-US" w:eastAsia="zh-CN"/>
        </w:rPr>
        <w:t>2</w:t>
      </w:r>
      <w:r>
        <w:rPr>
          <w:rFonts w:ascii="仿宋" w:hAnsi="仿宋" w:eastAsia="仿宋"/>
          <w:snapToGrid w:val="0"/>
          <w:kern w:val="0"/>
          <w:sz w:val="32"/>
          <w:szCs w:val="32"/>
        </w:rPr>
        <w:t>0万元的整倍数</w:t>
      </w:r>
      <w:r>
        <w:rPr>
          <w:rFonts w:hint="eastAsia" w:ascii="仿宋" w:hAnsi="仿宋" w:eastAsia="仿宋"/>
          <w:snapToGrid w:val="0"/>
          <w:kern w:val="0"/>
          <w:sz w:val="32"/>
          <w:szCs w:val="32"/>
          <w:lang w:eastAsia="zh-CN"/>
        </w:rPr>
        <w:t>，</w:t>
      </w:r>
      <w:r>
        <w:rPr>
          <w:rFonts w:ascii="仿宋" w:hAnsi="仿宋" w:eastAsia="仿宋"/>
          <w:snapToGrid w:val="0"/>
          <w:kern w:val="0"/>
          <w:sz w:val="32"/>
          <w:szCs w:val="32"/>
        </w:rPr>
        <w:t>按照价高者得原则确定竞得人（不低于</w:t>
      </w:r>
      <w:r>
        <w:rPr>
          <w:rFonts w:hint="eastAsia" w:ascii="仿宋" w:hAnsi="仿宋" w:eastAsia="仿宋"/>
          <w:snapToGrid w:val="0"/>
          <w:kern w:val="0"/>
          <w:sz w:val="32"/>
          <w:szCs w:val="32"/>
        </w:rPr>
        <w:t>政府设置底价</w:t>
      </w:r>
      <w:r>
        <w:rPr>
          <w:rFonts w:ascii="仿宋" w:hAnsi="仿宋" w:eastAsia="仿宋"/>
          <w:snapToGrid w:val="0"/>
          <w:kern w:val="0"/>
          <w:sz w:val="32"/>
          <w:szCs w:val="32"/>
        </w:rPr>
        <w:t>）。</w:t>
      </w:r>
    </w:p>
    <w:p w14:paraId="56AEDE44">
      <w:pPr>
        <w:spacing w:line="540" w:lineRule="exact"/>
        <w:ind w:firstLine="640" w:firstLineChars="200"/>
        <w:rPr>
          <w:rFonts w:eastAsia="黑体"/>
          <w:sz w:val="32"/>
          <w:szCs w:val="32"/>
        </w:rPr>
      </w:pPr>
      <w:r>
        <w:rPr>
          <w:rFonts w:eastAsia="黑体"/>
          <w:sz w:val="32"/>
          <w:szCs w:val="32"/>
        </w:rPr>
        <w:t>六、竞买保证金缴纳指定账户</w:t>
      </w:r>
    </w:p>
    <w:p w14:paraId="37BB335B">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建设银行开户行：中国建设银行股份有限公司达州荷叶支行</w:t>
      </w:r>
      <w:r>
        <w:rPr>
          <w:rFonts w:hint="eastAsia" w:ascii="仿宋" w:hAnsi="仿宋" w:eastAsia="仿宋"/>
          <w:snapToGrid w:val="0"/>
          <w:kern w:val="0"/>
          <w:sz w:val="32"/>
          <w:szCs w:val="32"/>
          <w:lang w:eastAsia="zh-CN"/>
        </w:rPr>
        <w:t>；</w:t>
      </w:r>
    </w:p>
    <w:p w14:paraId="229858F6">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户名：达州市公共资源交易服务中心交易专户</w:t>
      </w:r>
      <w:r>
        <w:rPr>
          <w:rFonts w:hint="eastAsia" w:ascii="仿宋" w:hAnsi="仿宋" w:eastAsia="仿宋"/>
          <w:snapToGrid w:val="0"/>
          <w:kern w:val="0"/>
          <w:sz w:val="32"/>
          <w:szCs w:val="32"/>
          <w:lang w:eastAsia="zh-CN"/>
        </w:rPr>
        <w:t>；</w:t>
      </w:r>
    </w:p>
    <w:p w14:paraId="73B87413">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账号：系统自动生成</w:t>
      </w:r>
      <w:r>
        <w:rPr>
          <w:rFonts w:hint="eastAsia" w:ascii="仿宋" w:hAnsi="仿宋" w:eastAsia="仿宋"/>
          <w:snapToGrid w:val="0"/>
          <w:kern w:val="0"/>
          <w:sz w:val="32"/>
          <w:szCs w:val="32"/>
          <w:lang w:eastAsia="zh-CN"/>
        </w:rPr>
        <w:t>。</w:t>
      </w:r>
    </w:p>
    <w:p w14:paraId="75B0727E">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农业银行开户行：中国农业银行达州通川支行</w:t>
      </w:r>
      <w:r>
        <w:rPr>
          <w:rFonts w:hint="eastAsia" w:ascii="仿宋" w:hAnsi="仿宋" w:eastAsia="仿宋"/>
          <w:snapToGrid w:val="0"/>
          <w:kern w:val="0"/>
          <w:sz w:val="32"/>
          <w:szCs w:val="32"/>
          <w:lang w:eastAsia="zh-CN"/>
        </w:rPr>
        <w:t>；</w:t>
      </w:r>
    </w:p>
    <w:p w14:paraId="26CDE3CA">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户  名：达州市公共资源交易服务中心交易专户</w:t>
      </w:r>
      <w:r>
        <w:rPr>
          <w:rFonts w:hint="eastAsia" w:ascii="仿宋" w:hAnsi="仿宋" w:eastAsia="仿宋"/>
          <w:snapToGrid w:val="0"/>
          <w:kern w:val="0"/>
          <w:sz w:val="32"/>
          <w:szCs w:val="32"/>
          <w:lang w:eastAsia="zh-CN"/>
        </w:rPr>
        <w:t>；</w:t>
      </w:r>
    </w:p>
    <w:p w14:paraId="715AD325">
      <w:pPr>
        <w:spacing w:line="540" w:lineRule="exact"/>
        <w:ind w:firstLine="640" w:firstLineChars="200"/>
        <w:rPr>
          <w:rFonts w:hint="eastAsia" w:ascii="仿宋" w:hAnsi="仿宋" w:eastAsia="仿宋"/>
          <w:snapToGrid w:val="0"/>
          <w:kern w:val="0"/>
          <w:sz w:val="32"/>
          <w:szCs w:val="32"/>
          <w:lang w:eastAsia="zh-CN"/>
        </w:rPr>
      </w:pPr>
      <w:r>
        <w:rPr>
          <w:rFonts w:hint="eastAsia" w:ascii="仿宋" w:hAnsi="仿宋" w:eastAsia="仿宋"/>
          <w:snapToGrid w:val="0"/>
          <w:kern w:val="0"/>
          <w:sz w:val="32"/>
          <w:szCs w:val="32"/>
        </w:rPr>
        <w:t>账  号：系统自动生成</w:t>
      </w:r>
      <w:r>
        <w:rPr>
          <w:rFonts w:hint="eastAsia" w:ascii="仿宋" w:hAnsi="仿宋" w:eastAsia="仿宋"/>
          <w:snapToGrid w:val="0"/>
          <w:kern w:val="0"/>
          <w:sz w:val="32"/>
          <w:szCs w:val="32"/>
          <w:lang w:eastAsia="zh-CN"/>
        </w:rPr>
        <w:t>。</w:t>
      </w:r>
    </w:p>
    <w:p w14:paraId="32DA90AD">
      <w:pPr>
        <w:spacing w:line="540" w:lineRule="exact"/>
        <w:ind w:firstLine="640" w:firstLineChars="200"/>
        <w:rPr>
          <w:rFonts w:hint="eastAsia" w:ascii="仿宋" w:hAnsi="仿宋" w:eastAsia="仿宋"/>
          <w:snapToGrid w:val="0"/>
          <w:kern w:val="0"/>
          <w:sz w:val="32"/>
          <w:szCs w:val="32"/>
        </w:rPr>
      </w:pPr>
      <w:r>
        <w:rPr>
          <w:rFonts w:hint="eastAsia" w:ascii="仿宋" w:hAnsi="仿宋" w:eastAsia="仿宋"/>
          <w:snapToGrid w:val="0"/>
          <w:kern w:val="0"/>
          <w:sz w:val="32"/>
          <w:szCs w:val="32"/>
        </w:rPr>
        <w:t>工商银行开户行：中国工商银行达州市分行海棠湾支行；</w:t>
      </w:r>
    </w:p>
    <w:p w14:paraId="5CE4152A">
      <w:pPr>
        <w:spacing w:line="540" w:lineRule="exact"/>
        <w:ind w:firstLine="640" w:firstLineChars="200"/>
        <w:rPr>
          <w:rFonts w:hint="eastAsia" w:ascii="仿宋" w:hAnsi="仿宋" w:eastAsia="仿宋"/>
          <w:snapToGrid w:val="0"/>
          <w:kern w:val="0"/>
          <w:sz w:val="32"/>
          <w:szCs w:val="32"/>
        </w:rPr>
      </w:pPr>
      <w:r>
        <w:rPr>
          <w:rFonts w:hint="eastAsia" w:ascii="仿宋" w:hAnsi="仿宋" w:eastAsia="仿宋"/>
          <w:snapToGrid w:val="0"/>
          <w:kern w:val="0"/>
          <w:sz w:val="32"/>
          <w:szCs w:val="32"/>
        </w:rPr>
        <w:t>户名：达州市公共资源交易服务中心交易专户；</w:t>
      </w:r>
    </w:p>
    <w:p w14:paraId="044CF09D">
      <w:pPr>
        <w:spacing w:line="540" w:lineRule="exact"/>
        <w:ind w:firstLine="640" w:firstLineChars="200"/>
        <w:rPr>
          <w:rFonts w:hint="eastAsia" w:ascii="仿宋" w:hAnsi="仿宋" w:eastAsia="仿宋"/>
          <w:snapToGrid w:val="0"/>
          <w:kern w:val="0"/>
          <w:sz w:val="32"/>
          <w:szCs w:val="32"/>
        </w:rPr>
      </w:pPr>
      <w:r>
        <w:rPr>
          <w:rFonts w:hint="eastAsia" w:ascii="仿宋" w:hAnsi="仿宋" w:eastAsia="仿宋"/>
          <w:snapToGrid w:val="0"/>
          <w:kern w:val="0"/>
          <w:sz w:val="32"/>
          <w:szCs w:val="32"/>
        </w:rPr>
        <w:t>账号：系统自动生成。</w:t>
      </w:r>
    </w:p>
    <w:p w14:paraId="6207BBE4">
      <w:pPr>
        <w:pStyle w:val="14"/>
        <w:keepNext w:val="0"/>
        <w:keepLines w:val="0"/>
        <w:pageBreakBefore w:val="0"/>
        <w:kinsoku/>
        <w:wordWrap/>
        <w:overflowPunct/>
        <w:topLinePunct w:val="0"/>
        <w:autoSpaceDE/>
        <w:autoSpaceDN/>
        <w:bidi w:val="0"/>
        <w:adjustRightInd/>
        <w:spacing w:before="0" w:beforeAutospacing="0" w:after="0" w:afterAutospacing="0" w:line="540" w:lineRule="exact"/>
        <w:ind w:firstLine="604" w:firstLineChars="189"/>
        <w:jc w:val="both"/>
        <w:textAlignment w:val="auto"/>
        <w:rPr>
          <w:rFonts w:hint="eastAsia" w:ascii="Times New Roman" w:hAnsi="Times New Roman" w:eastAsia="仿宋" w:cs="Times New Roman"/>
          <w:color w:val="auto"/>
          <w:kern w:val="2"/>
          <w:sz w:val="32"/>
          <w:szCs w:val="32"/>
          <w:highlight w:val="none"/>
          <w:u w:val="none"/>
          <w:lang w:eastAsia="zh-CN"/>
        </w:rPr>
      </w:pPr>
      <w:r>
        <w:rPr>
          <w:rFonts w:hint="eastAsia" w:ascii="Times New Roman" w:hAnsi="Times New Roman" w:eastAsia="仿宋" w:cs="Times New Roman"/>
          <w:color w:val="auto"/>
          <w:kern w:val="2"/>
          <w:sz w:val="32"/>
          <w:szCs w:val="32"/>
          <w:highlight w:val="none"/>
          <w:u w:val="none"/>
          <w:lang w:val="en-US" w:eastAsia="zh-CN"/>
        </w:rPr>
        <w:t>中国</w:t>
      </w:r>
      <w:r>
        <w:rPr>
          <w:rFonts w:ascii="Times New Roman" w:hAnsi="Times New Roman" w:eastAsia="仿宋" w:cs="Times New Roman"/>
          <w:color w:val="auto"/>
          <w:kern w:val="2"/>
          <w:sz w:val="32"/>
          <w:szCs w:val="32"/>
          <w:highlight w:val="none"/>
          <w:u w:val="none"/>
        </w:rPr>
        <w:t>银行开户行：</w:t>
      </w:r>
      <w:r>
        <w:rPr>
          <w:rFonts w:hint="eastAsia" w:ascii="Times New Roman" w:hAnsi="Times New Roman" w:eastAsia="仿宋" w:cs="Times New Roman"/>
          <w:color w:val="auto"/>
          <w:kern w:val="2"/>
          <w:sz w:val="32"/>
          <w:szCs w:val="32"/>
          <w:highlight w:val="none"/>
          <w:u w:val="none"/>
        </w:rPr>
        <w:t>中国银行达州分行营业部</w:t>
      </w:r>
      <w:r>
        <w:rPr>
          <w:rFonts w:hint="eastAsia" w:ascii="Times New Roman" w:hAnsi="Times New Roman" w:eastAsia="仿宋" w:cs="Times New Roman"/>
          <w:color w:val="auto"/>
          <w:kern w:val="2"/>
          <w:sz w:val="32"/>
          <w:szCs w:val="32"/>
          <w:highlight w:val="none"/>
          <w:u w:val="none"/>
          <w:lang w:eastAsia="zh-CN"/>
        </w:rPr>
        <w:t>；</w:t>
      </w:r>
    </w:p>
    <w:p w14:paraId="33115D44">
      <w:pPr>
        <w:pStyle w:val="14"/>
        <w:keepNext w:val="0"/>
        <w:keepLines w:val="0"/>
        <w:pageBreakBefore w:val="0"/>
        <w:kinsoku/>
        <w:wordWrap/>
        <w:overflowPunct/>
        <w:topLinePunct w:val="0"/>
        <w:autoSpaceDE/>
        <w:autoSpaceDN/>
        <w:bidi w:val="0"/>
        <w:adjustRightInd/>
        <w:spacing w:before="0" w:beforeAutospacing="0" w:after="0" w:afterAutospacing="0" w:line="540" w:lineRule="exact"/>
        <w:ind w:firstLine="604" w:firstLineChars="189"/>
        <w:jc w:val="both"/>
        <w:textAlignment w:val="auto"/>
        <w:rPr>
          <w:rFonts w:hint="eastAsia" w:ascii="Times New Roman" w:hAnsi="Times New Roman" w:eastAsia="仿宋" w:cs="Times New Roman"/>
          <w:color w:val="auto"/>
          <w:kern w:val="2"/>
          <w:sz w:val="32"/>
          <w:szCs w:val="32"/>
          <w:highlight w:val="none"/>
          <w:u w:val="none"/>
          <w:lang w:eastAsia="zh-CN"/>
        </w:rPr>
      </w:pPr>
      <w:r>
        <w:rPr>
          <w:rFonts w:ascii="Times New Roman" w:hAnsi="Times New Roman" w:eastAsia="仿宋" w:cs="Times New Roman"/>
          <w:color w:val="auto"/>
          <w:kern w:val="2"/>
          <w:sz w:val="32"/>
          <w:szCs w:val="32"/>
          <w:highlight w:val="none"/>
          <w:u w:val="none"/>
        </w:rPr>
        <w:t>户名：达州市公共资源交易服务中心</w:t>
      </w:r>
      <w:r>
        <w:rPr>
          <w:rFonts w:hint="eastAsia" w:ascii="Times New Roman" w:hAnsi="Times New Roman" w:eastAsia="仿宋" w:cs="Times New Roman"/>
          <w:color w:val="auto"/>
          <w:kern w:val="2"/>
          <w:sz w:val="32"/>
          <w:szCs w:val="32"/>
          <w:highlight w:val="none"/>
          <w:u w:val="none"/>
          <w:lang w:eastAsia="zh-CN"/>
        </w:rPr>
        <w:t>；</w:t>
      </w:r>
    </w:p>
    <w:p w14:paraId="39E7B990">
      <w:pPr>
        <w:spacing w:line="540" w:lineRule="exact"/>
        <w:ind w:firstLine="640" w:firstLineChars="200"/>
        <w:rPr>
          <w:rFonts w:hint="eastAsia" w:ascii="Times New Roman" w:hAnsi="Times New Roman" w:eastAsia="仿宋" w:cs="Times New Roman"/>
          <w:color w:val="auto"/>
          <w:kern w:val="2"/>
          <w:sz w:val="32"/>
          <w:szCs w:val="32"/>
          <w:highlight w:val="none"/>
          <w:u w:val="none"/>
          <w:lang w:eastAsia="zh-CN"/>
        </w:rPr>
      </w:pPr>
      <w:r>
        <w:rPr>
          <w:rFonts w:ascii="Times New Roman" w:hAnsi="Times New Roman" w:eastAsia="仿宋" w:cs="Times New Roman"/>
          <w:color w:val="auto"/>
          <w:kern w:val="2"/>
          <w:sz w:val="32"/>
          <w:szCs w:val="32"/>
          <w:highlight w:val="none"/>
          <w:u w:val="none"/>
        </w:rPr>
        <w:t>账号：系统自动生成</w:t>
      </w:r>
      <w:r>
        <w:rPr>
          <w:rFonts w:hint="eastAsia" w:ascii="Times New Roman" w:hAnsi="Times New Roman" w:eastAsia="仿宋" w:cs="Times New Roman"/>
          <w:color w:val="auto"/>
          <w:kern w:val="2"/>
          <w:sz w:val="32"/>
          <w:szCs w:val="32"/>
          <w:highlight w:val="none"/>
          <w:u w:val="none"/>
          <w:lang w:eastAsia="zh-CN"/>
        </w:rPr>
        <w:t>。</w:t>
      </w:r>
    </w:p>
    <w:p w14:paraId="092FB57F">
      <w:pPr>
        <w:spacing w:line="540" w:lineRule="exact"/>
        <w:ind w:firstLine="640" w:firstLineChars="200"/>
        <w:rPr>
          <w:rFonts w:eastAsia="黑体"/>
          <w:sz w:val="32"/>
          <w:szCs w:val="32"/>
        </w:rPr>
      </w:pPr>
      <w:r>
        <w:rPr>
          <w:rFonts w:eastAsia="黑体"/>
          <w:sz w:val="32"/>
          <w:szCs w:val="32"/>
        </w:rPr>
        <w:t>七、对交易矿业权异议的处理方式</w:t>
      </w:r>
    </w:p>
    <w:p w14:paraId="3BC7C5F1">
      <w:pPr>
        <w:spacing w:line="540" w:lineRule="exact"/>
        <w:ind w:firstLine="640" w:firstLineChars="200"/>
        <w:rPr>
          <w:rFonts w:ascii="仿宋" w:hAnsi="仿宋" w:eastAsia="仿宋"/>
          <w:snapToGrid w:val="0"/>
          <w:kern w:val="0"/>
          <w:sz w:val="32"/>
          <w:szCs w:val="32"/>
        </w:rPr>
      </w:pPr>
      <w:bookmarkStart w:id="18" w:name="_Hlk141474411"/>
      <w:r>
        <w:rPr>
          <w:rFonts w:ascii="仿宋" w:hAnsi="仿宋" w:eastAsia="仿宋"/>
          <w:snapToGrid w:val="0"/>
          <w:kern w:val="0"/>
          <w:sz w:val="32"/>
          <w:szCs w:val="32"/>
        </w:rPr>
        <w:t>如对本次拍卖出让采矿权有异议的，应在相应环节截止前以书面方式向</w:t>
      </w:r>
      <w:r>
        <w:rPr>
          <w:rFonts w:hint="eastAsia" w:ascii="仿宋" w:hAnsi="仿宋" w:eastAsia="仿宋" w:cs="仿宋_GB2312"/>
          <w:sz w:val="32"/>
          <w:szCs w:val="32"/>
        </w:rPr>
        <w:t>达州市通川区自然资源局</w:t>
      </w:r>
      <w:r>
        <w:rPr>
          <w:rFonts w:ascii="仿宋" w:hAnsi="仿宋" w:eastAsia="仿宋"/>
          <w:snapToGrid w:val="0"/>
          <w:kern w:val="0"/>
          <w:sz w:val="32"/>
          <w:szCs w:val="32"/>
        </w:rPr>
        <w:t>提出。</w:t>
      </w:r>
    </w:p>
    <w:bookmarkEnd w:id="18"/>
    <w:p w14:paraId="4C2F13AF">
      <w:pPr>
        <w:spacing w:line="540" w:lineRule="exact"/>
        <w:ind w:firstLine="640" w:firstLineChars="200"/>
        <w:rPr>
          <w:rFonts w:eastAsia="黑体"/>
          <w:sz w:val="32"/>
          <w:szCs w:val="32"/>
        </w:rPr>
      </w:pPr>
      <w:r>
        <w:rPr>
          <w:rFonts w:eastAsia="黑体"/>
          <w:sz w:val="32"/>
          <w:szCs w:val="32"/>
        </w:rPr>
        <w:t>八、失信联合惩戒提示</w:t>
      </w:r>
    </w:p>
    <w:p w14:paraId="1FC9F52A">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公开拍卖成交后，竞得人如不按要求签订《成交确认书》、支付相关费用、签订《采矿权出让合同》、</w:t>
      </w:r>
      <w:r>
        <w:rPr>
          <w:rFonts w:hint="eastAsia" w:ascii="仿宋" w:hAnsi="仿宋" w:eastAsia="仿宋"/>
          <w:snapToGrid w:val="0"/>
          <w:kern w:val="0"/>
          <w:sz w:val="32"/>
          <w:szCs w:val="32"/>
        </w:rPr>
        <w:t>足额</w:t>
      </w:r>
      <w:r>
        <w:rPr>
          <w:rFonts w:ascii="仿宋" w:hAnsi="仿宋" w:eastAsia="仿宋"/>
          <w:snapToGrid w:val="0"/>
          <w:kern w:val="0"/>
          <w:sz w:val="32"/>
          <w:szCs w:val="32"/>
        </w:rPr>
        <w:t>缴纳矿业权出让收益以及有其他违法违规行为的，则将被纳入公共资源交易领域失信黑名单，会同相关部门实施联合惩戒。</w:t>
      </w:r>
    </w:p>
    <w:p w14:paraId="7D4CA4F5">
      <w:pPr>
        <w:spacing w:line="540" w:lineRule="exact"/>
        <w:ind w:firstLine="640" w:firstLineChars="200"/>
        <w:rPr>
          <w:rFonts w:eastAsia="黑体"/>
          <w:sz w:val="32"/>
          <w:szCs w:val="32"/>
        </w:rPr>
      </w:pPr>
      <w:r>
        <w:rPr>
          <w:rFonts w:eastAsia="黑体"/>
          <w:sz w:val="32"/>
          <w:szCs w:val="32"/>
        </w:rPr>
        <w:t>九、风险提示</w:t>
      </w:r>
    </w:p>
    <w:p w14:paraId="04837C45">
      <w:pPr>
        <w:adjustRightInd w:val="0"/>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（一）本次出让的采矿权范围与油气矿业权可能存在重叠。竞得人须出具不影响油气矿业权人权益的书面承诺，并在矿山开采过程中严格遵守。</w:t>
      </w:r>
    </w:p>
    <w:p w14:paraId="152BC11D">
      <w:pPr>
        <w:adjustRightInd w:val="0"/>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二）地质构造、矿产资源赋存具有复杂性和不确定性。出让人提供的相关地质资料和资源情况为有资质单位进行勘测的结果，《勘探报告》及相关资料所载明矿区范围的资源量、品位及矿体赋存状态等仅代表现阶段的认识，可能会因进一步的生产性勘探和开发而发生一定变化。对此，竞买人需认真考察，自行咨询有关地质专家并详细参阅矿区有关地质资料，到实地进行踏勘，详细了解该采矿权相关情况，并自行承担可能出现的风险。</w:t>
      </w:r>
    </w:p>
    <w:p w14:paraId="2CA15664">
      <w:pPr>
        <w:adjustRightInd w:val="0"/>
        <w:spacing w:line="540" w:lineRule="exact"/>
        <w:ind w:firstLine="640" w:firstLineChars="200"/>
        <w:rPr>
          <w:rFonts w:ascii="仿宋" w:hAnsi="仿宋" w:eastAsia="仿宋"/>
          <w:snapToGrid w:val="0"/>
          <w:spacing w:val="-4"/>
          <w:kern w:val="0"/>
          <w:sz w:val="32"/>
          <w:szCs w:val="32"/>
        </w:rPr>
      </w:pPr>
      <w:r>
        <w:rPr>
          <w:rFonts w:ascii="仿宋" w:hAnsi="仿宋" w:eastAsia="仿宋"/>
          <w:snapToGrid w:val="0"/>
          <w:kern w:val="0"/>
          <w:sz w:val="32"/>
          <w:szCs w:val="32"/>
        </w:rPr>
        <w:t>（三）采矿权投</w:t>
      </w:r>
      <w:r>
        <w:rPr>
          <w:rFonts w:ascii="仿宋" w:hAnsi="仿宋" w:eastAsia="仿宋"/>
          <w:snapToGrid w:val="0"/>
          <w:spacing w:val="-4"/>
          <w:kern w:val="0"/>
          <w:sz w:val="32"/>
          <w:szCs w:val="32"/>
        </w:rPr>
        <w:t>资存在不可预计的风险，包括但不限于安全、地质灾害防治、环境保护等要求影响，对特定采矿方法、选矿方法的限制影响，国家产业政策或者矿产资源规划调整影响，不可抗力影响，以及矿山开采涉及的土地、山权、林权、道路、地下管线、水电供给、地上建构筑物、地表附着物、废渣占地堆放、社群关系等外部条件影响。对此，竞买人需详细了解，认真考虑，谨慎决策，并自行承担可能产生的一切风险。</w:t>
      </w:r>
    </w:p>
    <w:p w14:paraId="481C5014">
      <w:pPr>
        <w:adjustRightInd w:val="0"/>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四）竞得人应充分了解采矿权竞得后办理采矿许可证和矿产资源开发开采所需其他有关部门手续的相关要求，以及部门法律法规政策的要求，可能存在认定是不宜开采或者因政策的新变动导致不能开采等风险，竞买申请人应慎重决策，风险由竞得人自行承担。</w:t>
      </w:r>
    </w:p>
    <w:p w14:paraId="37961695">
      <w:pPr>
        <w:adjustRightInd w:val="0"/>
        <w:spacing w:line="540" w:lineRule="exact"/>
        <w:ind w:firstLine="640" w:firstLineChars="200"/>
        <w:rPr>
          <w:rFonts w:eastAsia="仿宋_GB2312"/>
          <w:snapToGrid w:val="0"/>
          <w:kern w:val="0"/>
          <w:sz w:val="32"/>
          <w:szCs w:val="32"/>
        </w:rPr>
      </w:pPr>
      <w:r>
        <w:rPr>
          <w:rFonts w:ascii="仿宋" w:hAnsi="仿宋" w:eastAsia="仿宋"/>
          <w:snapToGrid w:val="0"/>
          <w:kern w:val="0"/>
          <w:sz w:val="32"/>
          <w:szCs w:val="32"/>
        </w:rPr>
        <w:t>（五）竞买人在决定申请竞买前应认真阅读出让采矿权的出让文件，竞买人一旦决定参加竞买并提交竞买申请，即视为竞买申请人对采矿权相关地质资料、资源情况及矿山生产、开发利用过程中所产生的投资风险、政策风险、采矿风险、安全风险及其他不可预见的影响因素已完全认知并自愿承担所有风险，出让人不承担任何责任。一旦竞得并成为采矿权人，视为对本出让采矿权的所有设定条件和情况无异议，不得以包括但不限于资源储量、矿权范围、开采深度、开采条件、发生不可抗力等情况为由向自然资源等部门提出退款、索赔、延长开采期限等要求。</w:t>
      </w:r>
    </w:p>
    <w:p w14:paraId="38B78DE8">
      <w:pPr>
        <w:spacing w:line="540" w:lineRule="exact"/>
        <w:ind w:firstLine="640" w:firstLineChars="200"/>
        <w:rPr>
          <w:rFonts w:eastAsia="黑体"/>
          <w:sz w:val="32"/>
          <w:szCs w:val="32"/>
        </w:rPr>
      </w:pPr>
      <w:r>
        <w:rPr>
          <w:rFonts w:eastAsia="黑体"/>
          <w:sz w:val="32"/>
          <w:szCs w:val="32"/>
        </w:rPr>
        <w:t>十、竞买要求及注意事项</w:t>
      </w:r>
    </w:p>
    <w:p w14:paraId="68E0CBB7">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（一）本次出让的仅是采矿权，不包括土地使用权和其他物权。出让成交价仅为采矿权出让收益，不包括其它规费、税费、地上构建物拆除补偿、地下管线（管网）以及其他拆迁安置补偿费用等。</w:t>
      </w:r>
    </w:p>
    <w:p w14:paraId="447688CF">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（二）本次出让采矿权范围内如与输变电线路及配电变压器存在重叠，采矿权人在勘查、开发利用过程中应保证各线路及配电变压器安全。</w:t>
      </w:r>
    </w:p>
    <w:p w14:paraId="676A1029">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val="en-US" w:eastAsia="zh-CN"/>
        </w:rPr>
        <w:t>三</w:t>
      </w:r>
      <w:r>
        <w:rPr>
          <w:rFonts w:ascii="仿宋" w:hAnsi="仿宋" w:eastAsia="仿宋" w:cs="Times New Roman"/>
          <w:snapToGrid w:val="0"/>
          <w:kern w:val="0"/>
          <w:sz w:val="32"/>
          <w:szCs w:val="32"/>
        </w:rPr>
        <w:t>）采矿权出让后，竞得人须按规定到有关部门申办用地、用林、水保、环评、安全生产、营业执照、税务登记等相关手续，所需资料及相关费用由竞得人自行承担。</w:t>
      </w:r>
    </w:p>
    <w:p w14:paraId="2854AA89">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val="en-US" w:eastAsia="zh-CN"/>
        </w:rPr>
        <w:t>四</w:t>
      </w:r>
      <w:r>
        <w:rPr>
          <w:rFonts w:ascii="仿宋" w:hAnsi="仿宋" w:eastAsia="仿宋" w:cs="Times New Roman"/>
          <w:snapToGrid w:val="0"/>
          <w:kern w:val="0"/>
          <w:sz w:val="32"/>
          <w:szCs w:val="32"/>
        </w:rPr>
        <w:t>）</w:t>
      </w:r>
      <w:bookmarkStart w:id="19" w:name="_Hlk135245115"/>
      <w:r>
        <w:rPr>
          <w:rFonts w:ascii="仿宋" w:hAnsi="仿宋" w:eastAsia="仿宋" w:cs="Times New Roman"/>
          <w:snapToGrid w:val="0"/>
          <w:kern w:val="0"/>
          <w:sz w:val="32"/>
          <w:szCs w:val="32"/>
        </w:rPr>
        <w:t>采矿权竞得人须按相关要求编制《矿产资源开</w:t>
      </w:r>
      <w:r>
        <w:rPr>
          <w:rFonts w:ascii="仿宋" w:hAnsi="仿宋" w:eastAsia="仿宋" w:cs="Times New Roman"/>
          <w:snapToGrid w:val="0"/>
          <w:kern w:val="0"/>
          <w:sz w:val="32"/>
          <w:szCs w:val="32"/>
          <w:lang w:eastAsia="zh-CN"/>
        </w:rPr>
        <w:t>采</w:t>
      </w:r>
      <w:r>
        <w:rPr>
          <w:rFonts w:ascii="仿宋" w:hAnsi="仿宋" w:eastAsia="仿宋" w:cs="Times New Roman"/>
          <w:snapToGrid w:val="0"/>
          <w:kern w:val="0"/>
          <w:sz w:val="32"/>
          <w:szCs w:val="32"/>
        </w:rPr>
        <w:t>方案》《矿区生态修复方案》等资料并通过相关部门审查、</w:t>
      </w:r>
      <w:r>
        <w:rPr>
          <w:rFonts w:ascii="仿宋" w:hAnsi="仿宋" w:eastAsia="仿宋" w:cs="Times New Roman"/>
          <w:snapToGrid w:val="0"/>
          <w:kern w:val="0"/>
          <w:sz w:val="32"/>
          <w:szCs w:val="32"/>
          <w:lang w:eastAsia="zh-CN"/>
        </w:rPr>
        <w:t>公示</w:t>
      </w:r>
      <w:r>
        <w:rPr>
          <w:rFonts w:ascii="仿宋" w:hAnsi="仿宋" w:eastAsia="仿宋" w:cs="Times New Roman"/>
          <w:snapToGrid w:val="0"/>
          <w:kern w:val="0"/>
          <w:sz w:val="32"/>
          <w:szCs w:val="32"/>
        </w:rPr>
        <w:t>。</w:t>
      </w:r>
      <w:bookmarkEnd w:id="19"/>
      <w:r>
        <w:rPr>
          <w:rFonts w:ascii="仿宋" w:hAnsi="仿宋" w:eastAsia="仿宋" w:cs="Times New Roman"/>
          <w:snapToGrid w:val="0"/>
          <w:kern w:val="0"/>
          <w:sz w:val="32"/>
          <w:szCs w:val="32"/>
        </w:rPr>
        <w:t>在矿产资源开发利用过程中，严格按照相关要求开发利用矿产资源和履行</w:t>
      </w:r>
      <w:r>
        <w:rPr>
          <w:rFonts w:hint="eastAsia" w:ascii="仿宋" w:hAnsi="仿宋" w:eastAsia="仿宋" w:cs="Times New Roman"/>
          <w:snapToGrid w:val="0"/>
          <w:kern w:val="0"/>
          <w:sz w:val="32"/>
          <w:szCs w:val="32"/>
        </w:rPr>
        <w:t>土地复垦、矿山地质环境保护与治理恢复</w:t>
      </w:r>
      <w:r>
        <w:rPr>
          <w:rFonts w:hint="eastAsia" w:ascii="仿宋" w:hAnsi="仿宋" w:eastAsia="仿宋" w:cs="Times New Roman"/>
          <w:snapToGrid w:val="0"/>
          <w:kern w:val="0"/>
          <w:sz w:val="32"/>
          <w:szCs w:val="32"/>
          <w:lang w:val="en-US" w:eastAsia="zh-CN"/>
        </w:rPr>
        <w:t>等</w:t>
      </w:r>
      <w:r>
        <w:rPr>
          <w:rFonts w:ascii="仿宋" w:hAnsi="仿宋" w:eastAsia="仿宋" w:cs="Times New Roman"/>
          <w:snapToGrid w:val="0"/>
          <w:kern w:val="0"/>
          <w:sz w:val="32"/>
          <w:szCs w:val="32"/>
        </w:rPr>
        <w:t>矿区修复义务等法定义务。采矿权竞得人应按照国家、四川省绿色矿山标准和《采矿权出让合同》约定，建设绿色矿山。</w:t>
      </w:r>
    </w:p>
    <w:p w14:paraId="45B0736F">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lang w:eastAsia="zh-CN"/>
        </w:rPr>
        <w:t>（五）</w:t>
      </w:r>
      <w:r>
        <w:rPr>
          <w:rFonts w:ascii="仿宋" w:hAnsi="仿宋" w:eastAsia="仿宋" w:cs="Times New Roman"/>
          <w:snapToGrid w:val="0"/>
          <w:kern w:val="0"/>
          <w:sz w:val="32"/>
          <w:szCs w:val="32"/>
        </w:rPr>
        <w:t>竞得人自取得缴款凭证之日起15个工作日内，应向出让方申请办理采矿权登记。自《采矿权出让合同》签订之日起12个月内，竞得人应编制开采方案、矿区生态修复方案，申请办理采矿许可。</w:t>
      </w:r>
    </w:p>
    <w:p w14:paraId="36173599">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eastAsia="zh-CN"/>
        </w:rPr>
        <w:t>六</w:t>
      </w:r>
      <w:r>
        <w:rPr>
          <w:rFonts w:ascii="仿宋" w:hAnsi="仿宋" w:eastAsia="仿宋" w:cs="Times New Roman"/>
          <w:snapToGrid w:val="0"/>
          <w:kern w:val="0"/>
          <w:sz w:val="32"/>
          <w:szCs w:val="32"/>
        </w:rPr>
        <w:t>）采矿权竞得人需要编制矿区地质灾害</w:t>
      </w:r>
      <w:r>
        <w:rPr>
          <w:rFonts w:ascii="仿宋" w:hAnsi="仿宋" w:eastAsia="仿宋" w:cs="Times New Roman"/>
          <w:snapToGrid w:val="0"/>
          <w:kern w:val="0"/>
          <w:sz w:val="32"/>
          <w:szCs w:val="32"/>
          <w:lang w:val="en-US" w:eastAsia="zh-CN"/>
        </w:rPr>
        <w:t>危险性</w:t>
      </w:r>
      <w:r>
        <w:rPr>
          <w:rFonts w:ascii="仿宋" w:hAnsi="仿宋" w:eastAsia="仿宋" w:cs="Times New Roman"/>
          <w:snapToGrid w:val="0"/>
          <w:kern w:val="0"/>
          <w:sz w:val="32"/>
          <w:szCs w:val="32"/>
        </w:rPr>
        <w:t>评估报告，</w:t>
      </w:r>
      <w:r>
        <w:rPr>
          <w:rFonts w:ascii="仿宋" w:hAnsi="仿宋" w:eastAsia="仿宋" w:cs="Times New Roman"/>
          <w:snapToGrid w:val="0"/>
          <w:kern w:val="0"/>
          <w:sz w:val="32"/>
          <w:szCs w:val="32"/>
          <w:lang w:val="en-US" w:eastAsia="zh-CN"/>
        </w:rPr>
        <w:t>并做好矿区及周边地质灾害防治工作</w:t>
      </w:r>
      <w:r>
        <w:rPr>
          <w:rFonts w:ascii="仿宋" w:hAnsi="仿宋" w:eastAsia="仿宋" w:cs="Times New Roman"/>
          <w:snapToGrid w:val="0"/>
          <w:kern w:val="0"/>
          <w:sz w:val="32"/>
          <w:szCs w:val="32"/>
        </w:rPr>
        <w:t>，严禁诱发人为地质灾害，若因采矿活动诱发人为地质灾害，按照</w:t>
      </w:r>
      <w:r>
        <w:rPr>
          <w:rFonts w:ascii="仿宋" w:hAnsi="仿宋" w:eastAsia="仿宋" w:cs="Times New Roman"/>
          <w:snapToGrid w:val="0"/>
          <w:kern w:val="0"/>
          <w:sz w:val="32"/>
          <w:szCs w:val="32"/>
          <w:lang w:eastAsia="zh-CN"/>
        </w:rPr>
        <w:t>“</w:t>
      </w:r>
      <w:r>
        <w:rPr>
          <w:rFonts w:ascii="仿宋" w:hAnsi="仿宋" w:eastAsia="仿宋" w:cs="Times New Roman"/>
          <w:snapToGrid w:val="0"/>
          <w:kern w:val="0"/>
          <w:sz w:val="32"/>
          <w:szCs w:val="32"/>
        </w:rPr>
        <w:t>谁</w:t>
      </w:r>
      <w:r>
        <w:rPr>
          <w:rFonts w:ascii="仿宋" w:hAnsi="仿宋" w:eastAsia="仿宋" w:cs="Times New Roman"/>
          <w:snapToGrid w:val="0"/>
          <w:kern w:val="0"/>
          <w:sz w:val="32"/>
          <w:szCs w:val="32"/>
          <w:lang w:val="en-US" w:eastAsia="zh-CN"/>
        </w:rPr>
        <w:t>引发</w:t>
      </w:r>
      <w:r>
        <w:rPr>
          <w:rFonts w:ascii="仿宋" w:hAnsi="仿宋" w:eastAsia="仿宋" w:cs="Times New Roman"/>
          <w:snapToGrid w:val="0"/>
          <w:kern w:val="0"/>
          <w:sz w:val="32"/>
          <w:szCs w:val="32"/>
        </w:rPr>
        <w:t>、谁治理</w:t>
      </w:r>
      <w:r>
        <w:rPr>
          <w:rFonts w:ascii="仿宋" w:hAnsi="仿宋" w:eastAsia="仿宋" w:cs="Times New Roman"/>
          <w:snapToGrid w:val="0"/>
          <w:kern w:val="0"/>
          <w:sz w:val="32"/>
          <w:szCs w:val="32"/>
          <w:lang w:eastAsia="zh-CN"/>
        </w:rPr>
        <w:t>”</w:t>
      </w:r>
      <w:r>
        <w:rPr>
          <w:rFonts w:ascii="仿宋" w:hAnsi="仿宋" w:eastAsia="仿宋" w:cs="Times New Roman"/>
          <w:snapToGrid w:val="0"/>
          <w:kern w:val="0"/>
          <w:sz w:val="32"/>
          <w:szCs w:val="32"/>
        </w:rPr>
        <w:t>的原则，一切损失由采矿权人自行承担，并对诱发的地质灾害进行治理。</w:t>
      </w:r>
    </w:p>
    <w:p w14:paraId="6ABC2887">
      <w:pPr>
        <w:spacing w:line="540" w:lineRule="exact"/>
        <w:ind w:firstLine="640" w:firstLineChars="200"/>
        <w:rPr>
          <w:rFonts w:eastAsia="黑体"/>
          <w:sz w:val="32"/>
          <w:szCs w:val="32"/>
        </w:rPr>
      </w:pPr>
      <w:r>
        <w:rPr>
          <w:rFonts w:eastAsia="黑体"/>
          <w:sz w:val="32"/>
          <w:szCs w:val="32"/>
        </w:rPr>
        <w:t>十一、其它事项</w:t>
      </w:r>
    </w:p>
    <w:p w14:paraId="7BACDF42">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一）本次拍卖出让不接受信函、传真、电子邮件、电话和口头竞买申请。凡参与竞买的申请人须对本公告、出让文件、采矿权详情全面了解、完全接受、不持异议，必须承认起始价，报价规则详见拍卖出让文件。</w:t>
      </w:r>
    </w:p>
    <w:p w14:paraId="173693C8">
      <w:pPr>
        <w:spacing w:line="540"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（二）本公告未尽事宜详见拍卖出让文件〔拍卖出让文件可在达州市公共资源交易服务网（http://www.dzggzy.cn</w:t>
      </w:r>
      <w:r>
        <w:rPr>
          <w:rFonts w:hint="eastAsia" w:ascii="仿宋" w:hAnsi="仿宋" w:eastAsia="仿宋"/>
          <w:snapToGrid w:val="0"/>
          <w:kern w:val="0"/>
          <w:sz w:val="32"/>
          <w:szCs w:val="32"/>
        </w:rPr>
        <w:t>/</w:t>
      </w:r>
      <w:r>
        <w:rPr>
          <w:rFonts w:ascii="仿宋" w:hAnsi="仿宋" w:eastAsia="仿宋"/>
          <w:snapToGrid w:val="0"/>
          <w:kern w:val="0"/>
          <w:sz w:val="32"/>
          <w:szCs w:val="32"/>
        </w:rPr>
        <w:t>）下载〕，申请人应认真审阅、全面准确地了解、掌握拍卖出让文件的详细内容及有关要求。公告发布后可能出现延期、中止、终止等变更情况，为保障各竞买人顺利参加本次拍卖活动，敬请各竞买人在交易开始前随时关注、查阅相关公告信息，并按要求完善相关事项。</w:t>
      </w:r>
    </w:p>
    <w:p w14:paraId="59EB0614">
      <w:pPr>
        <w:spacing w:line="540" w:lineRule="exact"/>
        <w:ind w:firstLine="640" w:firstLineChars="200"/>
        <w:rPr>
          <w:rFonts w:ascii="仿宋" w:hAnsi="仿宋" w:eastAsia="仿宋"/>
          <w:snapToGrid w:val="0"/>
          <w:kern w:val="0"/>
          <w:sz w:val="32"/>
          <w:szCs w:val="32"/>
        </w:rPr>
      </w:pPr>
      <w:bookmarkStart w:id="20" w:name="_Hlk141475135"/>
      <w:r>
        <w:rPr>
          <w:rFonts w:ascii="仿宋" w:hAnsi="仿宋" w:eastAsia="仿宋"/>
          <w:snapToGrid w:val="0"/>
          <w:kern w:val="0"/>
          <w:sz w:val="32"/>
          <w:szCs w:val="32"/>
        </w:rPr>
        <w:t>（三）竞买申请人如对本次拍卖出让采矿权有疑问的，可向出让人咨询；如对交易平台技术问题等有疑问的，可向交易平台咨询。</w:t>
      </w:r>
    </w:p>
    <w:bookmarkEnd w:id="20"/>
    <w:p w14:paraId="33570785">
      <w:pPr>
        <w:spacing w:line="540" w:lineRule="exact"/>
        <w:ind w:firstLine="640" w:firstLineChars="200"/>
        <w:rPr>
          <w:rFonts w:hint="eastAsia" w:ascii="仿宋" w:hAnsi="仿宋" w:eastAsia="仿宋"/>
          <w:color w:val="auto"/>
          <w:sz w:val="32"/>
          <w:szCs w:val="32"/>
        </w:rPr>
      </w:pPr>
      <w:bookmarkStart w:id="21" w:name="_Hlk141476309"/>
      <w:r>
        <w:rPr>
          <w:rFonts w:ascii="仿宋" w:hAnsi="仿宋" w:eastAsia="仿宋"/>
          <w:sz w:val="32"/>
          <w:szCs w:val="32"/>
        </w:rPr>
        <w:t>1．</w:t>
      </w:r>
      <w:r>
        <w:rPr>
          <w:rFonts w:ascii="仿宋" w:hAnsi="仿宋" w:eastAsia="仿宋"/>
          <w:color w:val="auto"/>
          <w:sz w:val="32"/>
          <w:szCs w:val="32"/>
        </w:rPr>
        <w:t>出让人：</w:t>
      </w:r>
      <w:r>
        <w:rPr>
          <w:rFonts w:hint="eastAsia" w:ascii="仿宋" w:hAnsi="仿宋" w:eastAsia="仿宋"/>
          <w:color w:val="auto"/>
          <w:sz w:val="32"/>
          <w:szCs w:val="32"/>
        </w:rPr>
        <w:t>达州市通川区自然资源局</w:t>
      </w:r>
    </w:p>
    <w:p w14:paraId="79316556">
      <w:pPr>
        <w:spacing w:line="540" w:lineRule="exact"/>
        <w:ind w:firstLine="1148"/>
        <w:rPr>
          <w:rFonts w:ascii="仿宋" w:hAnsi="仿宋" w:eastAsia="仿宋"/>
          <w:color w:val="auto"/>
          <w:sz w:val="32"/>
          <w:szCs w:val="32"/>
        </w:rPr>
      </w:pPr>
      <w:r>
        <w:rPr>
          <w:rFonts w:ascii="仿宋" w:hAnsi="仿宋" w:eastAsia="仿宋"/>
          <w:color w:val="auto"/>
          <w:sz w:val="32"/>
          <w:szCs w:val="32"/>
        </w:rPr>
        <w:t>联系地址：</w:t>
      </w:r>
      <w:r>
        <w:rPr>
          <w:rFonts w:hint="eastAsia" w:ascii="仿宋" w:hAnsi="仿宋" w:eastAsia="仿宋"/>
          <w:color w:val="auto"/>
          <w:sz w:val="32"/>
          <w:szCs w:val="32"/>
        </w:rPr>
        <w:t>通川区凤北街道张家坝社区青杠垭路38号</w:t>
      </w:r>
    </w:p>
    <w:p w14:paraId="159BD7F3">
      <w:pPr>
        <w:spacing w:line="540" w:lineRule="exact"/>
        <w:ind w:firstLine="1148"/>
        <w:rPr>
          <w:rFonts w:ascii="仿宋" w:hAnsi="仿宋" w:eastAsia="仿宋"/>
          <w:color w:val="auto"/>
          <w:sz w:val="32"/>
          <w:szCs w:val="32"/>
        </w:rPr>
      </w:pPr>
      <w:r>
        <w:rPr>
          <w:rFonts w:ascii="仿宋" w:hAnsi="仿宋" w:eastAsia="仿宋"/>
          <w:color w:val="auto"/>
          <w:sz w:val="32"/>
          <w:szCs w:val="32"/>
        </w:rPr>
        <w:t>联系电话：</w:t>
      </w:r>
      <w:r>
        <w:rPr>
          <w:rFonts w:hint="eastAsia" w:ascii="仿宋" w:hAnsi="仿宋" w:eastAsia="仿宋"/>
          <w:color w:val="auto"/>
          <w:sz w:val="32"/>
          <w:szCs w:val="32"/>
        </w:rPr>
        <w:t>0818-2372076</w:t>
      </w:r>
    </w:p>
    <w:p w14:paraId="31F04435">
      <w:pPr>
        <w:spacing w:line="540" w:lineRule="exact"/>
        <w:ind w:firstLine="640" w:firstLineChars="200"/>
        <w:rPr>
          <w:rFonts w:ascii="仿宋" w:hAnsi="仿宋" w:eastAsia="仿宋"/>
          <w:color w:val="auto"/>
          <w:sz w:val="32"/>
          <w:szCs w:val="32"/>
        </w:rPr>
      </w:pPr>
      <w:r>
        <w:rPr>
          <w:rFonts w:ascii="仿宋" w:hAnsi="仿宋" w:eastAsia="仿宋"/>
          <w:color w:val="auto"/>
          <w:sz w:val="32"/>
          <w:szCs w:val="32"/>
        </w:rPr>
        <w:t>2．矿业权交易平台：达州市公共资源交易服务中心</w:t>
      </w:r>
    </w:p>
    <w:p w14:paraId="4F051690">
      <w:pPr>
        <w:spacing w:line="540" w:lineRule="exact"/>
        <w:ind w:left="2769" w:leftChars="540" w:hanging="1635" w:hangingChars="511"/>
        <w:rPr>
          <w:rFonts w:ascii="仿宋" w:hAnsi="仿宋" w:eastAsia="仿宋"/>
          <w:b/>
          <w:color w:val="auto"/>
          <w:sz w:val="32"/>
          <w:szCs w:val="32"/>
          <w:u w:val="single"/>
        </w:rPr>
      </w:pPr>
      <w:r>
        <w:rPr>
          <w:rFonts w:ascii="仿宋" w:hAnsi="仿宋" w:eastAsia="仿宋"/>
          <w:color w:val="auto"/>
          <w:sz w:val="32"/>
          <w:szCs w:val="32"/>
        </w:rPr>
        <w:t>联系地址：四川省达州市马踏洞新区龙马大道与鱼泉路交叉口处新政务服务大楼</w:t>
      </w:r>
    </w:p>
    <w:p w14:paraId="2A5CE430">
      <w:pPr>
        <w:spacing w:line="540" w:lineRule="exact"/>
        <w:ind w:left="3104" w:leftChars="541" w:hanging="1968" w:hangingChars="615"/>
        <w:rPr>
          <w:rFonts w:ascii="仿宋" w:hAnsi="仿宋" w:eastAsia="仿宋"/>
          <w:color w:val="auto"/>
          <w:sz w:val="32"/>
          <w:szCs w:val="32"/>
        </w:rPr>
      </w:pPr>
      <w:r>
        <w:rPr>
          <w:rFonts w:ascii="仿宋" w:hAnsi="仿宋" w:eastAsia="仿宋"/>
          <w:color w:val="auto"/>
          <w:sz w:val="32"/>
          <w:szCs w:val="32"/>
        </w:rPr>
        <w:t>联系电话：0818-309134</w:t>
      </w:r>
      <w:r>
        <w:rPr>
          <w:rFonts w:hint="eastAsia" w:ascii="仿宋" w:hAnsi="仿宋" w:eastAsia="仿宋"/>
          <w:color w:val="auto"/>
          <w:sz w:val="32"/>
          <w:szCs w:val="32"/>
          <w:lang w:val="en-US" w:eastAsia="zh-CN"/>
        </w:rPr>
        <w:t>6</w:t>
      </w:r>
      <w:r>
        <w:rPr>
          <w:rFonts w:ascii="仿宋" w:hAnsi="仿宋" w:eastAsia="仿宋"/>
          <w:color w:val="auto"/>
          <w:sz w:val="32"/>
          <w:szCs w:val="32"/>
        </w:rPr>
        <w:t>（组织科）</w:t>
      </w:r>
    </w:p>
    <w:p w14:paraId="44299823">
      <w:pPr>
        <w:spacing w:line="540" w:lineRule="exact"/>
        <w:ind w:firstLine="2730"/>
        <w:rPr>
          <w:rFonts w:ascii="仿宋" w:hAnsi="仿宋" w:eastAsia="仿宋"/>
          <w:color w:val="auto"/>
          <w:sz w:val="32"/>
          <w:szCs w:val="32"/>
        </w:rPr>
      </w:pPr>
      <w:r>
        <w:rPr>
          <w:rFonts w:ascii="仿宋" w:hAnsi="仿宋" w:eastAsia="仿宋"/>
          <w:color w:val="auto"/>
          <w:sz w:val="32"/>
          <w:szCs w:val="32"/>
        </w:rPr>
        <w:t>0818-3091351（信息科）</w:t>
      </w:r>
    </w:p>
    <w:p w14:paraId="0C120A65">
      <w:pPr>
        <w:spacing w:line="540" w:lineRule="exact"/>
        <w:ind w:firstLine="640" w:firstLineChars="200"/>
        <w:rPr>
          <w:rFonts w:ascii="仿宋" w:hAnsi="仿宋" w:eastAsia="仿宋"/>
          <w:color w:val="auto"/>
          <w:sz w:val="32"/>
          <w:szCs w:val="32"/>
        </w:rPr>
      </w:pPr>
      <w:bookmarkStart w:id="22" w:name="_Hlk141475160"/>
      <w:r>
        <w:rPr>
          <w:rFonts w:ascii="仿宋" w:hAnsi="仿宋" w:eastAsia="仿宋"/>
          <w:color w:val="auto"/>
          <w:sz w:val="32"/>
          <w:szCs w:val="32"/>
        </w:rPr>
        <w:t>（四）本公告在自然资源部官网（http://www.mnr.gov.cn/）、</w:t>
      </w:r>
      <w:r>
        <w:rPr>
          <w:rFonts w:hint="eastAsia" w:ascii="仿宋" w:hAnsi="仿宋" w:eastAsia="仿宋"/>
          <w:color w:val="auto"/>
          <w:sz w:val="32"/>
          <w:szCs w:val="32"/>
        </w:rPr>
        <w:t>达州市通川区人民政府</w:t>
      </w:r>
      <w:r>
        <w:rPr>
          <w:rFonts w:ascii="仿宋" w:hAnsi="仿宋" w:eastAsia="仿宋"/>
          <w:color w:val="auto"/>
          <w:sz w:val="32"/>
          <w:szCs w:val="32"/>
        </w:rPr>
        <w:t>官网（</w:t>
      </w:r>
      <w:r>
        <w:rPr>
          <w:rFonts w:hint="eastAsia" w:ascii="仿宋" w:hAnsi="仿宋" w:eastAsia="仿宋"/>
          <w:color w:val="auto"/>
          <w:sz w:val="32"/>
          <w:szCs w:val="32"/>
        </w:rPr>
        <w:t>http://www.tchuan.gov.cn/</w:t>
      </w:r>
      <w:r>
        <w:rPr>
          <w:rFonts w:ascii="仿宋" w:hAnsi="仿宋" w:eastAsia="仿宋"/>
          <w:color w:val="auto"/>
          <w:sz w:val="32"/>
          <w:szCs w:val="32"/>
        </w:rPr>
        <w:t>）、达州市公共资源交易服务网（http://www.dzggzy.cn</w:t>
      </w:r>
      <w:r>
        <w:rPr>
          <w:rFonts w:hint="eastAsia" w:ascii="仿宋" w:hAnsi="仿宋" w:eastAsia="仿宋"/>
          <w:color w:val="auto"/>
          <w:sz w:val="32"/>
          <w:szCs w:val="32"/>
        </w:rPr>
        <w:t>/</w:t>
      </w:r>
      <w:r>
        <w:rPr>
          <w:rFonts w:ascii="仿宋" w:hAnsi="仿宋" w:eastAsia="仿宋"/>
          <w:color w:val="auto"/>
          <w:sz w:val="32"/>
          <w:szCs w:val="32"/>
        </w:rPr>
        <w:t>）同时公开发布。</w:t>
      </w:r>
    </w:p>
    <w:p w14:paraId="6491DE8A">
      <w:pPr>
        <w:spacing w:line="540" w:lineRule="exact"/>
        <w:ind w:firstLine="640" w:firstLineChars="200"/>
        <w:rPr>
          <w:rFonts w:ascii="仿宋" w:hAnsi="仿宋" w:eastAsia="仿宋"/>
          <w:color w:val="auto"/>
          <w:sz w:val="32"/>
          <w:szCs w:val="32"/>
        </w:rPr>
      </w:pPr>
    </w:p>
    <w:p w14:paraId="38576BDF">
      <w:pPr>
        <w:spacing w:line="540" w:lineRule="exact"/>
        <w:ind w:firstLine="640" w:firstLineChars="200"/>
        <w:rPr>
          <w:rFonts w:ascii="仿宋" w:hAnsi="仿宋" w:eastAsia="仿宋"/>
          <w:color w:val="auto"/>
          <w:sz w:val="32"/>
          <w:szCs w:val="32"/>
        </w:rPr>
      </w:pPr>
    </w:p>
    <w:p w14:paraId="7FC00FDB">
      <w:pPr>
        <w:spacing w:line="540" w:lineRule="exact"/>
        <w:ind w:firstLine="640" w:firstLineChars="200"/>
        <w:rPr>
          <w:rFonts w:ascii="仿宋" w:hAnsi="仿宋" w:eastAsia="仿宋"/>
          <w:color w:val="auto"/>
          <w:sz w:val="32"/>
          <w:szCs w:val="32"/>
        </w:rPr>
      </w:pPr>
    </w:p>
    <w:bookmarkEnd w:id="21"/>
    <w:bookmarkEnd w:id="22"/>
    <w:p w14:paraId="6AC43478">
      <w:pPr>
        <w:spacing w:line="540" w:lineRule="exact"/>
        <w:ind w:right="620"/>
        <w:jc w:val="right"/>
        <w:rPr>
          <w:rFonts w:ascii="仿宋" w:hAnsi="仿宋" w:eastAsia="仿宋"/>
          <w:color w:val="auto"/>
          <w:sz w:val="32"/>
          <w:szCs w:val="32"/>
        </w:rPr>
      </w:pPr>
    </w:p>
    <w:p w14:paraId="3FB0CC2A">
      <w:pPr>
        <w:spacing w:line="540" w:lineRule="exact"/>
        <w:ind w:right="1228" w:rightChars="585" w:firstLine="555"/>
        <w:jc w:val="center"/>
        <w:rPr>
          <w:rFonts w:hint="eastAsia" w:ascii="仿宋" w:hAnsi="仿宋" w:eastAsia="仿宋" w:cs="仿宋_GB2312"/>
          <w:sz w:val="32"/>
          <w:szCs w:val="32"/>
        </w:rPr>
      </w:pPr>
      <w:r>
        <w:rPr>
          <w:rFonts w:hint="eastAsia" w:ascii="仿宋" w:hAnsi="仿宋" w:eastAsia="仿宋" w:cs="仿宋_GB2312"/>
          <w:sz w:val="32"/>
          <w:szCs w:val="32"/>
          <w:lang w:val="en-US" w:eastAsia="zh-CN"/>
        </w:rPr>
        <w:t xml:space="preserve">                  </w:t>
      </w:r>
      <w:r>
        <w:rPr>
          <w:rFonts w:hint="eastAsia" w:ascii="仿宋" w:hAnsi="仿宋" w:eastAsia="仿宋" w:cs="仿宋_GB2312"/>
          <w:sz w:val="32"/>
          <w:szCs w:val="32"/>
        </w:rPr>
        <w:t>达州市通川区自然资源局</w:t>
      </w:r>
    </w:p>
    <w:p w14:paraId="75F8375E">
      <w:pPr>
        <w:spacing w:line="540" w:lineRule="exact"/>
        <w:ind w:right="1228" w:rightChars="585" w:firstLine="555"/>
        <w:jc w:val="right"/>
        <w:rPr>
          <w:rFonts w:ascii="仿宋" w:hAnsi="仿宋" w:eastAsia="仿宋"/>
          <w:sz w:val="32"/>
          <w:szCs w:val="32"/>
        </w:rPr>
      </w:pPr>
      <w:r>
        <w:rPr>
          <w:rFonts w:hint="eastAsia" w:ascii="仿宋" w:hAnsi="仿宋" w:eastAsia="仿宋"/>
          <w:sz w:val="32"/>
          <w:szCs w:val="32"/>
          <w:lang w:val="en-US" w:eastAsia="zh-CN"/>
        </w:rPr>
        <w:t xml:space="preserve">       </w:t>
      </w:r>
      <w:r>
        <w:rPr>
          <w:rFonts w:ascii="仿宋" w:hAnsi="仿宋" w:eastAsia="仿宋"/>
          <w:sz w:val="32"/>
          <w:szCs w:val="32"/>
        </w:rPr>
        <w:t>达州市公共资源交易服务中心</w:t>
      </w:r>
    </w:p>
    <w:p w14:paraId="7F901ADE">
      <w:pPr>
        <w:spacing w:line="540" w:lineRule="exact"/>
        <w:ind w:right="1900" w:rightChars="905" w:firstLine="555"/>
        <w:jc w:val="right"/>
        <w:rPr>
          <w:rFonts w:ascii="仿宋" w:hAnsi="仿宋" w:eastAsia="仿宋"/>
        </w:rPr>
      </w:pPr>
      <w:r>
        <w:rPr>
          <w:rFonts w:ascii="仿宋" w:hAnsi="仿宋" w:eastAsia="仿宋"/>
          <w:sz w:val="32"/>
          <w:szCs w:val="32"/>
        </w:rPr>
        <w:t>202</w:t>
      </w:r>
      <w:r>
        <w:rPr>
          <w:rFonts w:hint="eastAsia" w:ascii="仿宋" w:hAnsi="仿宋" w:eastAsia="仿宋"/>
          <w:sz w:val="32"/>
          <w:szCs w:val="32"/>
        </w:rPr>
        <w:t>5</w:t>
      </w:r>
      <w:r>
        <w:rPr>
          <w:rFonts w:ascii="仿宋" w:hAnsi="仿宋" w:eastAsia="仿宋"/>
          <w:sz w:val="32"/>
          <w:szCs w:val="32"/>
        </w:rPr>
        <w:t>年</w:t>
      </w:r>
      <w:r>
        <w:rPr>
          <w:rFonts w:hint="eastAsia" w:ascii="仿宋" w:hAnsi="仿宋" w:eastAsia="仿宋"/>
          <w:sz w:val="32"/>
          <w:szCs w:val="32"/>
        </w:rPr>
        <w:t>1</w:t>
      </w:r>
      <w:r>
        <w:rPr>
          <w:rFonts w:hint="eastAsia" w:ascii="仿宋" w:hAnsi="仿宋" w:eastAsia="仿宋"/>
          <w:sz w:val="32"/>
          <w:szCs w:val="32"/>
          <w:lang w:val="en-US" w:eastAsia="zh-CN"/>
        </w:rPr>
        <w:t>2</w:t>
      </w:r>
      <w:r>
        <w:rPr>
          <w:rFonts w:ascii="仿宋" w:hAnsi="仿宋" w:eastAsia="仿宋"/>
          <w:sz w:val="32"/>
          <w:szCs w:val="32"/>
        </w:rPr>
        <w:t>月</w:t>
      </w:r>
      <w:r>
        <w:rPr>
          <w:rFonts w:hint="eastAsia" w:ascii="仿宋" w:hAnsi="仿宋" w:eastAsia="仿宋"/>
          <w:sz w:val="32"/>
          <w:szCs w:val="32"/>
          <w:lang w:val="en-US" w:eastAsia="zh-CN"/>
        </w:rPr>
        <w:t>31</w:t>
      </w:r>
      <w:r>
        <w:rPr>
          <w:rFonts w:ascii="仿宋" w:hAnsi="仿宋" w:eastAsia="仿宋"/>
          <w:sz w:val="32"/>
          <w:szCs w:val="32"/>
        </w:rPr>
        <w:t>日</w:t>
      </w:r>
    </w:p>
    <w:p w14:paraId="1BFFF41B">
      <w:pPr>
        <w:spacing w:line="579" w:lineRule="exact"/>
        <w:jc w:val="left"/>
        <w:rPr>
          <w:rFonts w:ascii="仿宋" w:hAnsi="仿宋" w:eastAsia="仿宋"/>
          <w:spacing w:val="-5"/>
          <w:sz w:val="44"/>
          <w:szCs w:val="44"/>
        </w:rPr>
        <w:sectPr>
          <w:headerReference r:id="rId9" w:type="default"/>
          <w:footerReference r:id="rId10" w:type="default"/>
          <w:footerReference r:id="rId11" w:type="even"/>
          <w:pgSz w:w="11906" w:h="16838"/>
          <w:pgMar w:top="2098" w:right="1474" w:bottom="1985" w:left="1588" w:header="851" w:footer="1588" w:gutter="0"/>
          <w:pgNumType w:fmt="numberInDash" w:start="1"/>
          <w:cols w:space="720" w:num="1"/>
          <w:docGrid w:linePitch="436" w:charSpace="0"/>
        </w:sectPr>
      </w:pPr>
    </w:p>
    <w:p w14:paraId="150DE85C">
      <w:pPr>
        <w:pStyle w:val="2"/>
        <w:keepNext w:val="0"/>
        <w:keepLines w:val="0"/>
        <w:adjustRightInd/>
        <w:snapToGrid/>
        <w:spacing w:before="0" w:after="0" w:line="580" w:lineRule="exact"/>
        <w:ind w:firstLine="0" w:firstLineChars="0"/>
        <w:rPr>
          <w:rFonts w:ascii="黑体" w:hAnsi="黑体"/>
          <w:b w:val="0"/>
          <w:bCs w:val="0"/>
          <w:sz w:val="44"/>
          <w:szCs w:val="44"/>
        </w:rPr>
      </w:pPr>
      <w:bookmarkStart w:id="23" w:name="_Toc141218088"/>
      <w:bookmarkStart w:id="24" w:name="_Toc141217781"/>
      <w:bookmarkStart w:id="25" w:name="_Toc141217385"/>
      <w:r>
        <w:rPr>
          <w:rFonts w:ascii="黑体" w:hAnsi="黑体"/>
          <w:b w:val="0"/>
          <w:bCs w:val="0"/>
          <w:sz w:val="44"/>
          <w:szCs w:val="44"/>
        </w:rPr>
        <w:t>采矿权拍卖出让须知</w:t>
      </w:r>
      <w:bookmarkEnd w:id="23"/>
      <w:bookmarkEnd w:id="24"/>
      <w:bookmarkEnd w:id="25"/>
    </w:p>
    <w:p w14:paraId="100C69CA">
      <w:pPr>
        <w:pStyle w:val="53"/>
        <w:spacing w:line="578" w:lineRule="exact"/>
        <w:rPr>
          <w:rFonts w:ascii="仿宋" w:hAnsi="仿宋" w:eastAsia="仿宋"/>
          <w:sz w:val="32"/>
          <w:szCs w:val="32"/>
        </w:rPr>
      </w:pPr>
    </w:p>
    <w:p w14:paraId="7F3D526A">
      <w:pPr>
        <w:spacing w:line="578" w:lineRule="exact"/>
        <w:ind w:firstLine="640" w:firstLineChars="200"/>
        <w:rPr>
          <w:rFonts w:eastAsia="仿宋_GB2312"/>
          <w:sz w:val="32"/>
          <w:szCs w:val="32"/>
        </w:rPr>
      </w:pPr>
      <w:r>
        <w:rPr>
          <w:rFonts w:ascii="仿宋" w:hAnsi="仿宋" w:eastAsia="仿宋"/>
          <w:sz w:val="32"/>
          <w:szCs w:val="32"/>
        </w:rPr>
        <w:t>根据《中华人民共和国矿产资源法》《矿业权出让交易规则》及有关法律法规的规定，</w:t>
      </w:r>
      <w:r>
        <w:rPr>
          <w:rFonts w:hint="eastAsia" w:ascii="仿宋" w:hAnsi="仿宋" w:eastAsia="仿宋" w:cs="仿宋_GB2312"/>
          <w:sz w:val="32"/>
          <w:szCs w:val="32"/>
        </w:rPr>
        <w:t>经</w:t>
      </w:r>
      <w:r>
        <w:rPr>
          <w:rFonts w:hint="eastAsia" w:ascii="仿宋" w:hAnsi="仿宋" w:eastAsia="仿宋"/>
          <w:color w:val="auto"/>
          <w:sz w:val="32"/>
          <w:szCs w:val="32"/>
        </w:rPr>
        <w:t>达州市通川区人民政府</w:t>
      </w:r>
      <w:r>
        <w:rPr>
          <w:rFonts w:hint="eastAsia" w:ascii="仿宋" w:hAnsi="仿宋" w:eastAsia="仿宋" w:cs="仿宋_GB2312"/>
          <w:sz w:val="32"/>
          <w:szCs w:val="32"/>
        </w:rPr>
        <w:t>批准，达州市通川区自然资源局决定</w:t>
      </w:r>
      <w:r>
        <w:rPr>
          <w:rFonts w:ascii="仿宋" w:hAnsi="仿宋" w:eastAsia="仿宋"/>
          <w:sz w:val="32"/>
          <w:szCs w:val="32"/>
        </w:rPr>
        <w:t>以拍卖方式公开出让</w:t>
      </w:r>
      <w:r>
        <w:rPr>
          <w:rFonts w:hint="eastAsia" w:ascii="仿宋" w:hAnsi="仿宋" w:eastAsia="仿宋"/>
          <w:sz w:val="32"/>
          <w:szCs w:val="32"/>
          <w:u w:val="single"/>
        </w:rPr>
        <w:t>达州市通川区双龙镇茶店村饰面用砂岩矿采矿权</w:t>
      </w:r>
      <w:r>
        <w:rPr>
          <w:rFonts w:ascii="仿宋" w:hAnsi="仿宋" w:eastAsia="仿宋"/>
          <w:sz w:val="32"/>
          <w:szCs w:val="32"/>
        </w:rPr>
        <w:t>。本次采矿权拍卖出让严格遵循公开、公平、公正和诚实信用原则。相关情况如下：</w:t>
      </w:r>
    </w:p>
    <w:p w14:paraId="205EBCF8">
      <w:pPr>
        <w:spacing w:line="578" w:lineRule="exact"/>
        <w:ind w:firstLine="640" w:firstLineChars="200"/>
        <w:rPr>
          <w:rFonts w:eastAsia="黑体"/>
          <w:sz w:val="32"/>
          <w:szCs w:val="32"/>
        </w:rPr>
      </w:pPr>
      <w:r>
        <w:rPr>
          <w:rFonts w:eastAsia="黑体"/>
          <w:sz w:val="32"/>
          <w:szCs w:val="32"/>
        </w:rPr>
        <w:t>一、出让人</w:t>
      </w:r>
    </w:p>
    <w:p w14:paraId="0CBD535B">
      <w:pPr>
        <w:spacing w:line="578" w:lineRule="exact"/>
        <w:ind w:firstLine="640" w:firstLineChars="200"/>
        <w:rPr>
          <w:rFonts w:ascii="仿宋" w:hAnsi="仿宋" w:eastAsia="仿宋"/>
          <w:sz w:val="32"/>
          <w:szCs w:val="32"/>
        </w:rPr>
      </w:pPr>
      <w:r>
        <w:rPr>
          <w:rFonts w:ascii="仿宋" w:hAnsi="仿宋" w:eastAsia="仿宋"/>
          <w:sz w:val="32"/>
          <w:szCs w:val="32"/>
        </w:rPr>
        <w:t>名称：</w:t>
      </w:r>
      <w:r>
        <w:rPr>
          <w:rFonts w:hint="eastAsia" w:ascii="仿宋" w:hAnsi="仿宋" w:eastAsia="仿宋"/>
          <w:sz w:val="32"/>
          <w:szCs w:val="32"/>
        </w:rPr>
        <w:t>达州市通川区自然资源局</w:t>
      </w:r>
    </w:p>
    <w:p w14:paraId="6A6D029F">
      <w:pPr>
        <w:spacing w:line="578" w:lineRule="exact"/>
        <w:ind w:firstLine="640" w:firstLineChars="200"/>
        <w:rPr>
          <w:rFonts w:ascii="仿宋" w:hAnsi="仿宋" w:eastAsia="仿宋"/>
          <w:sz w:val="32"/>
          <w:szCs w:val="32"/>
        </w:rPr>
      </w:pPr>
      <w:r>
        <w:rPr>
          <w:rFonts w:ascii="仿宋" w:hAnsi="仿宋" w:eastAsia="仿宋"/>
          <w:sz w:val="32"/>
          <w:szCs w:val="32"/>
        </w:rPr>
        <w:t>场所：</w:t>
      </w:r>
      <w:r>
        <w:rPr>
          <w:rFonts w:hint="eastAsia" w:ascii="仿宋" w:hAnsi="仿宋" w:eastAsia="仿宋"/>
          <w:sz w:val="32"/>
          <w:szCs w:val="32"/>
        </w:rPr>
        <w:t>通川区凤北街道张家坝社区青杠垭路38号</w:t>
      </w:r>
    </w:p>
    <w:p w14:paraId="48ECBF36">
      <w:pPr>
        <w:spacing w:line="578" w:lineRule="exact"/>
        <w:ind w:firstLine="640" w:firstLineChars="200"/>
        <w:rPr>
          <w:rFonts w:eastAsia="黑体"/>
          <w:sz w:val="32"/>
          <w:szCs w:val="32"/>
        </w:rPr>
      </w:pPr>
      <w:r>
        <w:rPr>
          <w:rFonts w:eastAsia="黑体"/>
          <w:sz w:val="32"/>
          <w:szCs w:val="32"/>
        </w:rPr>
        <w:t>二、矿业权交易平台</w:t>
      </w:r>
    </w:p>
    <w:p w14:paraId="2353F4A9">
      <w:pPr>
        <w:spacing w:line="578" w:lineRule="exact"/>
        <w:ind w:firstLine="640" w:firstLineChars="200"/>
        <w:rPr>
          <w:rFonts w:ascii="仿宋" w:hAnsi="仿宋" w:eastAsia="仿宋"/>
          <w:sz w:val="32"/>
          <w:szCs w:val="32"/>
        </w:rPr>
      </w:pPr>
      <w:r>
        <w:rPr>
          <w:rFonts w:ascii="仿宋" w:hAnsi="仿宋" w:eastAsia="仿宋"/>
          <w:sz w:val="32"/>
          <w:szCs w:val="32"/>
        </w:rPr>
        <w:t>名称：达州市公共资源交易服务中心</w:t>
      </w:r>
    </w:p>
    <w:p w14:paraId="127095BC">
      <w:pPr>
        <w:spacing w:line="578" w:lineRule="exact"/>
        <w:ind w:firstLine="640" w:firstLineChars="200"/>
        <w:rPr>
          <w:rFonts w:ascii="仿宋" w:hAnsi="仿宋" w:eastAsia="仿宋"/>
          <w:sz w:val="32"/>
          <w:szCs w:val="32"/>
        </w:rPr>
      </w:pPr>
      <w:r>
        <w:rPr>
          <w:rFonts w:ascii="仿宋" w:hAnsi="仿宋" w:eastAsia="仿宋"/>
          <w:sz w:val="32"/>
          <w:szCs w:val="32"/>
        </w:rPr>
        <w:t>场所：四川省达州市马踏洞新区龙马大道与鱼泉路交叉口处新政务服务大楼</w:t>
      </w:r>
    </w:p>
    <w:p w14:paraId="2B80DECD">
      <w:pPr>
        <w:numPr>
          <w:ilvl w:val="0"/>
          <w:numId w:val="1"/>
        </w:numPr>
        <w:spacing w:line="578" w:lineRule="exact"/>
        <w:ind w:firstLine="640" w:firstLineChars="200"/>
        <w:rPr>
          <w:rFonts w:hint="eastAsia" w:eastAsia="黑体"/>
          <w:sz w:val="32"/>
          <w:szCs w:val="32"/>
          <w:lang w:val="en-US" w:eastAsia="zh-CN"/>
        </w:rPr>
      </w:pPr>
      <w:r>
        <w:rPr>
          <w:rFonts w:hint="eastAsia" w:eastAsia="黑体"/>
          <w:sz w:val="32"/>
          <w:szCs w:val="32"/>
          <w:lang w:val="en-US" w:eastAsia="zh-CN"/>
        </w:rPr>
        <w:t>出让相关政策</w:t>
      </w:r>
    </w:p>
    <w:p w14:paraId="22A3C38D">
      <w:pPr>
        <w:numPr>
          <w:ilvl w:val="0"/>
          <w:numId w:val="0"/>
        </w:numPr>
        <w:spacing w:line="578" w:lineRule="exact"/>
        <w:ind w:firstLine="640" w:firstLineChars="200"/>
        <w:rPr>
          <w:rFonts w:hint="eastAsia" w:ascii="仿宋" w:hAnsi="仿宋" w:eastAsia="仿宋"/>
          <w:sz w:val="32"/>
          <w:szCs w:val="32"/>
        </w:rPr>
      </w:pPr>
      <w:r>
        <w:rPr>
          <w:rFonts w:hint="eastAsia" w:ascii="仿宋" w:hAnsi="仿宋" w:eastAsia="仿宋"/>
          <w:sz w:val="32"/>
          <w:szCs w:val="32"/>
        </w:rPr>
        <w:t>（一）法律法规及规定依据。《中华人民共和国矿产资源法》《矿业权出让交易规则》《自然资源部关于深化矿产资源管理改革若干事项的意见》（自然资规〔2023〕6号）、《四川省自然资源厅关于进一步规范矿业权管理的通知》（川自然资规〔2024〕2号）等。</w:t>
      </w:r>
    </w:p>
    <w:p w14:paraId="2576136D">
      <w:pPr>
        <w:numPr>
          <w:ilvl w:val="0"/>
          <w:numId w:val="0"/>
        </w:numPr>
        <w:spacing w:line="578" w:lineRule="exact"/>
        <w:ind w:firstLine="640" w:firstLineChars="200"/>
        <w:rPr>
          <w:rFonts w:hint="eastAsia" w:ascii="仿宋" w:hAnsi="仿宋" w:eastAsia="仿宋"/>
          <w:sz w:val="32"/>
          <w:szCs w:val="32"/>
        </w:rPr>
      </w:pPr>
      <w:r>
        <w:rPr>
          <w:rFonts w:hint="eastAsia" w:ascii="仿宋" w:hAnsi="仿宋" w:eastAsia="仿宋"/>
          <w:sz w:val="32"/>
          <w:szCs w:val="32"/>
        </w:rPr>
        <w:t>（二）出让采矿权设置依据。出让采矿权位于《达州市通川区矿产资源总体规划（2021-2025年）》规划的“通川区东岳-双龙砂岩、页岩集中开采区”内，符合矿产资源总体规划。</w:t>
      </w:r>
    </w:p>
    <w:p w14:paraId="135E5110">
      <w:pPr>
        <w:numPr>
          <w:ilvl w:val="0"/>
          <w:numId w:val="0"/>
        </w:numPr>
        <w:spacing w:line="578" w:lineRule="exact"/>
        <w:ind w:firstLine="640" w:firstLineChars="200"/>
        <w:rPr>
          <w:rFonts w:hint="eastAsia" w:ascii="仿宋" w:hAnsi="仿宋" w:eastAsia="仿宋"/>
          <w:sz w:val="32"/>
          <w:szCs w:val="32"/>
        </w:rPr>
      </w:pPr>
      <w:r>
        <w:rPr>
          <w:rFonts w:hint="eastAsia" w:ascii="仿宋" w:hAnsi="仿宋" w:eastAsia="仿宋"/>
          <w:sz w:val="32"/>
          <w:szCs w:val="32"/>
        </w:rPr>
        <w:t>（三）相关政策符合情况。经书面征求区林保中心、区公安分局、通川生态环境局、区水务局、区农业农村局、区应急管理局、区发改局、区交运局、区文旅局、区经信局、东岳镇人民政府等单位意见，出让采矿权范围：一是符合产业政策和安全、环保等相关要求；二是不涉及自然保护地、饮用水源保护区、风景名胜区、历史文物和名胜古迹保护区，不占生态保护红线，与永久基本农田不重叠；三是出让采矿权矿区范围内未设置其它非油气矿业权，无矿业权纠纷。</w:t>
      </w:r>
    </w:p>
    <w:p w14:paraId="3FCDED68">
      <w:pPr>
        <w:numPr>
          <w:ilvl w:val="0"/>
          <w:numId w:val="0"/>
        </w:numPr>
        <w:spacing w:line="578" w:lineRule="exact"/>
        <w:ind w:firstLine="640" w:firstLineChars="200"/>
        <w:rPr>
          <w:rFonts w:hint="default" w:eastAsia="黑体"/>
          <w:sz w:val="32"/>
          <w:szCs w:val="32"/>
          <w:lang w:val="en-US" w:eastAsia="zh-CN"/>
        </w:rPr>
      </w:pPr>
      <w:r>
        <w:rPr>
          <w:rFonts w:hint="eastAsia" w:ascii="仿宋" w:hAnsi="仿宋" w:eastAsia="仿宋"/>
          <w:sz w:val="32"/>
          <w:szCs w:val="32"/>
        </w:rPr>
        <w:t>（四）出让登记权限。根据《四川省自然资源厅关于进一步规范矿业权管理的通知》（川自然资规〔2024〕2号）规定，本宗采矿权出让登记权限为达州市通川区自然资源局。</w:t>
      </w:r>
    </w:p>
    <w:p w14:paraId="50EAA70D">
      <w:pPr>
        <w:spacing w:line="578" w:lineRule="exact"/>
        <w:ind w:firstLine="640" w:firstLineChars="200"/>
        <w:rPr>
          <w:rFonts w:eastAsia="黑体"/>
          <w:sz w:val="32"/>
          <w:szCs w:val="32"/>
        </w:rPr>
      </w:pPr>
      <w:r>
        <w:rPr>
          <w:rFonts w:hint="eastAsia" w:eastAsia="黑体"/>
          <w:sz w:val="32"/>
          <w:szCs w:val="32"/>
          <w:lang w:val="en-US" w:eastAsia="zh-CN"/>
        </w:rPr>
        <w:t>四</w:t>
      </w:r>
      <w:r>
        <w:rPr>
          <w:rFonts w:eastAsia="黑体"/>
          <w:sz w:val="32"/>
          <w:szCs w:val="32"/>
        </w:rPr>
        <w:t>、出让采矿权基本情况</w:t>
      </w:r>
    </w:p>
    <w:p w14:paraId="4E01950D">
      <w:pPr>
        <w:spacing w:line="578" w:lineRule="exact"/>
        <w:ind w:firstLine="640" w:firstLineChars="200"/>
        <w:rPr>
          <w:rFonts w:ascii="仿宋" w:hAnsi="仿宋" w:eastAsia="仿宋"/>
          <w:sz w:val="32"/>
          <w:szCs w:val="32"/>
        </w:rPr>
      </w:pPr>
      <w:r>
        <w:rPr>
          <w:rFonts w:ascii="仿宋" w:hAnsi="仿宋" w:eastAsia="仿宋"/>
          <w:sz w:val="32"/>
          <w:szCs w:val="32"/>
        </w:rPr>
        <w:t>（一）项目名称：</w:t>
      </w:r>
      <w:r>
        <w:rPr>
          <w:rFonts w:hint="eastAsia" w:ascii="仿宋" w:hAnsi="仿宋" w:eastAsia="仿宋"/>
          <w:sz w:val="32"/>
          <w:szCs w:val="32"/>
        </w:rPr>
        <w:t>达州市通川区双龙镇茶店村饰面用砂岩矿采矿权</w:t>
      </w:r>
    </w:p>
    <w:p w14:paraId="156D6D9B">
      <w:pPr>
        <w:spacing w:line="578" w:lineRule="exact"/>
        <w:ind w:firstLine="640" w:firstLineChars="200"/>
        <w:rPr>
          <w:rFonts w:hint="eastAsia" w:ascii="仿宋" w:hAnsi="仿宋" w:eastAsia="仿宋"/>
          <w:sz w:val="32"/>
          <w:szCs w:val="32"/>
        </w:rPr>
      </w:pPr>
      <w:r>
        <w:rPr>
          <w:rFonts w:ascii="仿宋" w:hAnsi="仿宋" w:eastAsia="仿宋"/>
          <w:sz w:val="32"/>
          <w:szCs w:val="32"/>
        </w:rPr>
        <w:t>（二）地理位置：</w:t>
      </w:r>
      <w:r>
        <w:rPr>
          <w:rFonts w:hint="eastAsia" w:ascii="仿宋" w:hAnsi="仿宋" w:eastAsia="仿宋"/>
          <w:sz w:val="32"/>
          <w:szCs w:val="32"/>
        </w:rPr>
        <w:t>位于达州市城区339°方向，直线距离约13km，行政区划隶属达州市通川区双龙镇金峨村管辖，中心点坐标（2000国家大地坐标系）：东经107º25'00"，北纬31º19'13"。矿区有简易公路与双龙-檬双公路相连，经双龙-檬双公路约6km达双龙镇，可经G210国道和环凤产业大道至G65包茂高速和G5012恩广高速，距离达州市主城区公路约10km，交通条件较为便利。</w:t>
      </w:r>
    </w:p>
    <w:p w14:paraId="0C44252B">
      <w:pPr>
        <w:spacing w:line="578" w:lineRule="exact"/>
        <w:ind w:firstLine="640" w:firstLineChars="200"/>
        <w:rPr>
          <w:rFonts w:ascii="仿宋" w:hAnsi="仿宋" w:eastAsia="仿宋"/>
          <w:sz w:val="32"/>
          <w:szCs w:val="32"/>
        </w:rPr>
      </w:pPr>
      <w:r>
        <w:rPr>
          <w:rFonts w:ascii="仿宋" w:hAnsi="仿宋" w:eastAsia="仿宋"/>
          <w:sz w:val="32"/>
          <w:szCs w:val="32"/>
        </w:rPr>
        <w:t>（三）开采矿种：</w:t>
      </w:r>
      <w:r>
        <w:rPr>
          <w:rFonts w:hint="eastAsia" w:ascii="仿宋" w:hAnsi="仿宋" w:eastAsia="仿宋"/>
          <w:sz w:val="32"/>
          <w:szCs w:val="32"/>
        </w:rPr>
        <w:t>饰面用砂岩</w:t>
      </w:r>
      <w:r>
        <w:rPr>
          <w:rFonts w:ascii="仿宋" w:hAnsi="仿宋" w:eastAsia="仿宋"/>
          <w:sz w:val="32"/>
          <w:szCs w:val="32"/>
        </w:rPr>
        <w:t>。</w:t>
      </w:r>
    </w:p>
    <w:p w14:paraId="2A5E9084">
      <w:pPr>
        <w:spacing w:line="578" w:lineRule="exact"/>
        <w:ind w:firstLine="640" w:firstLineChars="200"/>
        <w:rPr>
          <w:rFonts w:ascii="仿宋" w:hAnsi="仿宋" w:eastAsia="仿宋"/>
          <w:sz w:val="32"/>
          <w:szCs w:val="32"/>
        </w:rPr>
      </w:pPr>
      <w:r>
        <w:rPr>
          <w:rFonts w:ascii="仿宋" w:hAnsi="仿宋" w:eastAsia="仿宋"/>
          <w:sz w:val="32"/>
          <w:szCs w:val="32"/>
        </w:rPr>
        <w:t>（四）开采方式：露天开采。</w:t>
      </w:r>
    </w:p>
    <w:p w14:paraId="3DBB557E">
      <w:pPr>
        <w:spacing w:line="578" w:lineRule="exact"/>
        <w:ind w:firstLine="640" w:firstLineChars="200"/>
        <w:rPr>
          <w:rFonts w:ascii="仿宋" w:hAnsi="仿宋" w:eastAsia="仿宋"/>
          <w:sz w:val="32"/>
          <w:szCs w:val="32"/>
        </w:rPr>
      </w:pPr>
      <w:r>
        <w:rPr>
          <w:rFonts w:ascii="仿宋" w:hAnsi="仿宋" w:eastAsia="仿宋"/>
          <w:sz w:val="32"/>
          <w:szCs w:val="32"/>
        </w:rPr>
        <w:t>（五）开采标高：</w:t>
      </w:r>
      <w:r>
        <w:rPr>
          <w:rFonts w:hint="eastAsia" w:ascii="仿宋" w:hAnsi="仿宋" w:eastAsia="仿宋"/>
          <w:sz w:val="32"/>
          <w:szCs w:val="32"/>
        </w:rPr>
        <w:t>+680m～+500m</w:t>
      </w:r>
      <w:r>
        <w:rPr>
          <w:rFonts w:ascii="仿宋" w:hAnsi="仿宋" w:eastAsia="仿宋"/>
          <w:sz w:val="32"/>
          <w:szCs w:val="32"/>
        </w:rPr>
        <w:t>。</w:t>
      </w:r>
    </w:p>
    <w:p w14:paraId="256F344A">
      <w:pPr>
        <w:spacing w:line="578" w:lineRule="exact"/>
        <w:ind w:firstLine="640" w:firstLineChars="200"/>
        <w:rPr>
          <w:rFonts w:ascii="仿宋" w:hAnsi="仿宋" w:eastAsia="仿宋"/>
          <w:sz w:val="32"/>
          <w:szCs w:val="32"/>
        </w:rPr>
      </w:pPr>
      <w:r>
        <w:rPr>
          <w:rFonts w:ascii="仿宋" w:hAnsi="仿宋" w:eastAsia="仿宋"/>
          <w:sz w:val="32"/>
          <w:szCs w:val="32"/>
        </w:rPr>
        <w:t>（六）矿区面积：</w:t>
      </w:r>
      <w:r>
        <w:rPr>
          <w:rFonts w:hint="eastAsia" w:ascii="仿宋" w:hAnsi="仿宋" w:eastAsia="仿宋"/>
          <w:sz w:val="32"/>
          <w:szCs w:val="32"/>
        </w:rPr>
        <w:t>0.18</w:t>
      </w:r>
      <w:r>
        <w:rPr>
          <w:rFonts w:hint="eastAsia" w:ascii="仿宋" w:hAnsi="仿宋" w:eastAsia="仿宋"/>
          <w:sz w:val="32"/>
          <w:szCs w:val="32"/>
          <w:lang w:val="en-US" w:eastAsia="zh-CN"/>
        </w:rPr>
        <w:t>09</w:t>
      </w:r>
      <w:r>
        <w:rPr>
          <w:rFonts w:ascii="仿宋" w:hAnsi="仿宋" w:eastAsia="仿宋"/>
          <w:sz w:val="32"/>
          <w:szCs w:val="32"/>
        </w:rPr>
        <w:t>平方</w:t>
      </w:r>
      <w:r>
        <w:rPr>
          <w:rFonts w:hint="eastAsia" w:ascii="仿宋" w:hAnsi="仿宋" w:eastAsia="仿宋"/>
          <w:sz w:val="32"/>
          <w:szCs w:val="32"/>
          <w:lang w:val="en-US" w:eastAsia="zh-CN"/>
        </w:rPr>
        <w:t>千米</w:t>
      </w:r>
      <w:r>
        <w:rPr>
          <w:rFonts w:ascii="仿宋" w:hAnsi="仿宋" w:eastAsia="仿宋"/>
          <w:sz w:val="32"/>
          <w:szCs w:val="32"/>
        </w:rPr>
        <w:t>。</w:t>
      </w:r>
    </w:p>
    <w:p w14:paraId="413EBFD2">
      <w:pPr>
        <w:spacing w:line="578" w:lineRule="exact"/>
        <w:ind w:firstLine="640" w:firstLineChars="200"/>
        <w:rPr>
          <w:rFonts w:ascii="仿宋" w:hAnsi="仿宋" w:eastAsia="仿宋"/>
          <w:sz w:val="32"/>
          <w:szCs w:val="32"/>
        </w:rPr>
      </w:pPr>
      <w:r>
        <w:rPr>
          <w:rFonts w:ascii="仿宋" w:hAnsi="仿宋" w:eastAsia="仿宋"/>
          <w:sz w:val="32"/>
          <w:szCs w:val="32"/>
        </w:rPr>
        <w:t>（七）拐点范围坐标：</w:t>
      </w:r>
    </w:p>
    <w:tbl>
      <w:tblPr>
        <w:tblStyle w:val="19"/>
        <w:tblW w:w="4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58"/>
        <w:gridCol w:w="1515"/>
      </w:tblGrid>
      <w:tr w14:paraId="3773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038" w:type="dxa"/>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0F25E5B">
            <w:pPr>
              <w:widowControl/>
              <w:snapToGrid w:val="0"/>
              <w:spacing w:line="400" w:lineRule="exact"/>
              <w:jc w:val="center"/>
              <w:textAlignment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sz w:val="21"/>
                <w:szCs w:val="21"/>
              </w:rPr>
              <w:t>2000国家大地坐标</w:t>
            </w:r>
          </w:p>
        </w:tc>
      </w:tr>
      <w:tr w14:paraId="08DF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BB4E6A9">
            <w:pPr>
              <w:widowControl/>
              <w:snapToGrid w:val="0"/>
              <w:spacing w:line="400" w:lineRule="exact"/>
              <w:jc w:val="center"/>
              <w:textAlignment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sz w:val="21"/>
                <w:szCs w:val="21"/>
              </w:rPr>
              <w:t>拐点编号</w:t>
            </w:r>
          </w:p>
        </w:tc>
        <w:tc>
          <w:tcPr>
            <w:tcW w:w="135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2A0E788">
            <w:pPr>
              <w:widowControl/>
              <w:snapToGrid w:val="0"/>
              <w:spacing w:line="400" w:lineRule="exact"/>
              <w:jc w:val="center"/>
              <w:textAlignment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sz w:val="21"/>
                <w:szCs w:val="21"/>
              </w:rPr>
              <w:t>X</w:t>
            </w:r>
          </w:p>
        </w:tc>
        <w:tc>
          <w:tcPr>
            <w:tcW w:w="151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6E1DF44">
            <w:pPr>
              <w:widowControl/>
              <w:snapToGrid w:val="0"/>
              <w:spacing w:line="400" w:lineRule="exact"/>
              <w:jc w:val="center"/>
              <w:textAlignment w:val="center"/>
              <w:rPr>
                <w:rFonts w:hint="default" w:ascii="Times New Roman" w:hAnsi="Times New Roman" w:eastAsia="仿宋" w:cs="Times New Roman"/>
                <w:b/>
                <w:color w:val="000000"/>
                <w:kern w:val="0"/>
                <w:sz w:val="21"/>
                <w:szCs w:val="21"/>
              </w:rPr>
            </w:pPr>
            <w:r>
              <w:rPr>
                <w:rFonts w:hint="default" w:ascii="Times New Roman" w:hAnsi="Times New Roman" w:eastAsia="仿宋" w:cs="Times New Roman"/>
                <w:b/>
                <w:color w:val="000000"/>
                <w:kern w:val="0"/>
                <w:sz w:val="21"/>
                <w:szCs w:val="21"/>
              </w:rPr>
              <w:t>Y</w:t>
            </w:r>
          </w:p>
        </w:tc>
      </w:tr>
      <w:tr w14:paraId="2C9B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EE44E6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1</w:t>
            </w:r>
          </w:p>
        </w:tc>
        <w:tc>
          <w:tcPr>
            <w:tcW w:w="1358" w:type="dxa"/>
            <w:tcBorders>
              <w:top w:val="single" w:color="auto" w:sz="4" w:space="0"/>
              <w:left w:val="nil"/>
              <w:bottom w:val="single" w:color="auto" w:sz="4" w:space="0"/>
              <w:right w:val="single" w:color="auto" w:sz="4" w:space="0"/>
            </w:tcBorders>
            <w:tcMar>
              <w:left w:w="28" w:type="dxa"/>
              <w:right w:w="28" w:type="dxa"/>
            </w:tcMar>
            <w:vAlign w:val="center"/>
          </w:tcPr>
          <w:p w14:paraId="142FFCC3">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3466486.51</w:t>
            </w:r>
          </w:p>
        </w:tc>
        <w:tc>
          <w:tcPr>
            <w:tcW w:w="1515" w:type="dxa"/>
            <w:tcBorders>
              <w:top w:val="single" w:color="auto" w:sz="4" w:space="0"/>
              <w:left w:val="nil"/>
              <w:bottom w:val="single" w:color="auto" w:sz="4" w:space="0"/>
              <w:right w:val="single" w:color="auto" w:sz="4" w:space="0"/>
            </w:tcBorders>
            <w:tcMar>
              <w:left w:w="28" w:type="dxa"/>
              <w:right w:w="28" w:type="dxa"/>
            </w:tcMar>
            <w:vAlign w:val="center"/>
          </w:tcPr>
          <w:p w14:paraId="568D50D9">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36444178.84</w:t>
            </w:r>
          </w:p>
        </w:tc>
      </w:tr>
      <w:tr w14:paraId="1DC3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BAD1153">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2</w:t>
            </w:r>
          </w:p>
        </w:tc>
        <w:tc>
          <w:tcPr>
            <w:tcW w:w="1358" w:type="dxa"/>
            <w:tcBorders>
              <w:top w:val="nil"/>
              <w:left w:val="nil"/>
              <w:bottom w:val="single" w:color="auto" w:sz="4" w:space="0"/>
              <w:right w:val="single" w:color="auto" w:sz="4" w:space="0"/>
            </w:tcBorders>
            <w:tcMar>
              <w:left w:w="28" w:type="dxa"/>
              <w:right w:w="28" w:type="dxa"/>
            </w:tcMar>
            <w:vAlign w:val="center"/>
          </w:tcPr>
          <w:p w14:paraId="22911977">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3466327.97</w:t>
            </w:r>
          </w:p>
        </w:tc>
        <w:tc>
          <w:tcPr>
            <w:tcW w:w="1515" w:type="dxa"/>
            <w:tcBorders>
              <w:top w:val="nil"/>
              <w:left w:val="nil"/>
              <w:bottom w:val="single" w:color="auto" w:sz="4" w:space="0"/>
              <w:right w:val="single" w:color="auto" w:sz="4" w:space="0"/>
            </w:tcBorders>
            <w:tcMar>
              <w:left w:w="28" w:type="dxa"/>
              <w:right w:w="28" w:type="dxa"/>
            </w:tcMar>
            <w:vAlign w:val="center"/>
          </w:tcPr>
          <w:p w14:paraId="1E287E13">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36444329.23</w:t>
            </w:r>
          </w:p>
        </w:tc>
      </w:tr>
      <w:tr w14:paraId="298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66F1262">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w:t>
            </w:r>
          </w:p>
        </w:tc>
        <w:tc>
          <w:tcPr>
            <w:tcW w:w="1358" w:type="dxa"/>
            <w:tcBorders>
              <w:top w:val="single" w:color="auto" w:sz="4" w:space="0"/>
              <w:left w:val="nil"/>
              <w:bottom w:val="single" w:color="auto" w:sz="4" w:space="0"/>
              <w:right w:val="single" w:color="auto" w:sz="4" w:space="0"/>
            </w:tcBorders>
            <w:tcMar>
              <w:left w:w="28" w:type="dxa"/>
              <w:right w:w="28" w:type="dxa"/>
            </w:tcMar>
            <w:vAlign w:val="center"/>
          </w:tcPr>
          <w:p w14:paraId="5FDEE75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3466238.52</w:t>
            </w:r>
          </w:p>
        </w:tc>
        <w:tc>
          <w:tcPr>
            <w:tcW w:w="1515" w:type="dxa"/>
            <w:tcBorders>
              <w:top w:val="single" w:color="auto" w:sz="4" w:space="0"/>
              <w:left w:val="nil"/>
              <w:bottom w:val="single" w:color="auto" w:sz="4" w:space="0"/>
              <w:right w:val="single" w:color="auto" w:sz="4" w:space="0"/>
            </w:tcBorders>
            <w:tcMar>
              <w:left w:w="28" w:type="dxa"/>
              <w:right w:w="28" w:type="dxa"/>
            </w:tcMar>
            <w:vAlign w:val="center"/>
          </w:tcPr>
          <w:p w14:paraId="668C0BE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36444360.12</w:t>
            </w:r>
          </w:p>
        </w:tc>
      </w:tr>
      <w:tr w14:paraId="6192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60F38ED">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4</w:t>
            </w:r>
          </w:p>
        </w:tc>
        <w:tc>
          <w:tcPr>
            <w:tcW w:w="135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2EE0C8B">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3466221.28</w:t>
            </w:r>
          </w:p>
        </w:tc>
        <w:tc>
          <w:tcPr>
            <w:tcW w:w="151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49EA91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36444397.52</w:t>
            </w:r>
          </w:p>
        </w:tc>
      </w:tr>
      <w:tr w14:paraId="0A1C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68BB8C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5</w:t>
            </w:r>
          </w:p>
        </w:tc>
        <w:tc>
          <w:tcPr>
            <w:tcW w:w="135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230D9A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3466324.43</w:t>
            </w:r>
          </w:p>
        </w:tc>
        <w:tc>
          <w:tcPr>
            <w:tcW w:w="151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AD9B57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36444499.42</w:t>
            </w:r>
          </w:p>
        </w:tc>
      </w:tr>
      <w:tr w14:paraId="7B22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6FE4DAE">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6</w:t>
            </w:r>
          </w:p>
        </w:tc>
        <w:tc>
          <w:tcPr>
            <w:tcW w:w="135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CF35F1B">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3466476.97</w:t>
            </w:r>
          </w:p>
        </w:tc>
        <w:tc>
          <w:tcPr>
            <w:tcW w:w="151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DF7A974">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36444622.86</w:t>
            </w:r>
          </w:p>
        </w:tc>
      </w:tr>
      <w:tr w14:paraId="6A51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8D710D1">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7</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B62D645">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3466506.64</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637DA7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36444587.73</w:t>
            </w:r>
          </w:p>
        </w:tc>
      </w:tr>
      <w:tr w14:paraId="67CF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C33340">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8</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BC229FA">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3466587.34</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E7D04AE">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36444506.71</w:t>
            </w:r>
          </w:p>
        </w:tc>
      </w:tr>
      <w:tr w14:paraId="3C55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8A5099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9</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EB29A9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3466621.78</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CC79516">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36444504.25</w:t>
            </w:r>
          </w:p>
        </w:tc>
      </w:tr>
      <w:tr w14:paraId="61BD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F503590">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10</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6BCF8D0">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3466643.84</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96B0238">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36444506.01</w:t>
            </w:r>
          </w:p>
        </w:tc>
      </w:tr>
      <w:tr w14:paraId="140A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8A527F7">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11</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B9BB4ED">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3466649.81</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B326D2D">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36444513.22</w:t>
            </w:r>
          </w:p>
        </w:tc>
      </w:tr>
      <w:tr w14:paraId="11C3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7652E73">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12</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0E761B9">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3466655.54</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91A1A72">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36444533.69</w:t>
            </w:r>
          </w:p>
        </w:tc>
      </w:tr>
      <w:tr w14:paraId="422A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AED96CD">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13</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E5BE5F3">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3466603.97</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0A60420">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36444655.95</w:t>
            </w:r>
          </w:p>
        </w:tc>
      </w:tr>
      <w:tr w14:paraId="0BD8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A45856E">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14</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305ED5E">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3466729.10</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B57BCE4">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36444736.24</w:t>
            </w:r>
          </w:p>
        </w:tc>
      </w:tr>
      <w:tr w14:paraId="6680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5285A0D">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15</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2D1E73C">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3466921.20</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ECCCAEC">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36444483.29</w:t>
            </w:r>
          </w:p>
        </w:tc>
      </w:tr>
      <w:tr w14:paraId="450F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28C89CD">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16</w:t>
            </w:r>
          </w:p>
        </w:tc>
        <w:tc>
          <w:tcPr>
            <w:tcW w:w="1358"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685EDC3">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3466537.65</w:t>
            </w:r>
          </w:p>
        </w:tc>
        <w:tc>
          <w:tcPr>
            <w:tcW w:w="151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9B9E1C6">
            <w:pPr>
              <w:keepNext w:val="0"/>
              <w:keepLines w:val="0"/>
              <w:pageBreakBefore w:val="0"/>
              <w:widowControl/>
              <w:suppressLineNumbers w:val="0"/>
              <w:wordWrap/>
              <w:overflowPunct/>
              <w:topLinePunct w:val="0"/>
              <w:bidi w:val="0"/>
              <w:spacing w:line="240" w:lineRule="auto"/>
              <w:jc w:val="center"/>
              <w:textAlignment w:val="center"/>
              <w:rPr>
                <w:rFonts w:hint="default" w:ascii="Times New Roman" w:hAnsi="Times New Roman" w:eastAsia="仿宋_GB2312" w:cs="Times New Roman"/>
                <w:i w:val="0"/>
                <w:iCs w:val="0"/>
                <w:snapToGrid w:val="0"/>
                <w:color w:val="auto"/>
                <w:kern w:val="0"/>
                <w:sz w:val="21"/>
                <w:szCs w:val="21"/>
                <w:u w:val="none"/>
                <w:lang w:val="en-US" w:eastAsia="zh-CN"/>
              </w:rPr>
            </w:pPr>
            <w:r>
              <w:rPr>
                <w:rFonts w:hint="default" w:ascii="Times New Roman" w:hAnsi="Times New Roman" w:eastAsia="仿宋_GB2312" w:cs="Times New Roman"/>
                <w:i w:val="0"/>
                <w:iCs w:val="0"/>
                <w:snapToGrid w:val="0"/>
                <w:color w:val="auto"/>
                <w:kern w:val="0"/>
                <w:sz w:val="21"/>
                <w:szCs w:val="21"/>
                <w:u w:val="none"/>
                <w:lang w:val="en-US" w:eastAsia="zh-CN"/>
              </w:rPr>
              <w:t>36444213.03</w:t>
            </w:r>
          </w:p>
        </w:tc>
      </w:tr>
    </w:tbl>
    <w:p w14:paraId="07581F09">
      <w:pPr>
        <w:numPr>
          <w:ilvl w:val="0"/>
          <w:numId w:val="2"/>
        </w:numPr>
        <w:spacing w:line="578" w:lineRule="exact"/>
        <w:ind w:firstLine="640" w:firstLineChars="200"/>
        <w:rPr>
          <w:rFonts w:ascii="仿宋" w:hAnsi="仿宋" w:eastAsia="仿宋"/>
          <w:sz w:val="32"/>
          <w:szCs w:val="32"/>
        </w:rPr>
      </w:pPr>
      <w:r>
        <w:rPr>
          <w:rFonts w:ascii="仿宋" w:hAnsi="仿宋" w:eastAsia="仿宋"/>
          <w:sz w:val="32"/>
          <w:szCs w:val="32"/>
        </w:rPr>
        <w:t>资源储量：</w:t>
      </w:r>
      <w:r>
        <w:rPr>
          <w:rFonts w:hint="eastAsia" w:ascii="仿宋" w:hAnsi="仿宋" w:eastAsia="仿宋"/>
          <w:sz w:val="32"/>
          <w:szCs w:val="32"/>
        </w:rPr>
        <w:t>根据《四川省达州市通川区双龙镇茶店村饰面用砂岩矿勘探报告》评审意见书（通川矿勘审〔2025〕1号）和《四川省达州市通川区双龙镇茶店村饰面用砂岩矿资源储量核实报告》评审意见书（通川矿储审〔2025〕1号），拟出让达州市通川区双龙镇茶店村饰面用砂岩矿采矿权矿区范围内保有资源量467.4万吨（荒料量229.31万吨），其中：探明资源66.40万吨；控制资源量254.50万吨；推断资源量146.50万吨。</w:t>
      </w:r>
    </w:p>
    <w:p w14:paraId="7DDE0546">
      <w:pPr>
        <w:numPr>
          <w:ilvl w:val="0"/>
          <w:numId w:val="2"/>
        </w:numPr>
        <w:spacing w:line="578" w:lineRule="exact"/>
        <w:ind w:firstLine="640" w:firstLineChars="200"/>
        <w:rPr>
          <w:rFonts w:ascii="仿宋" w:hAnsi="仿宋" w:eastAsia="仿宋"/>
          <w:sz w:val="32"/>
          <w:szCs w:val="32"/>
        </w:rPr>
      </w:pPr>
      <w:r>
        <w:rPr>
          <w:rFonts w:ascii="仿宋" w:hAnsi="仿宋" w:eastAsia="仿宋"/>
          <w:sz w:val="32"/>
          <w:szCs w:val="32"/>
        </w:rPr>
        <w:t>生产规模：</w:t>
      </w:r>
      <w:r>
        <w:rPr>
          <w:rFonts w:hint="eastAsia" w:ascii="仿宋" w:hAnsi="仿宋" w:eastAsia="仿宋"/>
          <w:sz w:val="32"/>
          <w:szCs w:val="32"/>
          <w:lang w:val="en-US" w:eastAsia="zh-CN"/>
        </w:rPr>
        <w:t>3</w:t>
      </w:r>
      <w:r>
        <w:rPr>
          <w:rFonts w:ascii="仿宋" w:hAnsi="仿宋" w:eastAsia="仿宋"/>
          <w:sz w:val="32"/>
          <w:szCs w:val="32"/>
        </w:rPr>
        <w:t>0万吨/年。</w:t>
      </w:r>
    </w:p>
    <w:p w14:paraId="55948D53">
      <w:pPr>
        <w:numPr>
          <w:ilvl w:val="0"/>
          <w:numId w:val="2"/>
        </w:numPr>
        <w:spacing w:line="578" w:lineRule="exact"/>
        <w:ind w:firstLine="640" w:firstLineChars="200"/>
        <w:rPr>
          <w:rFonts w:ascii="仿宋" w:hAnsi="仿宋" w:eastAsia="仿宋"/>
          <w:sz w:val="32"/>
          <w:szCs w:val="32"/>
        </w:rPr>
      </w:pPr>
      <w:r>
        <w:rPr>
          <w:rFonts w:hint="eastAsia" w:ascii="仿宋" w:hAnsi="仿宋" w:eastAsia="仿宋"/>
          <w:sz w:val="32"/>
          <w:szCs w:val="32"/>
        </w:rPr>
        <w:t>出让年限：</w:t>
      </w:r>
      <w:r>
        <w:rPr>
          <w:rFonts w:hint="eastAsia" w:ascii="仿宋" w:hAnsi="仿宋" w:eastAsia="仿宋"/>
          <w:sz w:val="32"/>
          <w:szCs w:val="32"/>
          <w:lang w:val="en-US" w:eastAsia="zh-CN"/>
        </w:rPr>
        <w:t>14.8</w:t>
      </w:r>
      <w:r>
        <w:rPr>
          <w:rFonts w:hint="eastAsia" w:ascii="仿宋" w:hAnsi="仿宋" w:eastAsia="仿宋"/>
          <w:sz w:val="32"/>
          <w:szCs w:val="32"/>
        </w:rPr>
        <w:t>年。</w:t>
      </w:r>
    </w:p>
    <w:p w14:paraId="35AB8C77">
      <w:pPr>
        <w:spacing w:line="578" w:lineRule="exact"/>
        <w:ind w:firstLine="640" w:firstLineChars="200"/>
        <w:rPr>
          <w:rFonts w:eastAsia="黑体"/>
          <w:sz w:val="32"/>
          <w:szCs w:val="32"/>
        </w:rPr>
      </w:pPr>
      <w:r>
        <w:rPr>
          <w:rFonts w:hint="eastAsia" w:eastAsia="黑体"/>
          <w:sz w:val="32"/>
          <w:szCs w:val="32"/>
          <w:lang w:val="en-US" w:eastAsia="zh-CN"/>
        </w:rPr>
        <w:t>五</w:t>
      </w:r>
      <w:r>
        <w:rPr>
          <w:rFonts w:eastAsia="黑体"/>
          <w:sz w:val="32"/>
          <w:szCs w:val="32"/>
        </w:rPr>
        <w:t>、</w:t>
      </w:r>
      <w:r>
        <w:rPr>
          <w:rFonts w:eastAsia="黑体"/>
          <w:snapToGrid w:val="0"/>
          <w:kern w:val="0"/>
          <w:sz w:val="32"/>
          <w:szCs w:val="32"/>
        </w:rPr>
        <w:t>竞买人资格及竞买要求</w:t>
      </w:r>
    </w:p>
    <w:p w14:paraId="4BB6DA04">
      <w:pPr>
        <w:spacing w:line="578" w:lineRule="exact"/>
        <w:ind w:firstLine="640" w:firstLineChars="200"/>
        <w:rPr>
          <w:rFonts w:ascii="仿宋" w:hAnsi="仿宋" w:eastAsia="仿宋"/>
          <w:sz w:val="32"/>
          <w:szCs w:val="32"/>
        </w:rPr>
      </w:pPr>
      <w:r>
        <w:rPr>
          <w:rFonts w:ascii="仿宋" w:hAnsi="仿宋" w:eastAsia="仿宋"/>
          <w:sz w:val="32"/>
          <w:szCs w:val="32"/>
        </w:rPr>
        <w:t>（一）竞买人资格条件</w:t>
      </w:r>
    </w:p>
    <w:p w14:paraId="7569EB64">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1．在中华人民共和国境内注册的有效存续的具有独立承担民事责任能力的企业、事业法人（同一法定代表人注册的多家公司或母子等公司，只能由其中一家公司申请参加竞买同一宗采矿权）。</w:t>
      </w:r>
    </w:p>
    <w:p w14:paraId="165D17CB">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2．竞买人需具备与开采该矿相匹配的资金实力。</w:t>
      </w:r>
    </w:p>
    <w:p w14:paraId="242882DA">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3．具有以下情形之一的不得参与竞买：（1）在“全国矿业权人勘查开采信息公示系统”中被列入“矿业权人异常名录”或“严重违法名单”的。（2）在“信用中国”网站中被列入“失信惩戒对象”或“重点关注名单”或“安全生产领域失信生产经营单位”的。（3）在“国家企业信用信息公示系统”中被列入“经营异常名录”或“严重违法失信企业名单”的。（4）被吊销采矿许可证，从吊销之日起至提交申请之日未满2年的。（5）</w:t>
      </w:r>
      <w:r>
        <w:rPr>
          <w:rFonts w:hint="eastAsia" w:ascii="仿宋" w:hAnsi="仿宋" w:eastAsia="仿宋"/>
          <w:snapToGrid w:val="0"/>
          <w:kern w:val="0"/>
          <w:sz w:val="32"/>
          <w:szCs w:val="32"/>
        </w:rPr>
        <w:t>其他</w:t>
      </w:r>
      <w:r>
        <w:rPr>
          <w:rFonts w:ascii="仿宋" w:hAnsi="仿宋" w:eastAsia="仿宋"/>
          <w:snapToGrid w:val="0"/>
          <w:kern w:val="0"/>
          <w:sz w:val="32"/>
          <w:szCs w:val="32"/>
        </w:rPr>
        <w:t>依法禁止参与竞买情形的。</w:t>
      </w:r>
    </w:p>
    <w:p w14:paraId="7D821B5F">
      <w:pPr>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4．不接受联合体竞买。</w:t>
      </w:r>
    </w:p>
    <w:p w14:paraId="3007C83D">
      <w:pPr>
        <w:spacing w:line="578" w:lineRule="exact"/>
        <w:ind w:firstLine="640" w:firstLineChars="200"/>
        <w:rPr>
          <w:rFonts w:ascii="仿宋" w:hAnsi="仿宋" w:eastAsia="仿宋"/>
          <w:sz w:val="32"/>
          <w:szCs w:val="32"/>
        </w:rPr>
      </w:pPr>
      <w:r>
        <w:rPr>
          <w:rFonts w:ascii="仿宋" w:hAnsi="仿宋" w:eastAsia="仿宋"/>
          <w:sz w:val="32"/>
          <w:szCs w:val="32"/>
        </w:rPr>
        <w:t>（二）竞买要求</w:t>
      </w:r>
    </w:p>
    <w:p w14:paraId="1358228E">
      <w:pPr>
        <w:spacing w:line="578" w:lineRule="exact"/>
        <w:ind w:firstLine="640" w:firstLineChars="200"/>
        <w:rPr>
          <w:rFonts w:hint="eastAsia" w:ascii="仿宋" w:hAnsi="仿宋" w:eastAsia="仿宋"/>
          <w:sz w:val="32"/>
          <w:szCs w:val="32"/>
        </w:rPr>
      </w:pPr>
      <w:r>
        <w:rPr>
          <w:rFonts w:ascii="仿宋" w:hAnsi="仿宋" w:eastAsia="仿宋"/>
          <w:sz w:val="32"/>
          <w:szCs w:val="32"/>
        </w:rPr>
        <w:t>1．竞买申请人</w:t>
      </w:r>
      <w:r>
        <w:rPr>
          <w:rFonts w:hint="eastAsia" w:ascii="仿宋" w:hAnsi="仿宋" w:eastAsia="仿宋"/>
          <w:sz w:val="32"/>
          <w:szCs w:val="32"/>
          <w:lang w:val="en-US" w:eastAsia="zh-CN"/>
        </w:rPr>
        <w:t>必须</w:t>
      </w:r>
      <w:r>
        <w:rPr>
          <w:rFonts w:ascii="仿宋" w:hAnsi="仿宋" w:eastAsia="仿宋"/>
          <w:sz w:val="32"/>
          <w:szCs w:val="32"/>
        </w:rPr>
        <w:t>提交</w:t>
      </w:r>
      <w:r>
        <w:rPr>
          <w:rFonts w:hint="eastAsia" w:ascii="仿宋" w:hAnsi="仿宋" w:eastAsia="仿宋"/>
          <w:sz w:val="32"/>
          <w:szCs w:val="32"/>
          <w:lang w:val="en-US" w:eastAsia="zh-CN"/>
        </w:rPr>
        <w:t>的</w:t>
      </w:r>
      <w:r>
        <w:rPr>
          <w:rFonts w:ascii="仿宋" w:hAnsi="仿宋" w:eastAsia="仿宋"/>
          <w:sz w:val="32"/>
          <w:szCs w:val="32"/>
        </w:rPr>
        <w:t>资料：</w:t>
      </w:r>
      <w:r>
        <w:rPr>
          <w:rFonts w:hint="eastAsia" w:ascii="仿宋" w:hAnsi="仿宋" w:eastAsia="仿宋"/>
          <w:sz w:val="32"/>
          <w:szCs w:val="32"/>
          <w:lang w:eastAsia="zh-CN"/>
        </w:rPr>
        <w:t>（</w:t>
      </w:r>
      <w:r>
        <w:rPr>
          <w:rFonts w:hint="eastAsia" w:ascii="仿宋" w:hAnsi="仿宋" w:eastAsia="仿宋"/>
          <w:sz w:val="32"/>
          <w:szCs w:val="32"/>
          <w:lang w:val="en-US" w:eastAsia="zh-CN"/>
        </w:rPr>
        <w:t>1</w:t>
      </w:r>
      <w:r>
        <w:rPr>
          <w:rFonts w:hint="eastAsia" w:ascii="仿宋" w:hAnsi="仿宋" w:eastAsia="仿宋"/>
          <w:sz w:val="32"/>
          <w:szCs w:val="32"/>
          <w:lang w:eastAsia="zh-CN"/>
        </w:rPr>
        <w:t>）</w:t>
      </w:r>
      <w:r>
        <w:rPr>
          <w:rFonts w:hint="eastAsia" w:ascii="仿宋" w:hAnsi="仿宋" w:eastAsia="仿宋"/>
          <w:sz w:val="32"/>
          <w:szCs w:val="32"/>
        </w:rPr>
        <w:t>缴纳</w:t>
      </w:r>
      <w:r>
        <w:rPr>
          <w:rFonts w:hint="eastAsia" w:ascii="仿宋" w:hAnsi="仿宋" w:eastAsia="仿宋"/>
          <w:sz w:val="32"/>
          <w:szCs w:val="32"/>
          <w:lang w:val="en-US" w:eastAsia="zh-CN"/>
        </w:rPr>
        <w:t>130</w:t>
      </w:r>
      <w:r>
        <w:rPr>
          <w:rFonts w:hint="eastAsia" w:ascii="仿宋" w:hAnsi="仿宋" w:eastAsia="仿宋"/>
          <w:sz w:val="32"/>
          <w:szCs w:val="32"/>
        </w:rPr>
        <w:t>0万元竞买保证金的相关证明材料。</w:t>
      </w:r>
      <w:r>
        <w:rPr>
          <w:rFonts w:hint="eastAsia" w:ascii="仿宋" w:hAnsi="仿宋" w:eastAsia="仿宋"/>
          <w:sz w:val="32"/>
          <w:szCs w:val="32"/>
          <w:lang w:eastAsia="zh-CN"/>
        </w:rPr>
        <w:t>（</w:t>
      </w:r>
      <w:r>
        <w:rPr>
          <w:rFonts w:hint="eastAsia" w:ascii="仿宋" w:hAnsi="仿宋" w:eastAsia="仿宋"/>
          <w:sz w:val="32"/>
          <w:szCs w:val="32"/>
          <w:lang w:val="en-US" w:eastAsia="zh-CN"/>
        </w:rPr>
        <w:t>2</w:t>
      </w:r>
      <w:r>
        <w:rPr>
          <w:rFonts w:hint="eastAsia" w:ascii="仿宋" w:hAnsi="仿宋" w:eastAsia="仿宋"/>
          <w:sz w:val="32"/>
          <w:szCs w:val="32"/>
          <w:lang w:eastAsia="zh-CN"/>
        </w:rPr>
        <w:t>）</w:t>
      </w:r>
      <w:r>
        <w:rPr>
          <w:rFonts w:hint="eastAsia" w:ascii="仿宋" w:hAnsi="仿宋" w:eastAsia="仿宋"/>
          <w:sz w:val="32"/>
          <w:szCs w:val="32"/>
        </w:rPr>
        <w:t>书面承诺对出让采矿权已实地踏勘知晓具体情况，并自愿承担相关风险。</w:t>
      </w:r>
      <w:r>
        <w:rPr>
          <w:rFonts w:hint="eastAsia" w:ascii="仿宋" w:hAnsi="仿宋" w:eastAsia="仿宋"/>
          <w:sz w:val="32"/>
          <w:szCs w:val="32"/>
          <w:lang w:eastAsia="zh-CN"/>
        </w:rPr>
        <w:t>（</w:t>
      </w:r>
      <w:r>
        <w:rPr>
          <w:rFonts w:hint="eastAsia" w:ascii="仿宋" w:hAnsi="仿宋" w:eastAsia="仿宋"/>
          <w:sz w:val="32"/>
          <w:szCs w:val="32"/>
          <w:lang w:val="en-US" w:eastAsia="zh-CN"/>
        </w:rPr>
        <w:t>3</w:t>
      </w:r>
      <w:r>
        <w:rPr>
          <w:rFonts w:hint="eastAsia" w:ascii="仿宋" w:hAnsi="仿宋" w:eastAsia="仿宋"/>
          <w:sz w:val="32"/>
          <w:szCs w:val="32"/>
          <w:lang w:eastAsia="zh-CN"/>
        </w:rPr>
        <w:t>）</w:t>
      </w:r>
      <w:r>
        <w:rPr>
          <w:rFonts w:hint="eastAsia" w:ascii="仿宋" w:hAnsi="仿宋" w:eastAsia="仿宋"/>
          <w:sz w:val="32"/>
          <w:szCs w:val="32"/>
        </w:rPr>
        <w:t>书面承诺履行矿区生态修复义务以及严格按照绿色矿山建设标准建设绿色矿山。</w:t>
      </w:r>
      <w:r>
        <w:rPr>
          <w:rFonts w:hint="eastAsia" w:ascii="仿宋" w:hAnsi="仿宋" w:eastAsia="仿宋"/>
          <w:sz w:val="32"/>
          <w:szCs w:val="32"/>
          <w:lang w:eastAsia="zh-CN"/>
        </w:rPr>
        <w:t>（</w:t>
      </w:r>
      <w:r>
        <w:rPr>
          <w:rFonts w:hint="eastAsia" w:ascii="仿宋" w:hAnsi="仿宋" w:eastAsia="仿宋"/>
          <w:sz w:val="32"/>
          <w:szCs w:val="32"/>
          <w:lang w:val="en-US" w:eastAsia="zh-CN"/>
        </w:rPr>
        <w:t>4</w:t>
      </w:r>
      <w:r>
        <w:rPr>
          <w:rFonts w:hint="eastAsia" w:ascii="仿宋" w:hAnsi="仿宋" w:eastAsia="仿宋"/>
          <w:sz w:val="32"/>
          <w:szCs w:val="32"/>
          <w:lang w:eastAsia="zh-CN"/>
        </w:rPr>
        <w:t>）</w:t>
      </w:r>
      <w:r>
        <w:rPr>
          <w:rFonts w:hint="eastAsia" w:ascii="仿宋" w:hAnsi="仿宋" w:eastAsia="仿宋"/>
          <w:sz w:val="32"/>
          <w:szCs w:val="32"/>
        </w:rPr>
        <w:t>书面承诺采矿许可证到期后，立即停止采矿活动。是否继续设置（办理采矿权延续登记），由审批登记发证机关按照当时的国家产业政策、矿产资源规划和相关法律法规等依法决定。</w:t>
      </w:r>
      <w:r>
        <w:rPr>
          <w:rFonts w:hint="eastAsia" w:ascii="仿宋" w:hAnsi="仿宋" w:eastAsia="仿宋"/>
          <w:sz w:val="32"/>
          <w:szCs w:val="32"/>
          <w:lang w:eastAsia="zh-CN"/>
        </w:rPr>
        <w:t>（</w:t>
      </w:r>
      <w:r>
        <w:rPr>
          <w:rFonts w:hint="eastAsia" w:ascii="仿宋" w:hAnsi="仿宋" w:eastAsia="仿宋"/>
          <w:sz w:val="32"/>
          <w:szCs w:val="32"/>
          <w:lang w:val="en-US" w:eastAsia="zh-CN"/>
        </w:rPr>
        <w:t>5</w:t>
      </w:r>
      <w:r>
        <w:rPr>
          <w:rFonts w:hint="eastAsia" w:ascii="仿宋" w:hAnsi="仿宋" w:eastAsia="仿宋"/>
          <w:sz w:val="32"/>
          <w:szCs w:val="32"/>
          <w:lang w:eastAsia="zh-CN"/>
        </w:rPr>
        <w:t>）</w:t>
      </w:r>
      <w:r>
        <w:rPr>
          <w:rFonts w:hint="eastAsia" w:ascii="仿宋" w:hAnsi="仿宋" w:eastAsia="仿宋"/>
          <w:sz w:val="32"/>
          <w:szCs w:val="32"/>
        </w:rPr>
        <w:t>书面承诺对进矿道路扩建、新建、改建以及生产加工、弃土堆放需要拆除（拆迁）的由矿业权竞得人自行协商解决，并依法办理用林用地手续，并自行承担相关费用。</w:t>
      </w:r>
      <w:r>
        <w:rPr>
          <w:rFonts w:hint="eastAsia" w:ascii="仿宋" w:hAnsi="仿宋" w:eastAsia="仿宋"/>
          <w:sz w:val="32"/>
          <w:szCs w:val="32"/>
          <w:lang w:eastAsia="zh-CN"/>
        </w:rPr>
        <w:t>（</w:t>
      </w:r>
      <w:r>
        <w:rPr>
          <w:rFonts w:hint="eastAsia" w:ascii="仿宋" w:hAnsi="仿宋" w:eastAsia="仿宋"/>
          <w:sz w:val="32"/>
          <w:szCs w:val="32"/>
          <w:lang w:val="en-US" w:eastAsia="zh-CN"/>
        </w:rPr>
        <w:t>6</w:t>
      </w:r>
      <w:r>
        <w:rPr>
          <w:rFonts w:hint="eastAsia" w:ascii="仿宋" w:hAnsi="仿宋" w:eastAsia="仿宋"/>
          <w:sz w:val="32"/>
          <w:szCs w:val="32"/>
          <w:lang w:eastAsia="zh-CN"/>
        </w:rPr>
        <w:t>）</w:t>
      </w:r>
      <w:r>
        <w:rPr>
          <w:rFonts w:hint="eastAsia" w:ascii="仿宋" w:hAnsi="仿宋" w:eastAsia="仿宋"/>
          <w:sz w:val="32"/>
          <w:szCs w:val="32"/>
        </w:rPr>
        <w:t>书面承诺未按期签订《采矿权出让合同》、未按约定缴纳采矿权出让收益，《成交确认书》自动作废，纳入公共资源交易领域失信名单实施联合惩戒，并从保证金中代扣成交价20%违约金履行违约责任。</w:t>
      </w:r>
      <w:r>
        <w:rPr>
          <w:rFonts w:hint="eastAsia" w:ascii="仿宋" w:hAnsi="仿宋" w:eastAsia="仿宋"/>
          <w:sz w:val="32"/>
          <w:szCs w:val="32"/>
          <w:lang w:eastAsia="zh-CN"/>
        </w:rPr>
        <w:t>（</w:t>
      </w:r>
      <w:r>
        <w:rPr>
          <w:rFonts w:hint="eastAsia" w:ascii="仿宋" w:hAnsi="仿宋" w:eastAsia="仿宋"/>
          <w:sz w:val="32"/>
          <w:szCs w:val="32"/>
          <w:lang w:val="en-US" w:eastAsia="zh-CN"/>
        </w:rPr>
        <w:t>7</w:t>
      </w:r>
      <w:r>
        <w:rPr>
          <w:rFonts w:hint="eastAsia" w:ascii="仿宋" w:hAnsi="仿宋" w:eastAsia="仿宋"/>
          <w:sz w:val="32"/>
          <w:szCs w:val="32"/>
          <w:lang w:eastAsia="zh-CN"/>
        </w:rPr>
        <w:t>）</w:t>
      </w:r>
      <w:r>
        <w:rPr>
          <w:rFonts w:hint="eastAsia" w:ascii="仿宋" w:hAnsi="仿宋" w:eastAsia="仿宋"/>
          <w:sz w:val="32"/>
          <w:szCs w:val="32"/>
        </w:rPr>
        <w:t>无失信行为承诺书。</w:t>
      </w:r>
    </w:p>
    <w:p w14:paraId="16DF29B0">
      <w:pPr>
        <w:spacing w:line="578" w:lineRule="exact"/>
        <w:ind w:firstLine="640" w:firstLineChars="200"/>
        <w:rPr>
          <w:rFonts w:ascii="仿宋" w:hAnsi="仿宋" w:eastAsia="仿宋" w:cs="Times New Roman"/>
          <w:sz w:val="32"/>
          <w:szCs w:val="32"/>
        </w:rPr>
      </w:pPr>
      <w:r>
        <w:rPr>
          <w:rFonts w:ascii="仿宋" w:hAnsi="仿宋" w:eastAsia="仿宋"/>
          <w:sz w:val="32"/>
          <w:szCs w:val="32"/>
        </w:rPr>
        <w:t>2．竞买申请人按照采矿权拍卖出让公告的日期及方式索取拍卖出让文件。申请人应认真审阅、全面准确地了解、掌握拍卖出让文件的详细内容及有关要求，对本次拍卖出让采矿权有疑问的，可向出让人咨询</w:t>
      </w:r>
      <w:r>
        <w:rPr>
          <w:rFonts w:ascii="仿宋" w:hAnsi="仿宋" w:eastAsia="仿宋" w:cs="Times New Roman"/>
          <w:sz w:val="32"/>
          <w:szCs w:val="32"/>
        </w:rPr>
        <w:t>（咨询电话：</w:t>
      </w:r>
      <w:r>
        <w:rPr>
          <w:rFonts w:hint="eastAsia" w:ascii="仿宋" w:hAnsi="仿宋" w:eastAsia="仿宋" w:cs="Times New Roman"/>
          <w:sz w:val="32"/>
          <w:szCs w:val="32"/>
        </w:rPr>
        <w:t>0818-2372076</w:t>
      </w:r>
      <w:r>
        <w:rPr>
          <w:rFonts w:ascii="仿宋" w:hAnsi="仿宋" w:eastAsia="仿宋" w:cs="Times New Roman"/>
          <w:sz w:val="32"/>
          <w:szCs w:val="32"/>
        </w:rPr>
        <w:t>）。</w:t>
      </w:r>
    </w:p>
    <w:p w14:paraId="1F82F53E">
      <w:pPr>
        <w:pStyle w:val="53"/>
        <w:widowControl w:val="0"/>
        <w:spacing w:line="578" w:lineRule="exact"/>
        <w:ind w:left="0" w:firstLine="640" w:firstLineChars="200"/>
        <w:rPr>
          <w:rFonts w:eastAsia="黑体"/>
          <w:sz w:val="32"/>
          <w:szCs w:val="32"/>
        </w:rPr>
      </w:pPr>
      <w:r>
        <w:rPr>
          <w:rFonts w:hint="eastAsia" w:eastAsia="黑体"/>
          <w:sz w:val="32"/>
          <w:szCs w:val="32"/>
          <w:lang w:val="en-US" w:eastAsia="zh-CN"/>
        </w:rPr>
        <w:t>六</w:t>
      </w:r>
      <w:r>
        <w:rPr>
          <w:rFonts w:eastAsia="黑体"/>
          <w:sz w:val="32"/>
          <w:szCs w:val="32"/>
        </w:rPr>
        <w:t>、申请和资格审查</w:t>
      </w:r>
    </w:p>
    <w:p w14:paraId="265B37FD">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（一）拍卖文件取得</w:t>
      </w:r>
    </w:p>
    <w:p w14:paraId="35B58D6F">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竞买申请人可于</w:t>
      </w:r>
      <w:r>
        <w:rPr>
          <w:rFonts w:ascii="仿宋" w:hAnsi="仿宋" w:eastAsia="仿宋"/>
          <w:b/>
          <w:bCs/>
          <w:sz w:val="32"/>
          <w:szCs w:val="32"/>
          <w:u w:val="single"/>
        </w:rPr>
        <w:t>20</w:t>
      </w:r>
      <w:r>
        <w:rPr>
          <w:rFonts w:hint="eastAsia" w:ascii="仿宋" w:hAnsi="仿宋" w:eastAsia="仿宋"/>
          <w:b/>
          <w:bCs/>
          <w:sz w:val="32"/>
          <w:szCs w:val="32"/>
          <w:u w:val="single"/>
          <w:lang w:val="en-US" w:eastAsia="zh-CN"/>
        </w:rPr>
        <w:t>26</w:t>
      </w:r>
      <w:r>
        <w:rPr>
          <w:rFonts w:ascii="仿宋" w:hAnsi="仿宋" w:eastAsia="仿宋"/>
          <w:b/>
          <w:bCs/>
          <w:sz w:val="32"/>
          <w:szCs w:val="32"/>
          <w:u w:val="single"/>
        </w:rPr>
        <w:t>年</w:t>
      </w:r>
      <w:r>
        <w:rPr>
          <w:rFonts w:hint="eastAsia" w:ascii="仿宋" w:hAnsi="仿宋" w:eastAsia="仿宋"/>
          <w:b/>
          <w:bCs/>
          <w:sz w:val="32"/>
          <w:szCs w:val="32"/>
          <w:u w:val="single"/>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1</w:t>
      </w:r>
      <w:r>
        <w:rPr>
          <w:rFonts w:ascii="仿宋" w:hAnsi="仿宋" w:eastAsia="仿宋"/>
          <w:b/>
          <w:bCs/>
          <w:sz w:val="32"/>
          <w:szCs w:val="32"/>
          <w:u w:val="single"/>
        </w:rPr>
        <w:t>日至202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29</w:t>
      </w:r>
      <w:r>
        <w:rPr>
          <w:rFonts w:ascii="仿宋" w:hAnsi="仿宋" w:eastAsia="仿宋"/>
          <w:b/>
          <w:bCs/>
          <w:sz w:val="32"/>
          <w:szCs w:val="32"/>
          <w:u w:val="single"/>
        </w:rPr>
        <w:t>日</w:t>
      </w:r>
      <w:r>
        <w:rPr>
          <w:rFonts w:ascii="仿宋" w:hAnsi="仿宋" w:eastAsia="仿宋"/>
          <w:sz w:val="32"/>
          <w:szCs w:val="32"/>
        </w:rPr>
        <w:t>，登录达州市公共资源交易服务网（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shd w:val="clear" w:color="auto" w:fill="FFFFFF"/>
        </w:rPr>
        <w:t>http://www.dzggzy.cn</w:t>
      </w:r>
      <w:r>
        <w:rPr>
          <w:rStyle w:val="30"/>
          <w:rFonts w:ascii="仿宋" w:hAnsi="仿宋" w:eastAsia="仿宋"/>
          <w:color w:val="auto"/>
          <w:sz w:val="32"/>
          <w:szCs w:val="32"/>
          <w:shd w:val="clear" w:color="auto" w:fill="FFFFFF"/>
        </w:rPr>
        <w:fldChar w:fldCharType="end"/>
      </w:r>
      <w:r>
        <w:rPr>
          <w:rFonts w:hint="eastAsia"/>
          <w:u w:val="single"/>
        </w:rPr>
        <w:t>/</w:t>
      </w:r>
      <w:r>
        <w:rPr>
          <w:rFonts w:ascii="仿宋" w:hAnsi="仿宋" w:eastAsia="仿宋"/>
          <w:sz w:val="32"/>
          <w:szCs w:val="32"/>
        </w:rPr>
        <w:t>）获取拍卖出让文件。拍卖出让文件包括：</w:t>
      </w:r>
    </w:p>
    <w:p w14:paraId="1115910D">
      <w:pPr>
        <w:pStyle w:val="53"/>
        <w:widowControl w:val="0"/>
        <w:spacing w:line="578" w:lineRule="exact"/>
        <w:ind w:left="0" w:firstLine="640" w:firstLineChars="200"/>
        <w:rPr>
          <w:rFonts w:ascii="仿宋" w:hAnsi="仿宋" w:eastAsia="仿宋"/>
          <w:sz w:val="32"/>
          <w:szCs w:val="32"/>
        </w:rPr>
      </w:pPr>
      <w:bookmarkStart w:id="26" w:name="_Hlk141224013"/>
      <w:r>
        <w:rPr>
          <w:rFonts w:ascii="仿宋" w:hAnsi="仿宋" w:eastAsia="仿宋"/>
          <w:sz w:val="32"/>
          <w:szCs w:val="32"/>
        </w:rPr>
        <w:t>1．采矿权拍卖出让公告；</w:t>
      </w:r>
    </w:p>
    <w:p w14:paraId="24A52491">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2．采矿权拍卖出让须知；</w:t>
      </w:r>
    </w:p>
    <w:p w14:paraId="63504160">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3．竞买申请书（样本）；</w:t>
      </w:r>
    </w:p>
    <w:p w14:paraId="3F0B2384">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4．竞买承诺书（样本）；</w:t>
      </w:r>
    </w:p>
    <w:p w14:paraId="182FD908">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5．无失信行为承诺书（样本）；</w:t>
      </w:r>
    </w:p>
    <w:p w14:paraId="7EB07AB0">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6．法定代表人身份证明书（样本）；</w:t>
      </w:r>
    </w:p>
    <w:p w14:paraId="041124C1">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7．授权委托书（样本）；</w:t>
      </w:r>
    </w:p>
    <w:p w14:paraId="7E340728">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8．成交确认书（样本）；</w:t>
      </w:r>
    </w:p>
    <w:p w14:paraId="78F5B82E">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9．矿区范围图；</w:t>
      </w:r>
    </w:p>
    <w:p w14:paraId="05921B1E">
      <w:pPr>
        <w:pStyle w:val="53"/>
        <w:widowControl w:val="0"/>
        <w:spacing w:line="578" w:lineRule="exact"/>
        <w:ind w:left="0" w:firstLine="640" w:firstLineChars="200"/>
        <w:rPr>
          <w:rFonts w:hint="eastAsia" w:ascii="仿宋" w:hAnsi="仿宋" w:eastAsia="仿宋"/>
          <w:sz w:val="32"/>
          <w:szCs w:val="32"/>
          <w:lang w:eastAsia="zh-CN"/>
        </w:rPr>
      </w:pPr>
      <w:r>
        <w:rPr>
          <w:rFonts w:hint="eastAsia" w:ascii="仿宋" w:hAnsi="仿宋" w:eastAsia="仿宋"/>
          <w:sz w:val="32"/>
          <w:szCs w:val="32"/>
          <w:lang w:val="en-US" w:eastAsia="zh-CN"/>
        </w:rPr>
        <w:t>10.</w:t>
      </w:r>
      <w:r>
        <w:rPr>
          <w:rFonts w:hint="eastAsia" w:ascii="仿宋" w:hAnsi="仿宋" w:eastAsia="仿宋"/>
          <w:sz w:val="32"/>
          <w:szCs w:val="32"/>
        </w:rPr>
        <w:t>三区三线套合图</w:t>
      </w:r>
      <w:r>
        <w:rPr>
          <w:rFonts w:hint="eastAsia" w:ascii="仿宋" w:hAnsi="仿宋" w:eastAsia="仿宋"/>
          <w:sz w:val="32"/>
          <w:szCs w:val="32"/>
          <w:lang w:eastAsia="zh-CN"/>
        </w:rPr>
        <w:t>；</w:t>
      </w:r>
    </w:p>
    <w:p w14:paraId="02C3A3E3">
      <w:pPr>
        <w:pStyle w:val="53"/>
        <w:widowControl w:val="0"/>
        <w:spacing w:line="578" w:lineRule="exact"/>
        <w:ind w:left="0" w:firstLine="640" w:firstLineChars="200"/>
        <w:rPr>
          <w:rFonts w:hint="eastAsia" w:ascii="仿宋" w:hAnsi="仿宋" w:eastAsia="仿宋"/>
          <w:sz w:val="32"/>
          <w:szCs w:val="32"/>
          <w:lang w:eastAsia="zh-CN"/>
        </w:rPr>
      </w:pPr>
      <w:r>
        <w:rPr>
          <w:rFonts w:hint="eastAsia" w:ascii="仿宋" w:hAnsi="仿宋" w:eastAsia="仿宋"/>
          <w:sz w:val="32"/>
          <w:szCs w:val="32"/>
          <w:lang w:val="en-US" w:eastAsia="zh-CN"/>
        </w:rPr>
        <w:t>11.</w:t>
      </w:r>
      <w:r>
        <w:rPr>
          <w:rFonts w:hint="eastAsia" w:ascii="仿宋" w:hAnsi="仿宋" w:eastAsia="仿宋"/>
          <w:sz w:val="32"/>
          <w:szCs w:val="32"/>
        </w:rPr>
        <w:t>进矿道路示意图</w:t>
      </w:r>
      <w:r>
        <w:rPr>
          <w:rFonts w:hint="eastAsia" w:ascii="仿宋" w:hAnsi="仿宋" w:eastAsia="仿宋"/>
          <w:sz w:val="32"/>
          <w:szCs w:val="32"/>
          <w:lang w:eastAsia="zh-CN"/>
        </w:rPr>
        <w:t>；</w:t>
      </w:r>
    </w:p>
    <w:p w14:paraId="2011CD8A">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lang w:val="en-US" w:eastAsia="zh-CN"/>
        </w:rPr>
        <w:t>2</w:t>
      </w:r>
      <w:r>
        <w:rPr>
          <w:rFonts w:ascii="仿宋" w:hAnsi="仿宋" w:eastAsia="仿宋"/>
          <w:sz w:val="32"/>
          <w:szCs w:val="32"/>
        </w:rPr>
        <w:t>．采矿权出让合同（样本）。</w:t>
      </w:r>
    </w:p>
    <w:bookmarkEnd w:id="26"/>
    <w:p w14:paraId="3D76EFB3">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（二）提交申请文件</w:t>
      </w:r>
    </w:p>
    <w:p w14:paraId="7CCAC82D">
      <w:pPr>
        <w:spacing w:line="578" w:lineRule="exact"/>
        <w:ind w:firstLine="640" w:firstLineChars="200"/>
        <w:rPr>
          <w:rFonts w:ascii="仿宋" w:hAnsi="仿宋" w:eastAsia="仿宋"/>
          <w:sz w:val="32"/>
          <w:szCs w:val="32"/>
        </w:rPr>
      </w:pPr>
      <w:r>
        <w:rPr>
          <w:rFonts w:ascii="仿宋" w:hAnsi="仿宋" w:eastAsia="仿宋"/>
          <w:sz w:val="32"/>
          <w:szCs w:val="32"/>
        </w:rPr>
        <w:t>竞买申请人应于</w:t>
      </w:r>
      <w:r>
        <w:rPr>
          <w:rFonts w:ascii="仿宋" w:hAnsi="仿宋" w:eastAsia="仿宋"/>
          <w:b/>
          <w:bCs/>
          <w:sz w:val="32"/>
          <w:szCs w:val="32"/>
          <w:u w:val="single"/>
        </w:rPr>
        <w:t>20</w:t>
      </w:r>
      <w:r>
        <w:rPr>
          <w:rFonts w:hint="eastAsia" w:ascii="仿宋" w:hAnsi="仿宋" w:eastAsia="仿宋"/>
          <w:b/>
          <w:bCs/>
          <w:sz w:val="32"/>
          <w:szCs w:val="32"/>
          <w:u w:val="single"/>
          <w:lang w:val="en-US" w:eastAsia="zh-CN"/>
        </w:rPr>
        <w:t>26</w:t>
      </w:r>
      <w:r>
        <w:rPr>
          <w:rFonts w:ascii="仿宋" w:hAnsi="仿宋" w:eastAsia="仿宋"/>
          <w:b/>
          <w:bCs/>
          <w:sz w:val="32"/>
          <w:szCs w:val="32"/>
          <w:u w:val="single"/>
        </w:rPr>
        <w:t>年</w:t>
      </w:r>
      <w:r>
        <w:rPr>
          <w:rFonts w:hint="eastAsia" w:ascii="仿宋" w:hAnsi="仿宋" w:eastAsia="仿宋"/>
          <w:b/>
          <w:bCs/>
          <w:sz w:val="32"/>
          <w:szCs w:val="32"/>
          <w:u w:val="single"/>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1</w:t>
      </w:r>
      <w:r>
        <w:rPr>
          <w:rFonts w:ascii="仿宋" w:hAnsi="仿宋" w:eastAsia="仿宋"/>
          <w:b/>
          <w:bCs/>
          <w:sz w:val="32"/>
          <w:szCs w:val="32"/>
          <w:u w:val="single"/>
        </w:rPr>
        <w:t>日至202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29</w:t>
      </w:r>
      <w:r>
        <w:rPr>
          <w:rFonts w:ascii="仿宋" w:hAnsi="仿宋" w:eastAsia="仿宋"/>
          <w:b/>
          <w:bCs/>
          <w:sz w:val="32"/>
          <w:szCs w:val="32"/>
          <w:u w:val="single"/>
        </w:rPr>
        <w:t>日17:00止</w:t>
      </w:r>
      <w:r>
        <w:rPr>
          <w:rStyle w:val="30"/>
          <w:rFonts w:ascii="仿宋" w:hAnsi="仿宋" w:eastAsia="仿宋"/>
          <w:color w:val="auto"/>
          <w:sz w:val="32"/>
          <w:szCs w:val="32"/>
          <w:shd w:val="clear" w:color="auto" w:fill="FFFFFF"/>
        </w:rPr>
        <w:t>登录达州市公共资源交易服务网（</w:t>
      </w:r>
      <w:r>
        <w:fldChar w:fldCharType="begin"/>
      </w:r>
      <w:r>
        <w:instrText xml:space="preserve"> HYPERLINK "http://www.dzggzy.cn" </w:instrText>
      </w:r>
      <w:r>
        <w:fldChar w:fldCharType="separate"/>
      </w:r>
      <w:r>
        <w:rPr>
          <w:rStyle w:val="30"/>
          <w:rFonts w:ascii="仿宋" w:hAnsi="仿宋" w:eastAsia="仿宋"/>
          <w:color w:val="auto"/>
          <w:sz w:val="32"/>
          <w:szCs w:val="32"/>
          <w:shd w:val="clear" w:color="auto" w:fill="FFFFFF"/>
        </w:rPr>
        <w:t>http://www.dzggzy.cn</w:t>
      </w:r>
      <w:r>
        <w:rPr>
          <w:rStyle w:val="30"/>
          <w:rFonts w:ascii="仿宋" w:hAnsi="仿宋" w:eastAsia="仿宋"/>
          <w:color w:val="auto"/>
          <w:sz w:val="32"/>
          <w:szCs w:val="32"/>
          <w:shd w:val="clear" w:color="auto" w:fill="FFFFFF"/>
        </w:rPr>
        <w:fldChar w:fldCharType="end"/>
      </w:r>
      <w:r>
        <w:rPr>
          <w:rFonts w:hint="eastAsia"/>
        </w:rPr>
        <w:t>/</w:t>
      </w:r>
      <w:r>
        <w:rPr>
          <w:rStyle w:val="30"/>
          <w:rFonts w:ascii="仿宋" w:hAnsi="仿宋" w:eastAsia="仿宋"/>
          <w:color w:val="auto"/>
          <w:sz w:val="32"/>
          <w:szCs w:val="32"/>
          <w:shd w:val="clear" w:color="auto" w:fill="FFFFFF"/>
        </w:rPr>
        <w:t>），通过系统上传申请文件扫描件并提交申请。</w:t>
      </w:r>
      <w:r>
        <w:rPr>
          <w:rFonts w:ascii="仿宋" w:hAnsi="仿宋" w:eastAsia="仿宋"/>
          <w:sz w:val="32"/>
          <w:szCs w:val="32"/>
        </w:rPr>
        <w:t>申请文件包括：</w:t>
      </w:r>
    </w:p>
    <w:p w14:paraId="1B0526CC">
      <w:pPr>
        <w:spacing w:line="578" w:lineRule="exact"/>
        <w:ind w:firstLine="640" w:firstLineChars="200"/>
        <w:rPr>
          <w:rFonts w:ascii="仿宋" w:hAnsi="仿宋" w:eastAsia="仿宋"/>
          <w:sz w:val="32"/>
          <w:szCs w:val="32"/>
        </w:rPr>
      </w:pPr>
      <w:r>
        <w:rPr>
          <w:rFonts w:ascii="仿宋" w:hAnsi="仿宋" w:eastAsia="仿宋"/>
          <w:sz w:val="32"/>
          <w:szCs w:val="32"/>
        </w:rPr>
        <w:t>1．竞买申请书（原件）；</w:t>
      </w:r>
    </w:p>
    <w:p w14:paraId="3B77FD36">
      <w:pPr>
        <w:spacing w:line="578" w:lineRule="exact"/>
        <w:ind w:firstLine="640" w:firstLineChars="200"/>
        <w:rPr>
          <w:rFonts w:ascii="仿宋" w:hAnsi="仿宋" w:eastAsia="仿宋"/>
          <w:sz w:val="32"/>
          <w:szCs w:val="32"/>
        </w:rPr>
      </w:pPr>
      <w:r>
        <w:rPr>
          <w:rFonts w:ascii="仿宋" w:hAnsi="仿宋" w:eastAsia="仿宋"/>
          <w:sz w:val="32"/>
          <w:szCs w:val="32"/>
        </w:rPr>
        <w:t>2．企业信用报告（原件）；</w:t>
      </w:r>
    </w:p>
    <w:p w14:paraId="7B51D575">
      <w:pPr>
        <w:spacing w:line="578" w:lineRule="exact"/>
        <w:ind w:firstLine="640" w:firstLineChars="200"/>
        <w:rPr>
          <w:rFonts w:ascii="仿宋" w:hAnsi="仿宋" w:eastAsia="仿宋"/>
          <w:sz w:val="32"/>
          <w:szCs w:val="32"/>
        </w:rPr>
      </w:pPr>
      <w:r>
        <w:rPr>
          <w:rFonts w:ascii="仿宋" w:hAnsi="仿宋" w:eastAsia="仿宋"/>
          <w:sz w:val="32"/>
          <w:szCs w:val="32"/>
        </w:rPr>
        <w:t>3．竞买承诺书（原件）；</w:t>
      </w:r>
    </w:p>
    <w:p w14:paraId="00E7820B">
      <w:pPr>
        <w:spacing w:line="578" w:lineRule="exact"/>
        <w:ind w:firstLine="640" w:firstLineChars="200"/>
        <w:rPr>
          <w:rFonts w:ascii="仿宋" w:hAnsi="仿宋" w:eastAsia="仿宋"/>
          <w:sz w:val="32"/>
          <w:szCs w:val="32"/>
        </w:rPr>
      </w:pPr>
      <w:bookmarkStart w:id="27" w:name="_Hlk141132554"/>
      <w:r>
        <w:rPr>
          <w:rFonts w:ascii="仿宋" w:hAnsi="仿宋" w:eastAsia="仿宋"/>
          <w:sz w:val="32"/>
          <w:szCs w:val="32"/>
        </w:rPr>
        <w:t>4．</w:t>
      </w:r>
      <w:bookmarkEnd w:id="27"/>
      <w:r>
        <w:rPr>
          <w:rFonts w:ascii="仿宋" w:hAnsi="仿宋" w:eastAsia="仿宋"/>
          <w:sz w:val="32"/>
          <w:szCs w:val="32"/>
        </w:rPr>
        <w:t>无失信行为承诺书（原件）；</w:t>
      </w:r>
    </w:p>
    <w:p w14:paraId="29A23B87">
      <w:pPr>
        <w:spacing w:line="578" w:lineRule="exact"/>
        <w:ind w:firstLine="640" w:firstLineChars="200"/>
        <w:rPr>
          <w:rFonts w:ascii="仿宋" w:hAnsi="仿宋" w:eastAsia="仿宋"/>
          <w:sz w:val="32"/>
          <w:szCs w:val="32"/>
        </w:rPr>
      </w:pPr>
      <w:r>
        <w:rPr>
          <w:rFonts w:ascii="仿宋" w:hAnsi="仿宋" w:eastAsia="仿宋"/>
          <w:sz w:val="32"/>
          <w:szCs w:val="32"/>
        </w:rPr>
        <w:t>5．企业法人营业执照（事业单位提供法人证书）复印件（加盖公章，核验原件）；</w:t>
      </w:r>
    </w:p>
    <w:p w14:paraId="7265AC6D">
      <w:pPr>
        <w:spacing w:line="578" w:lineRule="exact"/>
        <w:ind w:firstLine="640" w:firstLineChars="200"/>
        <w:rPr>
          <w:rFonts w:ascii="仿宋" w:hAnsi="仿宋" w:eastAsia="仿宋"/>
          <w:sz w:val="32"/>
          <w:szCs w:val="32"/>
        </w:rPr>
      </w:pPr>
      <w:r>
        <w:rPr>
          <w:rFonts w:ascii="仿宋" w:hAnsi="仿宋" w:eastAsia="仿宋"/>
          <w:sz w:val="32"/>
          <w:szCs w:val="32"/>
        </w:rPr>
        <w:t>6．法定代表人的有效身份证明文件（原件）；</w:t>
      </w:r>
    </w:p>
    <w:p w14:paraId="5EAF10AD">
      <w:pPr>
        <w:spacing w:line="578" w:lineRule="exact"/>
        <w:ind w:firstLine="640" w:firstLineChars="200"/>
        <w:rPr>
          <w:rFonts w:ascii="仿宋" w:hAnsi="仿宋" w:eastAsia="仿宋"/>
          <w:sz w:val="32"/>
          <w:szCs w:val="32"/>
        </w:rPr>
      </w:pPr>
      <w:r>
        <w:rPr>
          <w:rFonts w:ascii="仿宋" w:hAnsi="仿宋" w:eastAsia="仿宋"/>
          <w:sz w:val="32"/>
          <w:szCs w:val="32"/>
        </w:rPr>
        <w:t>7．委托他人代为申请及办理相关手续的，须提交法定代表人授权委托书（原件）、法定代表人身份证复印件（加盖公章）、代理人身份证复印件（加盖公章）；</w:t>
      </w:r>
    </w:p>
    <w:p w14:paraId="6684ACD2">
      <w:pPr>
        <w:spacing w:line="578" w:lineRule="exact"/>
        <w:ind w:firstLine="640" w:firstLineChars="200"/>
        <w:rPr>
          <w:rFonts w:ascii="仿宋" w:hAnsi="仿宋" w:eastAsia="仿宋"/>
          <w:sz w:val="32"/>
          <w:szCs w:val="32"/>
        </w:rPr>
      </w:pPr>
      <w:r>
        <w:rPr>
          <w:rFonts w:ascii="仿宋" w:hAnsi="仿宋" w:eastAsia="仿宋"/>
          <w:sz w:val="32"/>
          <w:szCs w:val="32"/>
        </w:rPr>
        <w:t>8．竞买保证金交纳凭证（原件）；</w:t>
      </w:r>
    </w:p>
    <w:p w14:paraId="3FFA629F">
      <w:pPr>
        <w:spacing w:line="578" w:lineRule="exact"/>
        <w:ind w:firstLine="640" w:firstLineChars="200"/>
        <w:rPr>
          <w:rFonts w:ascii="仿宋" w:hAnsi="仿宋" w:eastAsia="仿宋"/>
          <w:sz w:val="32"/>
          <w:szCs w:val="32"/>
        </w:rPr>
      </w:pPr>
      <w:r>
        <w:rPr>
          <w:rFonts w:ascii="仿宋" w:hAnsi="仿宋" w:eastAsia="仿宋"/>
          <w:sz w:val="32"/>
          <w:szCs w:val="32"/>
        </w:rPr>
        <w:t>9．拍卖文件要求提交的其它文件。</w:t>
      </w:r>
    </w:p>
    <w:p w14:paraId="68053199">
      <w:pPr>
        <w:spacing w:line="578" w:lineRule="exact"/>
        <w:ind w:firstLine="480" w:firstLineChars="150"/>
        <w:rPr>
          <w:rFonts w:ascii="仿宋" w:hAnsi="仿宋" w:eastAsia="仿宋"/>
          <w:sz w:val="32"/>
          <w:szCs w:val="32"/>
        </w:rPr>
      </w:pPr>
      <w:r>
        <w:rPr>
          <w:rFonts w:ascii="仿宋" w:hAnsi="仿宋" w:eastAsia="仿宋"/>
          <w:sz w:val="32"/>
          <w:szCs w:val="32"/>
        </w:rPr>
        <w:t>（三）资格审查</w:t>
      </w:r>
    </w:p>
    <w:p w14:paraId="4420897C">
      <w:pPr>
        <w:snapToGrid w:val="0"/>
        <w:spacing w:line="578" w:lineRule="exact"/>
        <w:ind w:firstLine="640" w:firstLineChars="200"/>
        <w:rPr>
          <w:rStyle w:val="30"/>
          <w:rFonts w:ascii="仿宋" w:hAnsi="仿宋" w:eastAsia="仿宋"/>
          <w:color w:val="auto"/>
          <w:sz w:val="32"/>
          <w:szCs w:val="32"/>
          <w:shd w:val="clear" w:color="auto" w:fill="FFFFFF"/>
        </w:rPr>
      </w:pPr>
      <w:r>
        <w:rPr>
          <w:rStyle w:val="30"/>
          <w:rFonts w:ascii="仿宋" w:hAnsi="仿宋" w:eastAsia="仿宋"/>
          <w:color w:val="auto"/>
          <w:sz w:val="32"/>
          <w:szCs w:val="32"/>
          <w:shd w:val="clear" w:color="auto" w:fill="FFFFFF"/>
        </w:rPr>
        <w:t>已提交申请的竞买申请人须在资格审查当日</w:t>
      </w:r>
      <w:r>
        <w:rPr>
          <w:rStyle w:val="30"/>
          <w:rFonts w:ascii="仿宋" w:hAnsi="仿宋" w:eastAsia="仿宋"/>
          <w:b/>
          <w:bCs/>
          <w:color w:val="auto"/>
          <w:sz w:val="32"/>
          <w:szCs w:val="32"/>
          <w:shd w:val="clear" w:color="auto" w:fill="FFFFFF"/>
        </w:rPr>
        <w:t>（</w:t>
      </w:r>
      <w:r>
        <w:rPr>
          <w:rFonts w:ascii="仿宋" w:hAnsi="仿宋" w:eastAsia="仿宋"/>
          <w:b/>
          <w:bCs/>
          <w:sz w:val="32"/>
          <w:szCs w:val="32"/>
          <w:u w:val="single"/>
        </w:rPr>
        <w:t>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30</w:t>
      </w:r>
      <w:r>
        <w:rPr>
          <w:rFonts w:ascii="仿宋" w:hAnsi="仿宋" w:eastAsia="仿宋"/>
          <w:b/>
          <w:bCs/>
          <w:sz w:val="32"/>
          <w:szCs w:val="32"/>
          <w:u w:val="single"/>
        </w:rPr>
        <w:t>日</w:t>
      </w:r>
      <w:r>
        <w:rPr>
          <w:rStyle w:val="30"/>
          <w:rFonts w:ascii="仿宋" w:hAnsi="仿宋" w:eastAsia="仿宋"/>
          <w:b/>
          <w:bCs/>
          <w:color w:val="auto"/>
          <w:sz w:val="32"/>
          <w:szCs w:val="32"/>
          <w:shd w:val="clear" w:color="auto" w:fill="FFFFFF"/>
        </w:rPr>
        <w:t>）</w:t>
      </w:r>
      <w:r>
        <w:rPr>
          <w:rStyle w:val="30"/>
          <w:rFonts w:hint="eastAsia" w:ascii="仿宋" w:hAnsi="仿宋" w:eastAsia="仿宋"/>
          <w:b/>
          <w:bCs/>
          <w:color w:val="auto"/>
          <w:sz w:val="32"/>
          <w:szCs w:val="32"/>
          <w:shd w:val="clear" w:color="auto" w:fill="FFFFFF"/>
        </w:rPr>
        <w:t>0</w:t>
      </w:r>
      <w:r>
        <w:rPr>
          <w:rStyle w:val="30"/>
          <w:rFonts w:ascii="仿宋" w:hAnsi="仿宋" w:eastAsia="仿宋"/>
          <w:b/>
          <w:bCs/>
          <w:color w:val="auto"/>
          <w:sz w:val="32"/>
          <w:szCs w:val="32"/>
          <w:shd w:val="clear" w:color="auto" w:fill="FFFFFF"/>
        </w:rPr>
        <w:t>9:00</w:t>
      </w:r>
      <w:r>
        <w:rPr>
          <w:rStyle w:val="30"/>
          <w:rFonts w:ascii="仿宋" w:hAnsi="仿宋" w:eastAsia="仿宋"/>
          <w:color w:val="auto"/>
          <w:sz w:val="32"/>
          <w:szCs w:val="32"/>
          <w:shd w:val="clear" w:color="auto" w:fill="FFFFFF"/>
        </w:rPr>
        <w:t>之前将竞买申请文件原件现场提交至达州市公共资源交易服务中心</w:t>
      </w:r>
      <w:r>
        <w:rPr>
          <w:rStyle w:val="30"/>
          <w:rFonts w:ascii="仿宋" w:hAnsi="仿宋" w:eastAsia="仿宋"/>
          <w:b/>
          <w:color w:val="auto"/>
          <w:sz w:val="32"/>
          <w:szCs w:val="32"/>
        </w:rPr>
        <w:t>4B-</w:t>
      </w:r>
      <w:r>
        <w:rPr>
          <w:rStyle w:val="30"/>
          <w:rFonts w:hint="eastAsia" w:ascii="仿宋" w:hAnsi="仿宋" w:eastAsia="仿宋"/>
          <w:b/>
          <w:color w:val="auto"/>
          <w:sz w:val="32"/>
          <w:szCs w:val="32"/>
        </w:rPr>
        <w:t>17</w:t>
      </w:r>
      <w:r>
        <w:rPr>
          <w:rStyle w:val="30"/>
          <w:rFonts w:ascii="仿宋" w:hAnsi="仿宋" w:eastAsia="仿宋"/>
          <w:color w:val="auto"/>
          <w:sz w:val="32"/>
          <w:szCs w:val="32"/>
          <w:shd w:val="clear" w:color="auto" w:fill="FFFFFF"/>
        </w:rPr>
        <w:t>室，未按时提交原件的视为自行放弃竞买资格。</w:t>
      </w:r>
    </w:p>
    <w:p w14:paraId="1BA7AF8A">
      <w:pPr>
        <w:spacing w:line="578" w:lineRule="exact"/>
        <w:ind w:firstLine="640" w:firstLineChars="200"/>
        <w:rPr>
          <w:rFonts w:ascii="仿宋" w:hAnsi="仿宋" w:eastAsia="仿宋"/>
          <w:sz w:val="32"/>
          <w:szCs w:val="32"/>
        </w:rPr>
      </w:pPr>
      <w:r>
        <w:rPr>
          <w:rFonts w:ascii="仿宋" w:hAnsi="仿宋" w:eastAsia="仿宋"/>
          <w:sz w:val="32"/>
          <w:szCs w:val="32"/>
        </w:rPr>
        <w:t>达州市公共资源交易服务中心负责组织相关方进行资格审查。按规定时间提交申请和缴纳竞买保证金且通过资格审查的，方能取得竞买资格。</w:t>
      </w:r>
    </w:p>
    <w:p w14:paraId="61FAAC9D">
      <w:pPr>
        <w:spacing w:line="578" w:lineRule="exact"/>
        <w:ind w:firstLine="640" w:firstLineChars="200"/>
        <w:rPr>
          <w:rFonts w:ascii="仿宋" w:hAnsi="仿宋" w:eastAsia="仿宋"/>
          <w:sz w:val="32"/>
          <w:szCs w:val="32"/>
        </w:rPr>
      </w:pPr>
      <w:r>
        <w:rPr>
          <w:rFonts w:ascii="仿宋" w:hAnsi="仿宋" w:eastAsia="仿宋"/>
          <w:sz w:val="32"/>
          <w:szCs w:val="32"/>
        </w:rPr>
        <w:t>经审查，有下列情形之一的，其申请无效：</w:t>
      </w:r>
    </w:p>
    <w:p w14:paraId="671D4203">
      <w:pPr>
        <w:spacing w:line="578" w:lineRule="exact"/>
        <w:ind w:firstLine="640" w:firstLineChars="200"/>
        <w:rPr>
          <w:rFonts w:ascii="仿宋" w:hAnsi="仿宋" w:eastAsia="仿宋"/>
          <w:sz w:val="32"/>
          <w:szCs w:val="32"/>
        </w:rPr>
      </w:pPr>
      <w:r>
        <w:rPr>
          <w:rFonts w:ascii="仿宋" w:hAnsi="仿宋" w:eastAsia="仿宋"/>
          <w:sz w:val="32"/>
          <w:szCs w:val="32"/>
        </w:rPr>
        <w:t>1．申请文件在申请受理期限届满后收到的；</w:t>
      </w:r>
    </w:p>
    <w:p w14:paraId="1E812F04">
      <w:pPr>
        <w:spacing w:line="578" w:lineRule="exact"/>
        <w:ind w:firstLine="640" w:firstLineChars="200"/>
        <w:rPr>
          <w:rFonts w:ascii="仿宋" w:hAnsi="仿宋" w:eastAsia="仿宋"/>
          <w:sz w:val="32"/>
          <w:szCs w:val="32"/>
        </w:rPr>
      </w:pPr>
      <w:r>
        <w:rPr>
          <w:rFonts w:ascii="仿宋" w:hAnsi="仿宋" w:eastAsia="仿宋"/>
          <w:sz w:val="32"/>
          <w:szCs w:val="32"/>
        </w:rPr>
        <w:t>2．申请文件不齐全或不符合法律法规和出让文件规定的；</w:t>
      </w:r>
    </w:p>
    <w:p w14:paraId="75F89C69">
      <w:pPr>
        <w:spacing w:line="578" w:lineRule="exact"/>
        <w:ind w:firstLine="640" w:firstLineChars="200"/>
        <w:rPr>
          <w:rFonts w:ascii="仿宋" w:hAnsi="仿宋" w:eastAsia="仿宋"/>
          <w:sz w:val="32"/>
          <w:szCs w:val="32"/>
        </w:rPr>
      </w:pPr>
      <w:r>
        <w:rPr>
          <w:rFonts w:ascii="仿宋" w:hAnsi="仿宋" w:eastAsia="仿宋"/>
          <w:sz w:val="32"/>
          <w:szCs w:val="32"/>
        </w:rPr>
        <w:t>3．申请文件字迹不清，无法辨认的；</w:t>
      </w:r>
    </w:p>
    <w:p w14:paraId="12446A05">
      <w:pPr>
        <w:spacing w:line="578" w:lineRule="exact"/>
        <w:ind w:firstLine="640" w:firstLineChars="200"/>
        <w:rPr>
          <w:rFonts w:ascii="仿宋" w:hAnsi="仿宋" w:eastAsia="仿宋"/>
          <w:spacing w:val="-10"/>
          <w:sz w:val="32"/>
          <w:szCs w:val="32"/>
        </w:rPr>
      </w:pPr>
      <w:r>
        <w:rPr>
          <w:rFonts w:ascii="仿宋" w:hAnsi="仿宋" w:eastAsia="仿宋"/>
          <w:sz w:val="32"/>
          <w:szCs w:val="32"/>
        </w:rPr>
        <w:t>4．</w:t>
      </w:r>
      <w:r>
        <w:rPr>
          <w:rFonts w:ascii="仿宋" w:hAnsi="仿宋" w:eastAsia="仿宋"/>
          <w:spacing w:val="-10"/>
          <w:sz w:val="32"/>
          <w:szCs w:val="32"/>
        </w:rPr>
        <w:t>竞买申请人不具备相应主体资格或不符合公告规定条件的；</w:t>
      </w:r>
    </w:p>
    <w:p w14:paraId="5B42A35A">
      <w:pPr>
        <w:spacing w:line="578" w:lineRule="exact"/>
        <w:ind w:firstLine="640" w:firstLineChars="200"/>
        <w:rPr>
          <w:rFonts w:ascii="仿宋" w:hAnsi="仿宋" w:eastAsia="仿宋"/>
          <w:sz w:val="32"/>
          <w:szCs w:val="32"/>
        </w:rPr>
      </w:pPr>
      <w:r>
        <w:rPr>
          <w:rFonts w:ascii="仿宋" w:hAnsi="仿宋" w:eastAsia="仿宋"/>
          <w:sz w:val="32"/>
          <w:szCs w:val="32"/>
        </w:rPr>
        <w:t>5．委托他人代理，委托文件不齐全或不符合规定的；</w:t>
      </w:r>
    </w:p>
    <w:p w14:paraId="221D34E4">
      <w:pPr>
        <w:spacing w:line="578" w:lineRule="exact"/>
        <w:ind w:firstLine="640" w:firstLineChars="200"/>
        <w:rPr>
          <w:rFonts w:ascii="仿宋" w:hAnsi="仿宋" w:eastAsia="仿宋"/>
          <w:sz w:val="32"/>
          <w:szCs w:val="32"/>
        </w:rPr>
      </w:pPr>
      <w:r>
        <w:rPr>
          <w:rFonts w:ascii="仿宋" w:hAnsi="仿宋" w:eastAsia="仿宋"/>
          <w:sz w:val="32"/>
          <w:szCs w:val="32"/>
        </w:rPr>
        <w:t>6．未按规定足额缴纳竞买保证金的；</w:t>
      </w:r>
    </w:p>
    <w:p w14:paraId="68E99774">
      <w:pPr>
        <w:spacing w:line="578" w:lineRule="exact"/>
        <w:ind w:firstLine="640" w:firstLineChars="200"/>
        <w:rPr>
          <w:rFonts w:ascii="仿宋" w:hAnsi="仿宋" w:eastAsia="仿宋"/>
          <w:sz w:val="32"/>
          <w:szCs w:val="32"/>
        </w:rPr>
      </w:pPr>
      <w:r>
        <w:rPr>
          <w:rFonts w:ascii="仿宋" w:hAnsi="仿宋" w:eastAsia="仿宋"/>
          <w:sz w:val="32"/>
          <w:szCs w:val="32"/>
        </w:rPr>
        <w:t>7．申请文件或申请程序有不符合法律法规、公告或本须知规定的其他情形的。</w:t>
      </w:r>
    </w:p>
    <w:p w14:paraId="230CD934">
      <w:pPr>
        <w:spacing w:line="578" w:lineRule="exact"/>
        <w:ind w:firstLine="640" w:firstLineChars="200"/>
        <w:rPr>
          <w:rFonts w:ascii="仿宋" w:hAnsi="仿宋" w:eastAsia="仿宋"/>
          <w:sz w:val="32"/>
          <w:szCs w:val="32"/>
        </w:rPr>
      </w:pPr>
      <w:r>
        <w:rPr>
          <w:rFonts w:ascii="仿宋" w:hAnsi="仿宋" w:eastAsia="仿宋"/>
          <w:sz w:val="32"/>
          <w:szCs w:val="32"/>
        </w:rPr>
        <w:t>（四）确认竞买人资格</w:t>
      </w:r>
    </w:p>
    <w:p w14:paraId="299F7BE0">
      <w:pPr>
        <w:snapToGrid w:val="0"/>
        <w:spacing w:line="578" w:lineRule="exact"/>
        <w:ind w:firstLine="640" w:firstLineChars="200"/>
        <w:rPr>
          <w:rFonts w:ascii="仿宋" w:hAnsi="仿宋" w:eastAsia="仿宋"/>
          <w:sz w:val="32"/>
          <w:szCs w:val="32"/>
        </w:rPr>
      </w:pPr>
      <w:r>
        <w:rPr>
          <w:rFonts w:ascii="仿宋" w:hAnsi="仿宋" w:eastAsia="仿宋"/>
          <w:sz w:val="32"/>
          <w:szCs w:val="32"/>
        </w:rPr>
        <w:t>取得竞买资格的竞买申请人，须在</w:t>
      </w:r>
      <w:r>
        <w:rPr>
          <w:rFonts w:ascii="仿宋" w:hAnsi="仿宋" w:eastAsia="仿宋"/>
          <w:b/>
          <w:bCs/>
          <w:sz w:val="32"/>
          <w:szCs w:val="32"/>
          <w:u w:val="single"/>
        </w:rPr>
        <w:t>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30</w:t>
      </w:r>
      <w:r>
        <w:rPr>
          <w:rFonts w:ascii="仿宋" w:hAnsi="仿宋" w:eastAsia="仿宋"/>
          <w:b/>
          <w:bCs/>
          <w:sz w:val="32"/>
          <w:szCs w:val="32"/>
          <w:u w:val="single"/>
        </w:rPr>
        <w:t>日10:</w:t>
      </w:r>
      <w:r>
        <w:rPr>
          <w:rFonts w:hint="eastAsia" w:ascii="仿宋" w:hAnsi="仿宋" w:eastAsia="仿宋"/>
          <w:b/>
          <w:bCs/>
          <w:sz w:val="32"/>
          <w:szCs w:val="32"/>
          <w:u w:val="single"/>
          <w:lang w:val="en-US" w:eastAsia="zh-CN"/>
        </w:rPr>
        <w:t>0</w:t>
      </w:r>
      <w:r>
        <w:rPr>
          <w:rFonts w:ascii="仿宋" w:hAnsi="仿宋" w:eastAsia="仿宋"/>
          <w:b/>
          <w:bCs/>
          <w:sz w:val="32"/>
          <w:szCs w:val="32"/>
          <w:u w:val="single"/>
        </w:rPr>
        <w:t>0</w:t>
      </w:r>
      <w:r>
        <w:rPr>
          <w:rFonts w:ascii="仿宋" w:hAnsi="仿宋" w:eastAsia="仿宋"/>
          <w:sz w:val="32"/>
          <w:szCs w:val="32"/>
        </w:rPr>
        <w:t>前自行通过达州市公共资源交易服务网（</w:t>
      </w:r>
      <w:r>
        <w:fldChar w:fldCharType="begin"/>
      </w:r>
      <w:r>
        <w:instrText xml:space="preserve"> HYPERLINK "http://www.dzggzy.cn" </w:instrText>
      </w:r>
      <w:r>
        <w:fldChar w:fldCharType="separate"/>
      </w:r>
      <w:r>
        <w:rPr>
          <w:rFonts w:ascii="仿宋" w:hAnsi="仿宋" w:eastAsia="仿宋"/>
          <w:sz w:val="32"/>
          <w:szCs w:val="32"/>
        </w:rPr>
        <w:t>http://www.dzggzy.cn</w:t>
      </w:r>
      <w:r>
        <w:rPr>
          <w:rFonts w:ascii="仿宋" w:hAnsi="仿宋" w:eastAsia="仿宋"/>
          <w:sz w:val="32"/>
          <w:szCs w:val="32"/>
        </w:rPr>
        <w:fldChar w:fldCharType="end"/>
      </w:r>
      <w:r>
        <w:rPr>
          <w:rFonts w:hint="eastAsia"/>
        </w:rPr>
        <w:t>/</w:t>
      </w:r>
      <w:r>
        <w:rPr>
          <w:rFonts w:ascii="仿宋" w:hAnsi="仿宋" w:eastAsia="仿宋"/>
          <w:sz w:val="32"/>
          <w:szCs w:val="32"/>
        </w:rPr>
        <w:t>）打印《竞买资格确认书》并带到拍卖现场（打印时间可能因资格审查而延迟）。</w:t>
      </w:r>
    </w:p>
    <w:p w14:paraId="3813195A">
      <w:pPr>
        <w:pStyle w:val="53"/>
        <w:widowControl w:val="0"/>
        <w:spacing w:line="578" w:lineRule="exact"/>
        <w:ind w:left="0" w:firstLine="640" w:firstLineChars="200"/>
        <w:rPr>
          <w:rFonts w:ascii="黑体" w:hAnsi="黑体" w:eastAsia="黑体"/>
          <w:sz w:val="32"/>
          <w:szCs w:val="32"/>
        </w:rPr>
      </w:pPr>
      <w:r>
        <w:rPr>
          <w:rFonts w:hint="eastAsia" w:ascii="黑体" w:hAnsi="黑体" w:eastAsia="黑体"/>
          <w:sz w:val="32"/>
          <w:szCs w:val="32"/>
          <w:lang w:val="en-US" w:eastAsia="zh-CN"/>
        </w:rPr>
        <w:t>七</w:t>
      </w:r>
      <w:r>
        <w:rPr>
          <w:rFonts w:ascii="黑体" w:hAnsi="黑体" w:eastAsia="黑体"/>
          <w:sz w:val="32"/>
          <w:szCs w:val="32"/>
        </w:rPr>
        <w:t>、答疑及现场踏勘</w:t>
      </w:r>
    </w:p>
    <w:p w14:paraId="2944E73E">
      <w:pPr>
        <w:spacing w:line="578" w:lineRule="exact"/>
        <w:ind w:firstLine="640" w:firstLineChars="200"/>
        <w:rPr>
          <w:rFonts w:ascii="仿宋" w:hAnsi="仿宋" w:eastAsia="仿宋"/>
          <w:sz w:val="32"/>
          <w:szCs w:val="32"/>
        </w:rPr>
      </w:pPr>
      <w:r>
        <w:rPr>
          <w:rFonts w:ascii="仿宋" w:hAnsi="仿宋" w:eastAsia="仿宋"/>
          <w:sz w:val="32"/>
          <w:szCs w:val="32"/>
        </w:rPr>
        <w:t>竞买申请人取得拍卖出让文件后，应全面仔细阅读其内容并现场踏勘所需竞买的矿业权，充分了解矿权现状、地质条件、安全生产条件、存在的采矿风险情况及交易规则等情况，作出科学的投资分析和投资决策，评估投资风险，谨慎行事。</w:t>
      </w:r>
    </w:p>
    <w:p w14:paraId="0ED227C4">
      <w:pPr>
        <w:spacing w:line="578" w:lineRule="exact"/>
        <w:ind w:firstLine="640" w:firstLineChars="200"/>
        <w:rPr>
          <w:rFonts w:eastAsia="仿宋_GB2312"/>
          <w:sz w:val="32"/>
          <w:szCs w:val="32"/>
        </w:rPr>
      </w:pPr>
      <w:r>
        <w:rPr>
          <w:rFonts w:ascii="仿宋" w:hAnsi="仿宋" w:eastAsia="仿宋"/>
          <w:sz w:val="32"/>
          <w:szCs w:val="32"/>
        </w:rPr>
        <w:t>竞买申请人对本次出让采矿权有疑问的，须在提交竞买申请书之前以书面方式向出让人咨询，提交竞买申请书后不予受理。申请人对拟竞买的矿业权进行现场踏勘可自行前往；也可在提交竞买申请书之前以书面方式向出让人申请组织现场踏勘，提交竞买申请书后不予受理。</w:t>
      </w:r>
    </w:p>
    <w:p w14:paraId="56C9069A">
      <w:pPr>
        <w:pStyle w:val="53"/>
        <w:widowControl w:val="0"/>
        <w:spacing w:line="578" w:lineRule="exact"/>
        <w:ind w:left="0" w:firstLine="640" w:firstLineChars="200"/>
        <w:rPr>
          <w:rFonts w:eastAsia="黑体"/>
          <w:sz w:val="32"/>
          <w:szCs w:val="32"/>
        </w:rPr>
      </w:pPr>
      <w:r>
        <w:rPr>
          <w:rFonts w:hint="eastAsia" w:eastAsia="黑体"/>
          <w:sz w:val="32"/>
          <w:szCs w:val="32"/>
          <w:lang w:val="en-US" w:eastAsia="zh-CN"/>
        </w:rPr>
        <w:t>八</w:t>
      </w:r>
      <w:r>
        <w:rPr>
          <w:rFonts w:eastAsia="黑体"/>
          <w:sz w:val="32"/>
          <w:szCs w:val="32"/>
        </w:rPr>
        <w:t>、本次拍卖出让活动时间、地点</w:t>
      </w:r>
    </w:p>
    <w:p w14:paraId="30F52125">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拍卖活动时间：</w:t>
      </w:r>
      <w:r>
        <w:rPr>
          <w:rFonts w:ascii="仿宋" w:hAnsi="仿宋" w:eastAsia="仿宋"/>
          <w:b/>
          <w:bCs/>
          <w:sz w:val="32"/>
          <w:szCs w:val="32"/>
          <w:u w:val="single"/>
        </w:rPr>
        <w:t>202</w:t>
      </w:r>
      <w:r>
        <w:rPr>
          <w:rFonts w:hint="eastAsia" w:ascii="仿宋" w:hAnsi="仿宋" w:eastAsia="仿宋"/>
          <w:b/>
          <w:bCs/>
          <w:sz w:val="32"/>
          <w:szCs w:val="32"/>
          <w:u w:val="single"/>
          <w:lang w:val="en-US" w:eastAsia="zh-CN"/>
        </w:rPr>
        <w:t>6</w:t>
      </w:r>
      <w:r>
        <w:rPr>
          <w:rFonts w:ascii="仿宋" w:hAnsi="仿宋" w:eastAsia="仿宋"/>
          <w:b/>
          <w:bCs/>
          <w:sz w:val="32"/>
          <w:szCs w:val="32"/>
          <w:u w:val="single"/>
        </w:rPr>
        <w:t>年</w:t>
      </w:r>
      <w:r>
        <w:rPr>
          <w:rFonts w:hint="eastAsia" w:ascii="仿宋" w:hAnsi="仿宋" w:eastAsia="仿宋"/>
          <w:b/>
          <w:bCs/>
          <w:sz w:val="32"/>
          <w:szCs w:val="32"/>
          <w:u w:val="single"/>
          <w:lang w:val="en-US" w:eastAsia="zh-CN"/>
        </w:rPr>
        <w:t>1</w:t>
      </w:r>
      <w:r>
        <w:rPr>
          <w:rFonts w:ascii="仿宋" w:hAnsi="仿宋" w:eastAsia="仿宋"/>
          <w:b/>
          <w:bCs/>
          <w:sz w:val="32"/>
          <w:szCs w:val="32"/>
          <w:u w:val="single"/>
        </w:rPr>
        <w:t>月</w:t>
      </w:r>
      <w:r>
        <w:rPr>
          <w:rFonts w:hint="eastAsia" w:ascii="仿宋" w:hAnsi="仿宋" w:eastAsia="仿宋"/>
          <w:b/>
          <w:bCs/>
          <w:sz w:val="32"/>
          <w:szCs w:val="32"/>
          <w:u w:val="single"/>
          <w:lang w:val="en-US" w:eastAsia="zh-CN"/>
        </w:rPr>
        <w:t>30</w:t>
      </w:r>
      <w:r>
        <w:rPr>
          <w:rFonts w:ascii="仿宋" w:hAnsi="仿宋" w:eastAsia="仿宋"/>
          <w:b/>
          <w:bCs/>
          <w:sz w:val="32"/>
          <w:szCs w:val="32"/>
          <w:u w:val="single"/>
        </w:rPr>
        <w:t>日</w:t>
      </w:r>
      <w:r>
        <w:rPr>
          <w:rStyle w:val="30"/>
          <w:rFonts w:ascii="仿宋" w:hAnsi="仿宋" w:eastAsia="仿宋"/>
          <w:b/>
          <w:color w:val="auto"/>
          <w:sz w:val="32"/>
          <w:szCs w:val="32"/>
        </w:rPr>
        <w:t>10:</w:t>
      </w:r>
      <w:r>
        <w:rPr>
          <w:rStyle w:val="30"/>
          <w:rFonts w:hint="eastAsia" w:ascii="仿宋" w:hAnsi="仿宋" w:eastAsia="仿宋"/>
          <w:b/>
          <w:color w:val="auto"/>
          <w:sz w:val="32"/>
          <w:szCs w:val="32"/>
          <w:lang w:val="en-US" w:eastAsia="zh-CN"/>
        </w:rPr>
        <w:t>0</w:t>
      </w:r>
      <w:r>
        <w:rPr>
          <w:rStyle w:val="30"/>
          <w:rFonts w:ascii="仿宋" w:hAnsi="仿宋" w:eastAsia="仿宋"/>
          <w:b/>
          <w:color w:val="auto"/>
          <w:sz w:val="32"/>
          <w:szCs w:val="32"/>
        </w:rPr>
        <w:t>0</w:t>
      </w:r>
      <w:r>
        <w:rPr>
          <w:rFonts w:ascii="仿宋" w:hAnsi="仿宋" w:eastAsia="仿宋"/>
          <w:sz w:val="32"/>
          <w:szCs w:val="32"/>
        </w:rPr>
        <w:t>（拍卖会时间可能因资格审查而延迟）。</w:t>
      </w:r>
    </w:p>
    <w:p w14:paraId="39F24D09">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拍卖活动地点：四川省达州市马踏洞新区龙马大道与鱼泉路交叉口处新政务服务大楼，达州市公共资源交易服务中心</w:t>
      </w:r>
      <w:r>
        <w:rPr>
          <w:rStyle w:val="30"/>
          <w:rFonts w:ascii="仿宋" w:hAnsi="仿宋" w:eastAsia="仿宋"/>
          <w:b/>
          <w:color w:val="auto"/>
          <w:sz w:val="32"/>
          <w:szCs w:val="32"/>
        </w:rPr>
        <w:t>开标</w:t>
      </w:r>
      <w:r>
        <w:rPr>
          <w:rStyle w:val="30"/>
          <w:rFonts w:hint="eastAsia" w:ascii="仿宋" w:hAnsi="仿宋" w:eastAsia="仿宋"/>
          <w:b/>
          <w:color w:val="auto"/>
          <w:sz w:val="32"/>
          <w:szCs w:val="32"/>
        </w:rPr>
        <w:t>二</w:t>
      </w:r>
      <w:r>
        <w:rPr>
          <w:rStyle w:val="30"/>
          <w:rFonts w:ascii="仿宋" w:hAnsi="仿宋" w:eastAsia="仿宋"/>
          <w:b/>
          <w:color w:val="auto"/>
          <w:sz w:val="32"/>
          <w:szCs w:val="32"/>
        </w:rPr>
        <w:t>厅</w:t>
      </w:r>
      <w:r>
        <w:rPr>
          <w:rFonts w:ascii="仿宋" w:hAnsi="仿宋" w:eastAsia="仿宋"/>
          <w:sz w:val="32"/>
          <w:szCs w:val="32"/>
        </w:rPr>
        <w:t>。</w:t>
      </w:r>
    </w:p>
    <w:p w14:paraId="45B26E41">
      <w:pPr>
        <w:spacing w:line="578" w:lineRule="exact"/>
        <w:ind w:firstLine="640" w:firstLineChars="200"/>
        <w:rPr>
          <w:rFonts w:eastAsia="黑体"/>
          <w:sz w:val="32"/>
          <w:szCs w:val="32"/>
        </w:rPr>
      </w:pPr>
      <w:r>
        <w:rPr>
          <w:rFonts w:hint="eastAsia" w:eastAsia="黑体"/>
          <w:sz w:val="32"/>
          <w:szCs w:val="32"/>
          <w:lang w:val="en-US" w:eastAsia="zh-CN"/>
        </w:rPr>
        <w:t>九</w:t>
      </w:r>
      <w:r>
        <w:rPr>
          <w:rFonts w:eastAsia="黑体"/>
          <w:sz w:val="32"/>
          <w:szCs w:val="32"/>
        </w:rPr>
        <w:t>、本次拍卖起始价、增价幅度</w:t>
      </w:r>
    </w:p>
    <w:p w14:paraId="0EE8CBF8">
      <w:pPr>
        <w:spacing w:line="578" w:lineRule="exact"/>
        <w:ind w:firstLine="640" w:firstLineChars="200"/>
        <w:rPr>
          <w:rFonts w:ascii="仿宋" w:hAnsi="仿宋" w:eastAsia="仿宋"/>
          <w:sz w:val="32"/>
          <w:szCs w:val="32"/>
        </w:rPr>
      </w:pPr>
      <w:r>
        <w:rPr>
          <w:rFonts w:ascii="仿宋" w:hAnsi="仿宋" w:eastAsia="仿宋"/>
          <w:sz w:val="32"/>
          <w:szCs w:val="32"/>
        </w:rPr>
        <w:t>拍卖起始价：人民币</w:t>
      </w:r>
      <w:r>
        <w:rPr>
          <w:rFonts w:hint="eastAsia" w:ascii="仿宋" w:hAnsi="仿宋" w:eastAsia="仿宋"/>
          <w:snapToGrid w:val="0"/>
          <w:kern w:val="0"/>
          <w:sz w:val="32"/>
          <w:szCs w:val="32"/>
          <w:u w:val="single"/>
          <w:lang w:val="en-US" w:eastAsia="zh-CN"/>
        </w:rPr>
        <w:t>1300</w:t>
      </w:r>
      <w:r>
        <w:rPr>
          <w:rFonts w:ascii="仿宋" w:hAnsi="仿宋" w:eastAsia="仿宋"/>
          <w:sz w:val="32"/>
          <w:szCs w:val="32"/>
        </w:rPr>
        <w:t>万元。</w:t>
      </w:r>
    </w:p>
    <w:p w14:paraId="359C96DB">
      <w:pPr>
        <w:spacing w:line="578" w:lineRule="exact"/>
        <w:ind w:firstLine="640" w:firstLineChars="200"/>
        <w:rPr>
          <w:rFonts w:eastAsia="仿宋_GB2312"/>
          <w:sz w:val="32"/>
          <w:szCs w:val="32"/>
        </w:rPr>
      </w:pPr>
      <w:r>
        <w:rPr>
          <w:rFonts w:ascii="仿宋" w:hAnsi="仿宋" w:eastAsia="仿宋"/>
          <w:sz w:val="32"/>
          <w:szCs w:val="32"/>
        </w:rPr>
        <w:t>增价幅度：人民币</w:t>
      </w:r>
      <w:r>
        <w:rPr>
          <w:rFonts w:hint="eastAsia" w:ascii="仿宋" w:hAnsi="仿宋" w:eastAsia="仿宋"/>
          <w:sz w:val="32"/>
          <w:szCs w:val="32"/>
          <w:lang w:val="en-US" w:eastAsia="zh-CN"/>
        </w:rPr>
        <w:t>20</w:t>
      </w:r>
      <w:r>
        <w:rPr>
          <w:rFonts w:ascii="仿宋" w:hAnsi="仿宋" w:eastAsia="仿宋"/>
          <w:sz w:val="32"/>
          <w:szCs w:val="32"/>
        </w:rPr>
        <w:t>万元或人民币</w:t>
      </w:r>
      <w:r>
        <w:rPr>
          <w:rFonts w:hint="eastAsia" w:ascii="仿宋" w:hAnsi="仿宋" w:eastAsia="仿宋"/>
          <w:sz w:val="32"/>
          <w:szCs w:val="32"/>
          <w:lang w:val="en-US" w:eastAsia="zh-CN"/>
        </w:rPr>
        <w:t>20</w:t>
      </w:r>
      <w:r>
        <w:rPr>
          <w:rFonts w:ascii="仿宋" w:hAnsi="仿宋" w:eastAsia="仿宋"/>
          <w:sz w:val="32"/>
          <w:szCs w:val="32"/>
        </w:rPr>
        <w:t>万元的整倍数。</w:t>
      </w:r>
    </w:p>
    <w:p w14:paraId="1505F3E3">
      <w:pPr>
        <w:spacing w:line="578" w:lineRule="exact"/>
        <w:ind w:firstLine="640" w:firstLineChars="200"/>
        <w:rPr>
          <w:rFonts w:eastAsia="黑体"/>
          <w:sz w:val="32"/>
          <w:szCs w:val="32"/>
        </w:rPr>
      </w:pPr>
      <w:r>
        <w:rPr>
          <w:rFonts w:hint="eastAsia" w:eastAsia="黑体"/>
          <w:sz w:val="32"/>
          <w:szCs w:val="32"/>
          <w:lang w:val="en-US" w:eastAsia="zh-CN"/>
        </w:rPr>
        <w:t>十</w:t>
      </w:r>
      <w:r>
        <w:rPr>
          <w:rFonts w:eastAsia="黑体"/>
          <w:sz w:val="32"/>
          <w:szCs w:val="32"/>
        </w:rPr>
        <w:t>、竞价规则</w:t>
      </w:r>
    </w:p>
    <w:p w14:paraId="67D5B985">
      <w:pPr>
        <w:spacing w:line="578" w:lineRule="exact"/>
        <w:ind w:firstLine="640" w:firstLineChars="200"/>
        <w:rPr>
          <w:rFonts w:ascii="仿宋" w:hAnsi="仿宋" w:eastAsia="仿宋"/>
          <w:sz w:val="32"/>
          <w:szCs w:val="32"/>
        </w:rPr>
      </w:pPr>
      <w:r>
        <w:rPr>
          <w:rFonts w:ascii="仿宋" w:hAnsi="仿宋" w:eastAsia="仿宋"/>
          <w:sz w:val="32"/>
          <w:szCs w:val="32"/>
        </w:rPr>
        <w:t>（一）本次拍卖采用增价拍卖方式，按价高者得的原则确定竞得人（不低于政府底价）。</w:t>
      </w:r>
    </w:p>
    <w:p w14:paraId="468709A0">
      <w:pPr>
        <w:spacing w:line="578" w:lineRule="exact"/>
        <w:ind w:firstLine="640" w:firstLineChars="200"/>
        <w:rPr>
          <w:rFonts w:ascii="仿宋" w:hAnsi="仿宋" w:eastAsia="仿宋"/>
          <w:sz w:val="32"/>
          <w:szCs w:val="32"/>
        </w:rPr>
      </w:pPr>
      <w:r>
        <w:rPr>
          <w:rFonts w:ascii="仿宋" w:hAnsi="仿宋" w:eastAsia="仿宋"/>
          <w:sz w:val="32"/>
          <w:szCs w:val="32"/>
        </w:rPr>
        <w:t>（二）凡参加拍卖的竞买人竞买申请一经递交后，即视为承认拍卖起始价。</w:t>
      </w:r>
    </w:p>
    <w:p w14:paraId="790CA85B">
      <w:pPr>
        <w:spacing w:line="578" w:lineRule="exact"/>
        <w:ind w:firstLine="640" w:firstLineChars="200"/>
        <w:rPr>
          <w:rFonts w:ascii="仿宋" w:hAnsi="仿宋" w:eastAsia="仿宋"/>
          <w:sz w:val="32"/>
          <w:szCs w:val="32"/>
        </w:rPr>
      </w:pPr>
      <w:r>
        <w:rPr>
          <w:rFonts w:ascii="仿宋" w:hAnsi="仿宋" w:eastAsia="仿宋"/>
          <w:sz w:val="32"/>
          <w:szCs w:val="32"/>
        </w:rPr>
        <w:t>（三）竞买人以举牌方式应价，也可以报价，但报价的加价幅度不得小于拍卖主持人宣布或调整的增价幅度。竞买人一经应价或报价，不可撤回。</w:t>
      </w:r>
    </w:p>
    <w:p w14:paraId="45BC561A">
      <w:pPr>
        <w:spacing w:line="578" w:lineRule="exact"/>
        <w:ind w:firstLine="640" w:firstLineChars="200"/>
        <w:rPr>
          <w:rFonts w:ascii="Times New Roman" w:hAnsi="Times New Roman" w:eastAsia="仿宋_GB2312"/>
          <w:sz w:val="32"/>
          <w:szCs w:val="32"/>
        </w:rPr>
      </w:pPr>
      <w:r>
        <w:rPr>
          <w:rFonts w:ascii="仿宋" w:hAnsi="仿宋" w:eastAsia="仿宋"/>
          <w:sz w:val="32"/>
          <w:szCs w:val="32"/>
        </w:rPr>
        <w:t>（四）最后应价未达到底价时，拍卖主持人终止本次拍卖活动，拍卖不成交。</w:t>
      </w:r>
    </w:p>
    <w:p w14:paraId="73F4B80B">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一</w:t>
      </w:r>
      <w:r>
        <w:rPr>
          <w:rFonts w:eastAsia="黑体"/>
          <w:sz w:val="32"/>
          <w:szCs w:val="32"/>
        </w:rPr>
        <w:t>、拍卖程序</w:t>
      </w:r>
    </w:p>
    <w:p w14:paraId="361D7727">
      <w:pPr>
        <w:spacing w:line="578" w:lineRule="exact"/>
        <w:ind w:firstLine="640" w:firstLineChars="200"/>
        <w:rPr>
          <w:rFonts w:ascii="仿宋" w:hAnsi="仿宋" w:eastAsia="仿宋"/>
          <w:sz w:val="32"/>
          <w:szCs w:val="32"/>
        </w:rPr>
      </w:pPr>
      <w:r>
        <w:rPr>
          <w:rFonts w:ascii="仿宋" w:hAnsi="仿宋" w:eastAsia="仿宋"/>
          <w:sz w:val="32"/>
          <w:szCs w:val="32"/>
        </w:rPr>
        <w:t>（一）拍卖主持人宣布拍卖会开始；</w:t>
      </w:r>
    </w:p>
    <w:p w14:paraId="5C41D7D8">
      <w:pPr>
        <w:spacing w:line="578" w:lineRule="exact"/>
        <w:ind w:firstLine="640" w:firstLineChars="200"/>
        <w:rPr>
          <w:rFonts w:ascii="仿宋" w:hAnsi="仿宋" w:eastAsia="仿宋"/>
          <w:sz w:val="32"/>
          <w:szCs w:val="32"/>
        </w:rPr>
      </w:pPr>
      <w:r>
        <w:rPr>
          <w:rFonts w:ascii="仿宋" w:hAnsi="仿宋" w:eastAsia="仿宋"/>
          <w:sz w:val="32"/>
          <w:szCs w:val="32"/>
        </w:rPr>
        <w:t>（二）拍卖主持人邀请公证员及记录员就位，并介绍相关人员；</w:t>
      </w:r>
    </w:p>
    <w:p w14:paraId="7DE1A698">
      <w:pPr>
        <w:spacing w:line="578" w:lineRule="exact"/>
        <w:ind w:firstLine="640" w:firstLineChars="200"/>
        <w:rPr>
          <w:rFonts w:ascii="仿宋" w:hAnsi="仿宋" w:eastAsia="仿宋"/>
          <w:sz w:val="32"/>
          <w:szCs w:val="32"/>
        </w:rPr>
      </w:pPr>
      <w:r>
        <w:rPr>
          <w:rFonts w:ascii="仿宋" w:hAnsi="仿宋" w:eastAsia="仿宋"/>
          <w:sz w:val="32"/>
          <w:szCs w:val="32"/>
        </w:rPr>
        <w:t>（三）拍卖主持人清点竞买人到场情况；</w:t>
      </w:r>
    </w:p>
    <w:p w14:paraId="6617419B">
      <w:pPr>
        <w:spacing w:line="578" w:lineRule="exact"/>
        <w:ind w:firstLine="640" w:firstLineChars="200"/>
        <w:rPr>
          <w:rFonts w:ascii="仿宋" w:hAnsi="仿宋" w:eastAsia="仿宋"/>
          <w:sz w:val="32"/>
          <w:szCs w:val="32"/>
        </w:rPr>
      </w:pPr>
      <w:r>
        <w:rPr>
          <w:rFonts w:ascii="仿宋" w:hAnsi="仿宋" w:eastAsia="仿宋"/>
          <w:sz w:val="32"/>
          <w:szCs w:val="32"/>
        </w:rPr>
        <w:t>（四）公证员核实竞买人身份和举牌人身份；</w:t>
      </w:r>
    </w:p>
    <w:p w14:paraId="63AB33D3">
      <w:pPr>
        <w:spacing w:line="578" w:lineRule="exact"/>
        <w:ind w:firstLine="640" w:firstLineChars="200"/>
        <w:rPr>
          <w:rFonts w:ascii="仿宋" w:hAnsi="仿宋" w:eastAsia="仿宋"/>
          <w:sz w:val="32"/>
          <w:szCs w:val="32"/>
        </w:rPr>
      </w:pPr>
      <w:r>
        <w:rPr>
          <w:rFonts w:ascii="仿宋" w:hAnsi="仿宋" w:eastAsia="仿宋"/>
          <w:sz w:val="32"/>
          <w:szCs w:val="32"/>
        </w:rPr>
        <w:t>（五）拍卖主持人介绍拍卖采矿权的位置、面积、矿种、储量、出让年限等基本情况。</w:t>
      </w:r>
    </w:p>
    <w:p w14:paraId="262B8CB1">
      <w:pPr>
        <w:spacing w:line="578" w:lineRule="exact"/>
        <w:ind w:firstLine="640" w:firstLineChars="200"/>
        <w:rPr>
          <w:rFonts w:ascii="仿宋" w:hAnsi="仿宋" w:eastAsia="仿宋"/>
          <w:sz w:val="32"/>
          <w:szCs w:val="32"/>
        </w:rPr>
      </w:pPr>
      <w:r>
        <w:rPr>
          <w:rFonts w:ascii="仿宋" w:hAnsi="仿宋" w:eastAsia="仿宋"/>
          <w:sz w:val="32"/>
          <w:szCs w:val="32"/>
        </w:rPr>
        <w:t>（六）拍卖主持人宣布拍卖会相关要求：1．拍卖采矿权的起始价、增价规则和增价幅度，并明确提示是否设有底价；2．在拍卖过程中，拍卖主持人可根据政府批复、现场情况调整增价幅度；3．竞价时由受托人举牌报价的，拍卖过程中不得变更举牌人；</w:t>
      </w:r>
    </w:p>
    <w:p w14:paraId="315A3D54">
      <w:pPr>
        <w:spacing w:line="578" w:lineRule="exact"/>
        <w:ind w:firstLine="640" w:firstLineChars="200"/>
        <w:rPr>
          <w:rFonts w:ascii="仿宋" w:hAnsi="仿宋" w:eastAsia="仿宋"/>
          <w:sz w:val="32"/>
          <w:szCs w:val="32"/>
        </w:rPr>
      </w:pPr>
      <w:r>
        <w:rPr>
          <w:rFonts w:ascii="仿宋" w:hAnsi="仿宋" w:eastAsia="仿宋"/>
          <w:sz w:val="32"/>
          <w:szCs w:val="32"/>
        </w:rPr>
        <w:t>（七）拍卖主持人逐一询问竞买人是否听清、是否明白；</w:t>
      </w:r>
    </w:p>
    <w:p w14:paraId="2A4EC387">
      <w:pPr>
        <w:spacing w:line="578" w:lineRule="exact"/>
        <w:ind w:firstLine="640" w:firstLineChars="200"/>
        <w:rPr>
          <w:rFonts w:ascii="仿宋" w:hAnsi="仿宋" w:eastAsia="仿宋"/>
          <w:sz w:val="32"/>
          <w:szCs w:val="32"/>
        </w:rPr>
      </w:pPr>
      <w:r>
        <w:rPr>
          <w:rFonts w:ascii="仿宋" w:hAnsi="仿宋" w:eastAsia="仿宋"/>
          <w:sz w:val="32"/>
          <w:szCs w:val="32"/>
        </w:rPr>
        <w:t>（八）拍卖主持人报出起拍价，宣布竞价开始；</w:t>
      </w:r>
    </w:p>
    <w:p w14:paraId="332B8894">
      <w:pPr>
        <w:spacing w:line="578" w:lineRule="exact"/>
        <w:ind w:firstLine="640" w:firstLineChars="200"/>
        <w:rPr>
          <w:rFonts w:ascii="仿宋" w:hAnsi="仿宋" w:eastAsia="仿宋"/>
          <w:sz w:val="32"/>
          <w:szCs w:val="32"/>
        </w:rPr>
      </w:pPr>
      <w:r>
        <w:rPr>
          <w:rFonts w:ascii="仿宋" w:hAnsi="仿宋" w:eastAsia="仿宋"/>
          <w:sz w:val="32"/>
          <w:szCs w:val="32"/>
        </w:rPr>
        <w:t>（九）竞买人举牌应价或者报价；</w:t>
      </w:r>
    </w:p>
    <w:p w14:paraId="29DEF4DB">
      <w:pPr>
        <w:spacing w:line="578" w:lineRule="exact"/>
        <w:ind w:firstLine="640" w:firstLineChars="200"/>
        <w:rPr>
          <w:rFonts w:ascii="仿宋" w:hAnsi="仿宋" w:eastAsia="仿宋"/>
          <w:sz w:val="32"/>
          <w:szCs w:val="32"/>
        </w:rPr>
      </w:pPr>
      <w:r>
        <w:rPr>
          <w:rFonts w:ascii="仿宋" w:hAnsi="仿宋" w:eastAsia="仿宋"/>
          <w:sz w:val="32"/>
          <w:szCs w:val="32"/>
        </w:rPr>
        <w:t>（十）拍卖主持人确认该竞买人应价或者报价后继续竞价；</w:t>
      </w:r>
    </w:p>
    <w:p w14:paraId="3CBD699D">
      <w:pPr>
        <w:spacing w:line="578" w:lineRule="exact"/>
        <w:ind w:firstLine="640" w:firstLineChars="200"/>
        <w:rPr>
          <w:rFonts w:ascii="仿宋" w:hAnsi="仿宋" w:eastAsia="仿宋"/>
          <w:sz w:val="32"/>
          <w:szCs w:val="32"/>
        </w:rPr>
      </w:pPr>
      <w:r>
        <w:rPr>
          <w:rFonts w:ascii="仿宋" w:hAnsi="仿宋" w:eastAsia="仿宋"/>
          <w:sz w:val="32"/>
          <w:szCs w:val="32"/>
        </w:rPr>
        <w:t>（十一）拍卖主持人连续三次宣布同一应价或报价而没有人再应价或报价，拍卖主持人宣布竞价结束；</w:t>
      </w:r>
    </w:p>
    <w:p w14:paraId="5A8954AD">
      <w:pPr>
        <w:spacing w:line="578" w:lineRule="exact"/>
        <w:ind w:firstLine="640" w:firstLineChars="200"/>
        <w:rPr>
          <w:rFonts w:ascii="仿宋" w:hAnsi="仿宋" w:eastAsia="仿宋"/>
          <w:sz w:val="32"/>
          <w:szCs w:val="32"/>
        </w:rPr>
      </w:pPr>
      <w:r>
        <w:rPr>
          <w:rFonts w:ascii="仿宋" w:hAnsi="仿宋" w:eastAsia="仿宋"/>
          <w:sz w:val="32"/>
          <w:szCs w:val="32"/>
        </w:rPr>
        <w:t>（十二）如设有政府底价的，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14:paraId="00DAFA98">
      <w:pPr>
        <w:spacing w:line="578" w:lineRule="exact"/>
        <w:ind w:firstLine="640" w:firstLineChars="200"/>
        <w:rPr>
          <w:rFonts w:ascii="仿宋" w:hAnsi="仿宋" w:eastAsia="仿宋"/>
          <w:sz w:val="32"/>
          <w:szCs w:val="32"/>
        </w:rPr>
      </w:pPr>
      <w:r>
        <w:rPr>
          <w:rFonts w:ascii="仿宋" w:hAnsi="仿宋" w:eastAsia="仿宋"/>
          <w:sz w:val="32"/>
          <w:szCs w:val="32"/>
        </w:rPr>
        <w:t>（十三）公证员现场致公证词；</w:t>
      </w:r>
    </w:p>
    <w:p w14:paraId="26828B25">
      <w:pPr>
        <w:spacing w:line="578" w:lineRule="exact"/>
        <w:ind w:firstLine="640" w:firstLineChars="200"/>
        <w:rPr>
          <w:rFonts w:ascii="仿宋" w:hAnsi="仿宋" w:eastAsia="仿宋"/>
          <w:sz w:val="32"/>
          <w:szCs w:val="32"/>
        </w:rPr>
      </w:pPr>
      <w:r>
        <w:rPr>
          <w:rFonts w:ascii="仿宋" w:hAnsi="仿宋" w:eastAsia="仿宋"/>
          <w:sz w:val="32"/>
          <w:szCs w:val="32"/>
        </w:rPr>
        <w:t>（十四）拍卖主持人主持拍卖人与竞得人</w:t>
      </w:r>
      <w:r>
        <w:rPr>
          <w:rFonts w:ascii="仿宋" w:hAnsi="仿宋" w:eastAsia="仿宋"/>
          <w:b/>
          <w:bCs/>
          <w:sz w:val="32"/>
          <w:szCs w:val="32"/>
          <w:u w:val="single"/>
        </w:rPr>
        <w:t>当场签订</w:t>
      </w:r>
      <w:r>
        <w:rPr>
          <w:rFonts w:ascii="仿宋" w:hAnsi="仿宋" w:eastAsia="仿宋"/>
          <w:sz w:val="32"/>
          <w:szCs w:val="32"/>
        </w:rPr>
        <w:t>《成交确认书》。</w:t>
      </w:r>
    </w:p>
    <w:p w14:paraId="2D093A88">
      <w:pPr>
        <w:spacing w:line="578" w:lineRule="exact"/>
        <w:ind w:firstLine="640" w:firstLineChars="200"/>
        <w:rPr>
          <w:rFonts w:ascii="仿宋" w:hAnsi="仿宋" w:eastAsia="仿宋"/>
          <w:sz w:val="32"/>
          <w:szCs w:val="32"/>
        </w:rPr>
      </w:pPr>
      <w:r>
        <w:rPr>
          <w:rFonts w:ascii="仿宋" w:hAnsi="仿宋" w:eastAsia="仿宋"/>
          <w:sz w:val="32"/>
          <w:szCs w:val="32"/>
        </w:rPr>
        <w:t>确定竞得人后，拍卖人须在拍卖现场当场与竞得人签订《成交确认书》。竞得人委托他人代签的，须在竞买申请时提交法定代表人亲笔签名并盖章的授权委托书。《成交确认书》对出让人和竞得人具有同等法律效力，出让人改变拍卖结果的，或者竞得人放弃竞得采矿权的，应当依法承担责任。</w:t>
      </w:r>
    </w:p>
    <w:p w14:paraId="495EC181">
      <w:pPr>
        <w:spacing w:line="578" w:lineRule="exact"/>
        <w:ind w:firstLine="640" w:firstLineChars="200"/>
        <w:rPr>
          <w:rFonts w:eastAsia="仿宋_GB2312"/>
          <w:sz w:val="32"/>
          <w:szCs w:val="32"/>
        </w:rPr>
      </w:pPr>
      <w:r>
        <w:rPr>
          <w:rFonts w:ascii="仿宋" w:hAnsi="仿宋" w:eastAsia="仿宋"/>
          <w:sz w:val="32"/>
          <w:szCs w:val="32"/>
        </w:rPr>
        <w:t>竞得人不按规定当场签订《成交确认书》的，须承担缔约过失的法律责任。竞得人拒绝签订《成交确认书》不能对抗拍卖成交结果的法律效力。</w:t>
      </w:r>
    </w:p>
    <w:p w14:paraId="5FA6F313">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二</w:t>
      </w:r>
      <w:r>
        <w:rPr>
          <w:rFonts w:eastAsia="黑体"/>
          <w:sz w:val="32"/>
          <w:szCs w:val="32"/>
        </w:rPr>
        <w:t>、成交结果公示</w:t>
      </w:r>
    </w:p>
    <w:p w14:paraId="374788B6">
      <w:pPr>
        <w:spacing w:line="578" w:lineRule="exact"/>
        <w:ind w:firstLine="640" w:firstLineChars="200"/>
        <w:rPr>
          <w:rFonts w:ascii="仿宋" w:hAnsi="仿宋" w:eastAsia="仿宋"/>
          <w:sz w:val="32"/>
          <w:szCs w:val="32"/>
        </w:rPr>
      </w:pPr>
      <w:r>
        <w:rPr>
          <w:rFonts w:ascii="仿宋" w:hAnsi="仿宋" w:eastAsia="仿宋"/>
          <w:sz w:val="32"/>
          <w:szCs w:val="32"/>
        </w:rPr>
        <w:t>《成交确认书》签订后5个工作日内，成交结果将在自然资源部、</w:t>
      </w:r>
      <w:r>
        <w:rPr>
          <w:rFonts w:hint="eastAsia" w:ascii="仿宋" w:hAnsi="仿宋" w:eastAsia="仿宋"/>
          <w:sz w:val="32"/>
          <w:szCs w:val="32"/>
        </w:rPr>
        <w:t>达州市通川区人民政府、</w:t>
      </w:r>
      <w:r>
        <w:rPr>
          <w:rFonts w:ascii="仿宋" w:hAnsi="仿宋" w:eastAsia="仿宋"/>
          <w:sz w:val="32"/>
          <w:szCs w:val="32"/>
        </w:rPr>
        <w:t>达州市公共资源交易服务中心门户网站同步进行公示，公示期不少于10个工作日。</w:t>
      </w:r>
    </w:p>
    <w:p w14:paraId="49DB5AA1">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三</w:t>
      </w:r>
      <w:r>
        <w:rPr>
          <w:rFonts w:eastAsia="黑体"/>
          <w:sz w:val="32"/>
          <w:szCs w:val="32"/>
        </w:rPr>
        <w:t>、</w:t>
      </w:r>
      <w:r>
        <w:rPr>
          <w:rFonts w:eastAsia="黑体"/>
          <w:bCs/>
          <w:sz w:val="32"/>
          <w:szCs w:val="32"/>
        </w:rPr>
        <w:t>《采矿权出让合同》签订</w:t>
      </w:r>
    </w:p>
    <w:p w14:paraId="168DDAF4">
      <w:pPr>
        <w:spacing w:line="578"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rPr>
        <w:t>公示期满无异议或异议不成立的，竞得人须在公示期满后5个工作日内，凭《成交确认书》与达州市通川区自然资源局签订《采矿权出让合同》。若竞得人逾期未签订《采矿权出让合同》，视为竞得人自动放弃该采矿权竞得资格，竞得人承担相应违约责任，并承担成交价款的20%作为违约金，从竞买保证金中扣除。</w:t>
      </w:r>
      <w:r>
        <w:rPr>
          <w:rFonts w:hint="eastAsia" w:ascii="仿宋" w:hAnsi="仿宋" w:eastAsia="仿宋" w:cs="Times New Roman"/>
          <w:sz w:val="32"/>
          <w:szCs w:val="32"/>
          <w:lang w:val="en-US" w:eastAsia="zh-CN"/>
        </w:rPr>
        <w:t xml:space="preserve">  </w:t>
      </w:r>
    </w:p>
    <w:p w14:paraId="1EBFD264">
      <w:pPr>
        <w:spacing w:line="560" w:lineRule="exact"/>
        <w:ind w:firstLine="640" w:firstLineChars="200"/>
        <w:rPr>
          <w:rFonts w:eastAsia="黑体"/>
          <w:sz w:val="32"/>
          <w:szCs w:val="32"/>
        </w:rPr>
      </w:pPr>
      <w:r>
        <w:rPr>
          <w:rFonts w:eastAsia="黑体"/>
          <w:bCs/>
          <w:sz w:val="32"/>
          <w:szCs w:val="32"/>
        </w:rPr>
        <w:t>十</w:t>
      </w:r>
      <w:r>
        <w:rPr>
          <w:rFonts w:hint="eastAsia" w:eastAsia="黑体"/>
          <w:bCs/>
          <w:sz w:val="32"/>
          <w:szCs w:val="32"/>
          <w:lang w:val="en-US" w:eastAsia="zh-CN"/>
        </w:rPr>
        <w:t>四</w:t>
      </w:r>
      <w:r>
        <w:rPr>
          <w:rFonts w:eastAsia="黑体"/>
          <w:bCs/>
          <w:sz w:val="32"/>
          <w:szCs w:val="32"/>
        </w:rPr>
        <w:t>、采矿权出让收益缴纳</w:t>
      </w:r>
    </w:p>
    <w:p w14:paraId="384EE8BF">
      <w:pPr>
        <w:spacing w:line="578"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lang w:val="en-US" w:eastAsia="zh-CN"/>
        </w:rPr>
        <w:t>原则上按照《财政部 自然资源部 税务总局关于印发&lt;矿业权出让收益征收办法&gt;的通知》（财综〔2023〕10号）和《四川省财政厅 四川省自然资源厅 国家税务总局四川省税务局关于印发&lt;四川省矿业权出让收益征收管理办法&gt;的通知》（川财规〔2023〕10号）执行</w:t>
      </w:r>
      <w:r>
        <w:rPr>
          <w:rFonts w:hint="eastAsia" w:ascii="仿宋" w:hAnsi="仿宋" w:eastAsia="仿宋" w:cs="Times New Roman"/>
          <w:sz w:val="32"/>
          <w:szCs w:val="32"/>
        </w:rPr>
        <w:t>。</w:t>
      </w:r>
    </w:p>
    <w:p w14:paraId="2B691C62">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五</w:t>
      </w:r>
      <w:r>
        <w:rPr>
          <w:rFonts w:eastAsia="黑体"/>
          <w:sz w:val="32"/>
          <w:szCs w:val="32"/>
        </w:rPr>
        <w:t>、交易服务费</w:t>
      </w:r>
    </w:p>
    <w:p w14:paraId="7AF297FE">
      <w:pPr>
        <w:spacing w:line="578" w:lineRule="exact"/>
        <w:ind w:firstLine="640" w:firstLineChars="200"/>
        <w:rPr>
          <w:rFonts w:ascii="仿宋" w:hAnsi="仿宋" w:eastAsia="仿宋"/>
          <w:sz w:val="32"/>
          <w:szCs w:val="32"/>
        </w:rPr>
      </w:pPr>
      <w:r>
        <w:rPr>
          <w:rFonts w:ascii="仿宋" w:hAnsi="仿宋" w:eastAsia="仿宋"/>
          <w:sz w:val="32"/>
          <w:szCs w:val="32"/>
        </w:rPr>
        <w:t>交易服务费不包含在拍卖成交价（即采矿权出让收益）中。竞得人须在签订《成交确认书》之日起</w:t>
      </w:r>
      <w:r>
        <w:rPr>
          <w:rFonts w:ascii="仿宋" w:hAnsi="仿宋" w:eastAsia="仿宋"/>
          <w:b/>
          <w:bCs/>
          <w:sz w:val="32"/>
          <w:szCs w:val="32"/>
          <w:u w:val="single"/>
        </w:rPr>
        <w:t>8个工作日内</w:t>
      </w:r>
      <w:r>
        <w:rPr>
          <w:rFonts w:ascii="仿宋" w:hAnsi="仿宋" w:eastAsia="仿宋"/>
          <w:sz w:val="32"/>
          <w:szCs w:val="32"/>
        </w:rPr>
        <w:t>，按相关标准向达州市公共资源交易服务中心单独足额支付交易服务费。如果竞得人逾期或拒绝支付交易服务费，将按违约处理，并承担相应的违约经济责任。</w:t>
      </w:r>
    </w:p>
    <w:p w14:paraId="3EFE33E4">
      <w:pPr>
        <w:spacing w:line="578"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六</w:t>
      </w:r>
      <w:r>
        <w:rPr>
          <w:rFonts w:eastAsia="黑体"/>
          <w:sz w:val="32"/>
          <w:szCs w:val="32"/>
        </w:rPr>
        <w:t>、竞买保证金处置</w:t>
      </w:r>
    </w:p>
    <w:p w14:paraId="51D6A696">
      <w:pPr>
        <w:spacing w:line="560" w:lineRule="exact"/>
        <w:ind w:firstLine="640" w:firstLineChars="200"/>
        <w:rPr>
          <w:rFonts w:ascii="仿宋" w:hAnsi="仿宋" w:eastAsia="仿宋"/>
          <w:snapToGrid w:val="0"/>
          <w:kern w:val="0"/>
          <w:sz w:val="32"/>
          <w:szCs w:val="32"/>
        </w:rPr>
      </w:pPr>
      <w:r>
        <w:rPr>
          <w:rFonts w:hint="eastAsia" w:ascii="仿宋" w:hAnsi="仿宋" w:eastAsia="仿宋"/>
          <w:snapToGrid w:val="0"/>
          <w:kern w:val="0"/>
          <w:sz w:val="32"/>
          <w:szCs w:val="32"/>
        </w:rPr>
        <w:t>竞得人缴纳的竞买保证金，在签订《采矿权出让合同》并按合同约定缴清采矿权出让收益或首期采矿权出让收益后，5个工作日内予以退还，且不计利息。未竞得人缴纳的竞买保证金，在拍卖活动结束后，5个工作日内予以退还，且不计利息。</w:t>
      </w:r>
    </w:p>
    <w:p w14:paraId="161C1ADD">
      <w:pPr>
        <w:spacing w:line="560" w:lineRule="exact"/>
        <w:ind w:firstLine="640" w:firstLineChars="200"/>
        <w:rPr>
          <w:rFonts w:eastAsia="黑体"/>
          <w:b/>
          <w:sz w:val="32"/>
          <w:szCs w:val="32"/>
        </w:rPr>
      </w:pPr>
      <w:r>
        <w:rPr>
          <w:rFonts w:eastAsia="黑体"/>
          <w:bCs/>
          <w:sz w:val="32"/>
          <w:szCs w:val="32"/>
        </w:rPr>
        <w:t>十</w:t>
      </w:r>
      <w:r>
        <w:rPr>
          <w:rFonts w:hint="eastAsia" w:eastAsia="黑体"/>
          <w:bCs/>
          <w:sz w:val="32"/>
          <w:szCs w:val="32"/>
          <w:lang w:val="en-US" w:eastAsia="zh-CN"/>
        </w:rPr>
        <w:t>七</w:t>
      </w:r>
      <w:r>
        <w:rPr>
          <w:rFonts w:eastAsia="黑体"/>
          <w:bCs/>
          <w:sz w:val="32"/>
          <w:szCs w:val="32"/>
        </w:rPr>
        <w:t>、风险提示</w:t>
      </w:r>
    </w:p>
    <w:p w14:paraId="05CE4BC2">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（一）本次出让的采矿权范围与油气矿业权可能存在重叠。竞得人须出具不影响油气矿业权人权益的书面承诺，并在矿山开采过程中严格遵守。</w:t>
      </w:r>
    </w:p>
    <w:p w14:paraId="3DA25471">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二）地质构造、矿产资源赋存具有复杂性和不确定性。出让人提供的相关地质资料和资源情况为有资质单位进行勘测的结果，《勘探报告》及相关资料所载明矿区范围的资源量、品位及矿体赋存状态等仅代表现阶段的认识，可能会因进一步的生产性勘探和开发而发生一定变化。对此，竞买人需认真考察，自行咨询有关地质专家并详细参阅矿区有关地质资料，到实地进行踏勘，详细了解该采矿权相关情况，并自行承担可能出现的风险。</w:t>
      </w:r>
    </w:p>
    <w:p w14:paraId="59EECDB6">
      <w:pPr>
        <w:adjustRightInd w:val="0"/>
        <w:spacing w:line="578" w:lineRule="exact"/>
        <w:ind w:firstLine="640" w:firstLineChars="200"/>
        <w:rPr>
          <w:rFonts w:ascii="仿宋" w:hAnsi="仿宋" w:eastAsia="仿宋"/>
          <w:snapToGrid w:val="0"/>
          <w:spacing w:val="-4"/>
          <w:kern w:val="0"/>
          <w:sz w:val="32"/>
          <w:szCs w:val="32"/>
        </w:rPr>
      </w:pPr>
      <w:r>
        <w:rPr>
          <w:rFonts w:ascii="仿宋" w:hAnsi="仿宋" w:eastAsia="仿宋"/>
          <w:snapToGrid w:val="0"/>
          <w:kern w:val="0"/>
          <w:sz w:val="32"/>
          <w:szCs w:val="32"/>
        </w:rPr>
        <w:t>（三）采矿权投</w:t>
      </w:r>
      <w:r>
        <w:rPr>
          <w:rFonts w:ascii="仿宋" w:hAnsi="仿宋" w:eastAsia="仿宋"/>
          <w:snapToGrid w:val="0"/>
          <w:spacing w:val="-4"/>
          <w:kern w:val="0"/>
          <w:sz w:val="32"/>
          <w:szCs w:val="32"/>
        </w:rPr>
        <w:t>资存在不可预计的风险，包括但不限于安全、地质灾害防治、环境保护等要求影响，对特定采矿方法、选矿方法的限制影响，国家产业政策或者矿产资源规划调整影响，不可抗力影响，以及矿山开采涉及的土地、山权、林权、道路、地下管线、水电供给、地上建构筑物、地表附着物、废渣占地堆放、社群关系等外部条件影响。对此，竞买人需详细了解，认真考虑，谨慎决策，并自行承担可能产生的一切风险。</w:t>
      </w:r>
    </w:p>
    <w:p w14:paraId="01BC255D">
      <w:pPr>
        <w:adjustRightInd w:val="0"/>
        <w:spacing w:line="578" w:lineRule="exact"/>
        <w:ind w:firstLine="640" w:firstLineChars="200"/>
        <w:rPr>
          <w:rFonts w:ascii="仿宋" w:hAnsi="仿宋" w:eastAsia="仿宋"/>
          <w:snapToGrid w:val="0"/>
          <w:kern w:val="0"/>
          <w:sz w:val="32"/>
          <w:szCs w:val="32"/>
        </w:rPr>
      </w:pPr>
      <w:r>
        <w:rPr>
          <w:rFonts w:ascii="仿宋" w:hAnsi="仿宋" w:eastAsia="仿宋"/>
          <w:snapToGrid w:val="0"/>
          <w:kern w:val="0"/>
          <w:sz w:val="32"/>
          <w:szCs w:val="32"/>
        </w:rPr>
        <w:t>（四）竞得人应充分了解采矿权竞得后办理采矿许可证和矿产资源开发开采所需其他有关部门手续的相关要求，以及部门法律法规政策的要求，可能存在认定是不宜开采或者因政策的新变动导致不能开采等风险，竞买申请人应慎重决策，风险由竞得人自行承担。</w:t>
      </w:r>
    </w:p>
    <w:p w14:paraId="474A357D">
      <w:pPr>
        <w:adjustRightInd w:val="0"/>
        <w:spacing w:line="578" w:lineRule="exact"/>
        <w:ind w:firstLine="640" w:firstLineChars="200"/>
        <w:rPr>
          <w:rFonts w:eastAsia="仿宋_GB2312"/>
          <w:snapToGrid w:val="0"/>
          <w:kern w:val="0"/>
          <w:sz w:val="32"/>
          <w:szCs w:val="32"/>
        </w:rPr>
      </w:pPr>
      <w:r>
        <w:rPr>
          <w:rFonts w:ascii="仿宋" w:hAnsi="仿宋" w:eastAsia="仿宋"/>
          <w:snapToGrid w:val="0"/>
          <w:kern w:val="0"/>
          <w:sz w:val="32"/>
          <w:szCs w:val="32"/>
        </w:rPr>
        <w:t>（五）竞买人在决定申请竞买前应认真阅读出让采矿权的出让文件，竞买人一旦决定参加竞买并提交竞买申请，即视为竞买申请人对采矿权相关地质资料、资源情况及矿山生产、开发利用过程中所产生的投资风险、政策风险、采矿风险、安全风险及其他不可预见的影响因素已完全认知并自愿承担所有风险，出让人不承担任何责任。一旦竞得并成为采矿权人，视为对本出让采矿权的所有设定条件和情况无异议，不得以包括但不限于资源储量、矿权范围、开采深度、开采条件、发生不可抗力等情况为由向自然资源等部门提出退款、索赔、延长开采期限等要求。</w:t>
      </w:r>
    </w:p>
    <w:p w14:paraId="40858D49">
      <w:pPr>
        <w:spacing w:line="560" w:lineRule="exact"/>
        <w:ind w:firstLine="640" w:firstLineChars="200"/>
        <w:rPr>
          <w:rFonts w:eastAsia="黑体"/>
          <w:bCs/>
          <w:sz w:val="32"/>
          <w:szCs w:val="32"/>
        </w:rPr>
      </w:pPr>
      <w:r>
        <w:rPr>
          <w:rFonts w:eastAsia="黑体"/>
          <w:bCs/>
          <w:sz w:val="32"/>
          <w:szCs w:val="32"/>
        </w:rPr>
        <w:t>十</w:t>
      </w:r>
      <w:r>
        <w:rPr>
          <w:rFonts w:hint="eastAsia" w:eastAsia="黑体"/>
          <w:bCs/>
          <w:sz w:val="32"/>
          <w:szCs w:val="32"/>
          <w:lang w:val="en-US" w:eastAsia="zh-CN"/>
        </w:rPr>
        <w:t>八</w:t>
      </w:r>
      <w:r>
        <w:rPr>
          <w:rFonts w:eastAsia="黑体"/>
          <w:bCs/>
          <w:sz w:val="32"/>
          <w:szCs w:val="32"/>
        </w:rPr>
        <w:t>、</w:t>
      </w:r>
      <w:r>
        <w:rPr>
          <w:rFonts w:eastAsia="黑体"/>
          <w:snapToGrid w:val="0"/>
          <w:kern w:val="0"/>
          <w:sz w:val="32"/>
          <w:szCs w:val="32"/>
        </w:rPr>
        <w:t>注意事项及竞买要求</w:t>
      </w:r>
    </w:p>
    <w:p w14:paraId="4F051788">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（一）本次出让的仅是采矿权，不包括土地使用权和其他物权。出让成交价仅为采矿权出让收益，不包括其它规费、税费、地上构建物拆除补偿、地下管线（管网）以及其他拆迁安置补偿费用等。</w:t>
      </w:r>
    </w:p>
    <w:p w14:paraId="54D4F335">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（二）本次出让采矿权范围内如与输变电线路及配电变压器存在重叠，采矿权人在勘查、开发利用过程中应保证各线路及配电变压器安全。</w:t>
      </w:r>
    </w:p>
    <w:p w14:paraId="4052D934">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val="en-US" w:eastAsia="zh-CN"/>
        </w:rPr>
        <w:t>三</w:t>
      </w:r>
      <w:r>
        <w:rPr>
          <w:rFonts w:ascii="仿宋" w:hAnsi="仿宋" w:eastAsia="仿宋" w:cs="Times New Roman"/>
          <w:snapToGrid w:val="0"/>
          <w:kern w:val="0"/>
          <w:sz w:val="32"/>
          <w:szCs w:val="32"/>
        </w:rPr>
        <w:t>）采矿权出让后，竞得人须按规定到有关部门申办用地、用林、水保、环评、安全生产、营业执照、税务登记等相关手续，所需资料及相关费用由竞得人自行承担。</w:t>
      </w:r>
    </w:p>
    <w:p w14:paraId="2E011F7F">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val="en-US" w:eastAsia="zh-CN"/>
        </w:rPr>
        <w:t>四</w:t>
      </w:r>
      <w:r>
        <w:rPr>
          <w:rFonts w:ascii="仿宋" w:hAnsi="仿宋" w:eastAsia="仿宋" w:cs="Times New Roman"/>
          <w:snapToGrid w:val="0"/>
          <w:kern w:val="0"/>
          <w:sz w:val="32"/>
          <w:szCs w:val="32"/>
        </w:rPr>
        <w:t>）采矿权竞得人须按相关要求编制《矿产资源开</w:t>
      </w:r>
      <w:r>
        <w:rPr>
          <w:rFonts w:ascii="仿宋" w:hAnsi="仿宋" w:eastAsia="仿宋" w:cs="Times New Roman"/>
          <w:snapToGrid w:val="0"/>
          <w:kern w:val="0"/>
          <w:sz w:val="32"/>
          <w:szCs w:val="32"/>
          <w:lang w:eastAsia="zh-CN"/>
        </w:rPr>
        <w:t>采</w:t>
      </w:r>
      <w:r>
        <w:rPr>
          <w:rFonts w:ascii="仿宋" w:hAnsi="仿宋" w:eastAsia="仿宋" w:cs="Times New Roman"/>
          <w:snapToGrid w:val="0"/>
          <w:kern w:val="0"/>
          <w:sz w:val="32"/>
          <w:szCs w:val="32"/>
        </w:rPr>
        <w:t>方案》《矿区生态修复方案》等资料并通过相关部门审查、</w:t>
      </w:r>
      <w:r>
        <w:rPr>
          <w:rFonts w:ascii="仿宋" w:hAnsi="仿宋" w:eastAsia="仿宋" w:cs="Times New Roman"/>
          <w:snapToGrid w:val="0"/>
          <w:kern w:val="0"/>
          <w:sz w:val="32"/>
          <w:szCs w:val="32"/>
          <w:lang w:eastAsia="zh-CN"/>
        </w:rPr>
        <w:t>公示</w:t>
      </w:r>
      <w:r>
        <w:rPr>
          <w:rFonts w:ascii="仿宋" w:hAnsi="仿宋" w:eastAsia="仿宋" w:cs="Times New Roman"/>
          <w:snapToGrid w:val="0"/>
          <w:kern w:val="0"/>
          <w:sz w:val="32"/>
          <w:szCs w:val="32"/>
        </w:rPr>
        <w:t>。在矿产资源开发利用过程中，严格按照相关要求开发利用矿产资源和履行</w:t>
      </w:r>
      <w:r>
        <w:rPr>
          <w:rFonts w:hint="eastAsia" w:ascii="仿宋" w:hAnsi="仿宋" w:eastAsia="仿宋" w:cs="Times New Roman"/>
          <w:snapToGrid w:val="0"/>
          <w:kern w:val="0"/>
          <w:sz w:val="32"/>
          <w:szCs w:val="32"/>
        </w:rPr>
        <w:t>土地复垦、矿山地质环境保护与治理恢复</w:t>
      </w:r>
      <w:r>
        <w:rPr>
          <w:rFonts w:hint="eastAsia" w:ascii="仿宋" w:hAnsi="仿宋" w:eastAsia="仿宋" w:cs="Times New Roman"/>
          <w:snapToGrid w:val="0"/>
          <w:kern w:val="0"/>
          <w:sz w:val="32"/>
          <w:szCs w:val="32"/>
          <w:lang w:val="en-US" w:eastAsia="zh-CN"/>
        </w:rPr>
        <w:t>等</w:t>
      </w:r>
      <w:r>
        <w:rPr>
          <w:rFonts w:ascii="仿宋" w:hAnsi="仿宋" w:eastAsia="仿宋" w:cs="Times New Roman"/>
          <w:snapToGrid w:val="0"/>
          <w:kern w:val="0"/>
          <w:sz w:val="32"/>
          <w:szCs w:val="32"/>
        </w:rPr>
        <w:t>矿区修复义务等法定义务。采矿权竞得人应按照国家、四川省绿色矿山标准和《采矿权出让合同》约定，建设绿色矿山。</w:t>
      </w:r>
    </w:p>
    <w:p w14:paraId="3BD70F44">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lang w:eastAsia="zh-CN"/>
        </w:rPr>
        <w:t>（五）</w:t>
      </w:r>
      <w:r>
        <w:rPr>
          <w:rFonts w:ascii="仿宋" w:hAnsi="仿宋" w:eastAsia="仿宋" w:cs="Times New Roman"/>
          <w:snapToGrid w:val="0"/>
          <w:kern w:val="0"/>
          <w:sz w:val="32"/>
          <w:szCs w:val="32"/>
        </w:rPr>
        <w:t>竞得人自取得缴款凭证之日起15个工作日内，应向出让方申请办理采矿权登记。自《采矿权出让合同》签订之日起12个月内，竞得人应编制开采方案、矿区生态修复方案，申请办理采矿许可。</w:t>
      </w:r>
    </w:p>
    <w:p w14:paraId="77914C2C">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w:t>
      </w:r>
      <w:r>
        <w:rPr>
          <w:rFonts w:ascii="仿宋" w:hAnsi="仿宋" w:eastAsia="仿宋" w:cs="Times New Roman"/>
          <w:snapToGrid w:val="0"/>
          <w:kern w:val="0"/>
          <w:sz w:val="32"/>
          <w:szCs w:val="32"/>
          <w:lang w:eastAsia="zh-CN"/>
        </w:rPr>
        <w:t>六</w:t>
      </w:r>
      <w:r>
        <w:rPr>
          <w:rFonts w:ascii="仿宋" w:hAnsi="仿宋" w:eastAsia="仿宋" w:cs="Times New Roman"/>
          <w:snapToGrid w:val="0"/>
          <w:kern w:val="0"/>
          <w:sz w:val="32"/>
          <w:szCs w:val="32"/>
        </w:rPr>
        <w:t>）采矿权竞得人需要编制矿区地质灾害</w:t>
      </w:r>
      <w:r>
        <w:rPr>
          <w:rFonts w:ascii="仿宋" w:hAnsi="仿宋" w:eastAsia="仿宋" w:cs="Times New Roman"/>
          <w:snapToGrid w:val="0"/>
          <w:kern w:val="0"/>
          <w:sz w:val="32"/>
          <w:szCs w:val="32"/>
          <w:lang w:val="en-US" w:eastAsia="zh-CN"/>
        </w:rPr>
        <w:t>危险性</w:t>
      </w:r>
      <w:r>
        <w:rPr>
          <w:rFonts w:ascii="仿宋" w:hAnsi="仿宋" w:eastAsia="仿宋" w:cs="Times New Roman"/>
          <w:snapToGrid w:val="0"/>
          <w:kern w:val="0"/>
          <w:sz w:val="32"/>
          <w:szCs w:val="32"/>
        </w:rPr>
        <w:t>评估报告，</w:t>
      </w:r>
      <w:r>
        <w:rPr>
          <w:rFonts w:ascii="仿宋" w:hAnsi="仿宋" w:eastAsia="仿宋" w:cs="Times New Roman"/>
          <w:snapToGrid w:val="0"/>
          <w:kern w:val="0"/>
          <w:sz w:val="32"/>
          <w:szCs w:val="32"/>
          <w:lang w:val="en-US" w:eastAsia="zh-CN"/>
        </w:rPr>
        <w:t>并做好矿区及周边地质灾害防治工作</w:t>
      </w:r>
      <w:r>
        <w:rPr>
          <w:rFonts w:ascii="仿宋" w:hAnsi="仿宋" w:eastAsia="仿宋" w:cs="Times New Roman"/>
          <w:snapToGrid w:val="0"/>
          <w:kern w:val="0"/>
          <w:sz w:val="32"/>
          <w:szCs w:val="32"/>
        </w:rPr>
        <w:t>，严禁诱发人为地质灾害，若因采矿活动诱发人为地质灾害，按照</w:t>
      </w:r>
      <w:r>
        <w:rPr>
          <w:rFonts w:ascii="仿宋" w:hAnsi="仿宋" w:eastAsia="仿宋" w:cs="Times New Roman"/>
          <w:snapToGrid w:val="0"/>
          <w:kern w:val="0"/>
          <w:sz w:val="32"/>
          <w:szCs w:val="32"/>
          <w:lang w:eastAsia="zh-CN"/>
        </w:rPr>
        <w:t>“</w:t>
      </w:r>
      <w:r>
        <w:rPr>
          <w:rFonts w:ascii="仿宋" w:hAnsi="仿宋" w:eastAsia="仿宋" w:cs="Times New Roman"/>
          <w:snapToGrid w:val="0"/>
          <w:kern w:val="0"/>
          <w:sz w:val="32"/>
          <w:szCs w:val="32"/>
        </w:rPr>
        <w:t>谁</w:t>
      </w:r>
      <w:r>
        <w:rPr>
          <w:rFonts w:ascii="仿宋" w:hAnsi="仿宋" w:eastAsia="仿宋" w:cs="Times New Roman"/>
          <w:snapToGrid w:val="0"/>
          <w:kern w:val="0"/>
          <w:sz w:val="32"/>
          <w:szCs w:val="32"/>
          <w:lang w:val="en-US" w:eastAsia="zh-CN"/>
        </w:rPr>
        <w:t>引发</w:t>
      </w:r>
      <w:r>
        <w:rPr>
          <w:rFonts w:ascii="仿宋" w:hAnsi="仿宋" w:eastAsia="仿宋" w:cs="Times New Roman"/>
          <w:snapToGrid w:val="0"/>
          <w:kern w:val="0"/>
          <w:sz w:val="32"/>
          <w:szCs w:val="32"/>
        </w:rPr>
        <w:t>、谁治理</w:t>
      </w:r>
      <w:r>
        <w:rPr>
          <w:rFonts w:ascii="仿宋" w:hAnsi="仿宋" w:eastAsia="仿宋" w:cs="Times New Roman"/>
          <w:snapToGrid w:val="0"/>
          <w:kern w:val="0"/>
          <w:sz w:val="32"/>
          <w:szCs w:val="32"/>
          <w:lang w:eastAsia="zh-CN"/>
        </w:rPr>
        <w:t>”</w:t>
      </w:r>
      <w:r>
        <w:rPr>
          <w:rFonts w:ascii="仿宋" w:hAnsi="仿宋" w:eastAsia="仿宋" w:cs="Times New Roman"/>
          <w:snapToGrid w:val="0"/>
          <w:kern w:val="0"/>
          <w:sz w:val="32"/>
          <w:szCs w:val="32"/>
        </w:rPr>
        <w:t>的原则，一切损失由采矿权人自行承担，并对诱发的地质灾害进行治理。</w:t>
      </w:r>
    </w:p>
    <w:p w14:paraId="57F84BB3">
      <w:pPr>
        <w:spacing w:line="540" w:lineRule="exact"/>
        <w:ind w:firstLine="640" w:firstLineChars="200"/>
        <w:rPr>
          <w:rFonts w:eastAsia="黑体"/>
          <w:sz w:val="32"/>
          <w:szCs w:val="32"/>
        </w:rPr>
      </w:pPr>
      <w:r>
        <w:rPr>
          <w:rFonts w:eastAsia="黑体"/>
          <w:sz w:val="32"/>
          <w:szCs w:val="32"/>
        </w:rPr>
        <w:t>十</w:t>
      </w:r>
      <w:r>
        <w:rPr>
          <w:rFonts w:hint="eastAsia" w:eastAsia="黑体"/>
          <w:sz w:val="32"/>
          <w:szCs w:val="32"/>
          <w:lang w:val="en-US" w:eastAsia="zh-CN"/>
        </w:rPr>
        <w:t>九</w:t>
      </w:r>
      <w:r>
        <w:rPr>
          <w:rFonts w:eastAsia="黑体"/>
          <w:sz w:val="32"/>
          <w:szCs w:val="32"/>
        </w:rPr>
        <w:t>、其他事项</w:t>
      </w:r>
    </w:p>
    <w:p w14:paraId="471548C3">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（一）资格审查当日，资格审查结束后即进行拍卖活动，通过资格审查的竞买申请人须做好相关准备。</w:t>
      </w:r>
    </w:p>
    <w:p w14:paraId="17D09559">
      <w:pPr>
        <w:spacing w:line="540" w:lineRule="exact"/>
        <w:ind w:firstLine="640" w:firstLineChars="200"/>
        <w:rPr>
          <w:rFonts w:ascii="仿宋" w:hAnsi="仿宋" w:eastAsia="仿宋" w:cs="Times New Roman"/>
          <w:snapToGrid w:val="0"/>
          <w:kern w:val="0"/>
          <w:sz w:val="32"/>
          <w:szCs w:val="32"/>
        </w:rPr>
      </w:pPr>
      <w:r>
        <w:rPr>
          <w:rFonts w:ascii="仿宋" w:hAnsi="仿宋" w:eastAsia="仿宋" w:cs="Times New Roman"/>
          <w:snapToGrid w:val="0"/>
          <w:kern w:val="0"/>
          <w:sz w:val="32"/>
          <w:szCs w:val="32"/>
        </w:rPr>
        <w:t>（二）竞买申请一经提交受理确认后，即视为竞买人对出让文件内容及矿业权现状无异议并全面接受，愿意在遵照出让文件内容及认可矿业权现状的基础上参与竞买并承担因竞买行为产生的任何法律经济后果。</w:t>
      </w:r>
    </w:p>
    <w:p w14:paraId="2F5EFD88">
      <w:pPr>
        <w:spacing w:line="540" w:lineRule="exact"/>
        <w:ind w:firstLine="640" w:firstLineChars="200"/>
        <w:rPr>
          <w:rFonts w:ascii="仿宋" w:hAnsi="仿宋" w:eastAsia="仿宋"/>
          <w:sz w:val="32"/>
          <w:szCs w:val="32"/>
        </w:rPr>
      </w:pPr>
      <w:r>
        <w:rPr>
          <w:rFonts w:ascii="仿宋" w:hAnsi="仿宋" w:eastAsia="仿宋"/>
          <w:sz w:val="32"/>
          <w:szCs w:val="32"/>
        </w:rPr>
        <w:t>（三）有下列情形之一的，采矿权出让交易行为中止：</w:t>
      </w:r>
    </w:p>
    <w:p w14:paraId="30D48F4C">
      <w:pPr>
        <w:spacing w:line="540" w:lineRule="exact"/>
        <w:ind w:firstLine="640" w:firstLineChars="200"/>
        <w:rPr>
          <w:rFonts w:ascii="仿宋" w:hAnsi="仿宋" w:eastAsia="仿宋"/>
          <w:sz w:val="32"/>
          <w:szCs w:val="32"/>
        </w:rPr>
      </w:pPr>
      <w:r>
        <w:rPr>
          <w:rFonts w:ascii="仿宋" w:hAnsi="仿宋" w:eastAsia="仿宋"/>
          <w:sz w:val="32"/>
          <w:szCs w:val="32"/>
        </w:rPr>
        <w:t>1．公告公示期间发现出让的矿业权权属争议尚未解决；</w:t>
      </w:r>
    </w:p>
    <w:p w14:paraId="57E4804C">
      <w:pPr>
        <w:spacing w:line="540" w:lineRule="exact"/>
        <w:ind w:firstLine="640" w:firstLineChars="200"/>
        <w:rPr>
          <w:rFonts w:ascii="仿宋" w:hAnsi="仿宋" w:eastAsia="仿宋"/>
          <w:sz w:val="32"/>
          <w:szCs w:val="32"/>
        </w:rPr>
      </w:pPr>
      <w:r>
        <w:rPr>
          <w:rFonts w:ascii="仿宋" w:hAnsi="仿宋" w:eastAsia="仿宋"/>
          <w:sz w:val="32"/>
          <w:szCs w:val="32"/>
        </w:rPr>
        <w:t>2．竞得人有矿产资源违法行为的行政处罚逾期不履行的；</w:t>
      </w:r>
    </w:p>
    <w:p w14:paraId="293BC1FE">
      <w:pPr>
        <w:spacing w:line="540" w:lineRule="exact"/>
        <w:ind w:firstLine="640" w:firstLineChars="200"/>
        <w:rPr>
          <w:rFonts w:ascii="仿宋" w:hAnsi="仿宋" w:eastAsia="仿宋"/>
          <w:sz w:val="32"/>
          <w:szCs w:val="32"/>
        </w:rPr>
      </w:pPr>
      <w:r>
        <w:rPr>
          <w:rFonts w:ascii="仿宋" w:hAnsi="仿宋" w:eastAsia="仿宋"/>
          <w:sz w:val="32"/>
          <w:szCs w:val="32"/>
        </w:rPr>
        <w:t>3．因不可抗力或者政策变化应当中止交易的其他情形。</w:t>
      </w:r>
    </w:p>
    <w:p w14:paraId="02373836">
      <w:pPr>
        <w:spacing w:line="540" w:lineRule="exact"/>
        <w:ind w:firstLine="640" w:firstLineChars="200"/>
        <w:rPr>
          <w:rFonts w:ascii="仿宋" w:hAnsi="仿宋" w:eastAsia="仿宋"/>
          <w:sz w:val="32"/>
          <w:szCs w:val="32"/>
        </w:rPr>
      </w:pPr>
      <w:r>
        <w:rPr>
          <w:rFonts w:ascii="仿宋" w:hAnsi="仿宋" w:eastAsia="仿宋"/>
          <w:sz w:val="32"/>
          <w:szCs w:val="32"/>
        </w:rPr>
        <w:t>矿业权出让交易行为中止的原因消除后，应当及时恢复交易。</w:t>
      </w:r>
    </w:p>
    <w:p w14:paraId="42F2F882">
      <w:pPr>
        <w:spacing w:line="540" w:lineRule="exact"/>
        <w:ind w:firstLine="640" w:firstLineChars="200"/>
        <w:rPr>
          <w:rFonts w:ascii="仿宋" w:hAnsi="仿宋" w:eastAsia="仿宋"/>
          <w:sz w:val="32"/>
          <w:szCs w:val="32"/>
        </w:rPr>
      </w:pPr>
      <w:r>
        <w:rPr>
          <w:rFonts w:ascii="仿宋" w:hAnsi="仿宋" w:eastAsia="仿宋"/>
          <w:sz w:val="32"/>
          <w:szCs w:val="32"/>
        </w:rPr>
        <w:t>（四）有下列情形之一的，采矿权出让交易行为终止：</w:t>
      </w:r>
    </w:p>
    <w:p w14:paraId="58E77074">
      <w:pPr>
        <w:spacing w:line="540" w:lineRule="exact"/>
        <w:ind w:firstLine="640" w:firstLineChars="200"/>
        <w:rPr>
          <w:rFonts w:ascii="仿宋" w:hAnsi="仿宋" w:eastAsia="仿宋"/>
          <w:sz w:val="32"/>
          <w:szCs w:val="32"/>
        </w:rPr>
      </w:pPr>
      <w:r>
        <w:rPr>
          <w:rFonts w:ascii="仿宋" w:hAnsi="仿宋" w:eastAsia="仿宋"/>
          <w:sz w:val="32"/>
          <w:szCs w:val="32"/>
        </w:rPr>
        <w:t>1．出让人因有关政策规定、矿业权出让所依据的客观情况等发生重大变化提出终止交易；</w:t>
      </w:r>
    </w:p>
    <w:p w14:paraId="710052C6">
      <w:pPr>
        <w:spacing w:line="540" w:lineRule="exact"/>
        <w:ind w:firstLine="640" w:firstLineChars="200"/>
        <w:rPr>
          <w:rFonts w:ascii="仿宋" w:hAnsi="仿宋" w:eastAsia="仿宋"/>
          <w:sz w:val="32"/>
          <w:szCs w:val="32"/>
        </w:rPr>
      </w:pPr>
      <w:r>
        <w:rPr>
          <w:rFonts w:ascii="仿宋" w:hAnsi="仿宋" w:eastAsia="仿宋"/>
          <w:sz w:val="32"/>
          <w:szCs w:val="32"/>
        </w:rPr>
        <w:t>2．因不可抗力应当终止交易；</w:t>
      </w:r>
    </w:p>
    <w:p w14:paraId="029D25CA">
      <w:pPr>
        <w:spacing w:line="540" w:lineRule="exact"/>
        <w:ind w:firstLine="640" w:firstLineChars="200"/>
        <w:rPr>
          <w:rFonts w:ascii="仿宋" w:hAnsi="仿宋" w:eastAsia="仿宋"/>
          <w:sz w:val="32"/>
          <w:szCs w:val="32"/>
        </w:rPr>
      </w:pPr>
      <w:r>
        <w:rPr>
          <w:rFonts w:ascii="仿宋" w:hAnsi="仿宋" w:eastAsia="仿宋"/>
          <w:sz w:val="32"/>
          <w:szCs w:val="32"/>
        </w:rPr>
        <w:t>3．法律法规规定的其他情形。</w:t>
      </w:r>
    </w:p>
    <w:p w14:paraId="3931D84F">
      <w:pPr>
        <w:spacing w:line="540" w:lineRule="exact"/>
        <w:ind w:firstLine="640" w:firstLineChars="200"/>
        <w:rPr>
          <w:rFonts w:ascii="仿宋" w:hAnsi="仿宋" w:eastAsia="仿宋"/>
          <w:sz w:val="32"/>
          <w:szCs w:val="32"/>
        </w:rPr>
      </w:pPr>
      <w:r>
        <w:rPr>
          <w:rFonts w:ascii="仿宋" w:hAnsi="仿宋" w:eastAsia="仿宋"/>
          <w:sz w:val="32"/>
          <w:szCs w:val="32"/>
        </w:rPr>
        <w:t>（五）竞得人有下列行为之一的，视为违约，出让人可取消其竞得人资格，已缴纳的相关费用不予退还，竞得人应承担相应的违约责任，并接受公共资源交易领域失信联合惩戒。</w:t>
      </w:r>
    </w:p>
    <w:p w14:paraId="34990937">
      <w:pPr>
        <w:spacing w:line="540" w:lineRule="exact"/>
        <w:ind w:firstLine="640" w:firstLineChars="200"/>
        <w:rPr>
          <w:rFonts w:ascii="仿宋" w:hAnsi="仿宋" w:eastAsia="仿宋"/>
          <w:sz w:val="32"/>
          <w:szCs w:val="32"/>
        </w:rPr>
      </w:pPr>
      <w:r>
        <w:rPr>
          <w:rFonts w:ascii="仿宋" w:hAnsi="仿宋" w:eastAsia="仿宋"/>
          <w:sz w:val="32"/>
          <w:szCs w:val="32"/>
        </w:rPr>
        <w:t>1．竞买人之间串通报价，损害国家利益、社会公共利益或者他人合法权益的；</w:t>
      </w:r>
    </w:p>
    <w:p w14:paraId="75562A00">
      <w:pPr>
        <w:spacing w:line="540" w:lineRule="exact"/>
        <w:ind w:firstLine="640" w:firstLineChars="200"/>
        <w:rPr>
          <w:rFonts w:ascii="仿宋" w:hAnsi="仿宋" w:eastAsia="仿宋"/>
          <w:sz w:val="32"/>
          <w:szCs w:val="32"/>
        </w:rPr>
      </w:pPr>
      <w:r>
        <w:rPr>
          <w:rFonts w:ascii="仿宋" w:hAnsi="仿宋" w:eastAsia="仿宋"/>
          <w:sz w:val="32"/>
          <w:szCs w:val="32"/>
        </w:rPr>
        <w:t>2．竞买人弄虚作假，骗取交易资格或竞得的；</w:t>
      </w:r>
    </w:p>
    <w:p w14:paraId="7E9D2270">
      <w:pPr>
        <w:spacing w:line="540" w:lineRule="exact"/>
        <w:ind w:firstLine="640" w:firstLineChars="200"/>
        <w:rPr>
          <w:rFonts w:ascii="仿宋" w:hAnsi="仿宋" w:eastAsia="仿宋"/>
          <w:sz w:val="32"/>
          <w:szCs w:val="32"/>
        </w:rPr>
      </w:pPr>
      <w:r>
        <w:rPr>
          <w:rFonts w:ascii="仿宋" w:hAnsi="仿宋" w:eastAsia="仿宋"/>
          <w:sz w:val="32"/>
          <w:szCs w:val="32"/>
        </w:rPr>
        <w:t>3．竞得人拒绝当场签订《成交确认书》的；</w:t>
      </w:r>
    </w:p>
    <w:p w14:paraId="16C872CD">
      <w:pPr>
        <w:spacing w:line="540" w:lineRule="exact"/>
        <w:ind w:firstLine="640" w:firstLineChars="200"/>
        <w:rPr>
          <w:rFonts w:ascii="仿宋" w:hAnsi="仿宋" w:eastAsia="仿宋"/>
          <w:sz w:val="32"/>
          <w:szCs w:val="32"/>
        </w:rPr>
      </w:pPr>
      <w:r>
        <w:rPr>
          <w:rFonts w:ascii="仿宋" w:hAnsi="仿宋" w:eastAsia="仿宋"/>
          <w:sz w:val="32"/>
          <w:szCs w:val="32"/>
        </w:rPr>
        <w:t>4．竞得人逾期不签订或者拒绝签订《采矿权出让合同》的；</w:t>
      </w:r>
    </w:p>
    <w:p w14:paraId="6377A369">
      <w:pPr>
        <w:spacing w:line="540" w:lineRule="exact"/>
        <w:ind w:firstLine="640" w:firstLineChars="200"/>
        <w:rPr>
          <w:rFonts w:ascii="仿宋" w:hAnsi="仿宋" w:eastAsia="仿宋"/>
          <w:sz w:val="32"/>
          <w:szCs w:val="32"/>
        </w:rPr>
      </w:pPr>
      <w:r>
        <w:rPr>
          <w:rFonts w:hint="eastAsia" w:ascii="仿宋" w:hAnsi="仿宋" w:eastAsia="仿宋"/>
          <w:sz w:val="32"/>
          <w:szCs w:val="32"/>
          <w:lang w:val="en-US" w:eastAsia="zh-CN"/>
        </w:rPr>
        <w:t>5</w:t>
      </w:r>
      <w:r>
        <w:rPr>
          <w:rFonts w:ascii="仿宋" w:hAnsi="仿宋" w:eastAsia="仿宋"/>
          <w:sz w:val="32"/>
          <w:szCs w:val="32"/>
        </w:rPr>
        <w:t>．竞得人未按合同约定的时间</w:t>
      </w:r>
      <w:r>
        <w:rPr>
          <w:rFonts w:hint="eastAsia" w:ascii="仿宋" w:hAnsi="仿宋" w:eastAsia="仿宋"/>
          <w:sz w:val="32"/>
          <w:szCs w:val="32"/>
        </w:rPr>
        <w:t>足额</w:t>
      </w:r>
      <w:r>
        <w:rPr>
          <w:rFonts w:ascii="仿宋" w:hAnsi="仿宋" w:eastAsia="仿宋"/>
          <w:sz w:val="32"/>
          <w:szCs w:val="32"/>
        </w:rPr>
        <w:t>付清矿业权出让收益或者其他相关费用的；</w:t>
      </w:r>
    </w:p>
    <w:p w14:paraId="3ED2C98C">
      <w:pPr>
        <w:spacing w:line="540" w:lineRule="exact"/>
        <w:ind w:firstLine="640" w:firstLineChars="200"/>
        <w:rPr>
          <w:rFonts w:ascii="仿宋" w:hAnsi="仿宋" w:eastAsia="仿宋"/>
          <w:sz w:val="32"/>
          <w:szCs w:val="32"/>
        </w:rPr>
      </w:pPr>
      <w:r>
        <w:rPr>
          <w:rFonts w:hint="eastAsia" w:ascii="仿宋" w:hAnsi="仿宋" w:eastAsia="仿宋"/>
          <w:sz w:val="32"/>
          <w:szCs w:val="32"/>
          <w:lang w:val="en-US" w:eastAsia="zh-CN"/>
        </w:rPr>
        <w:t>6</w:t>
      </w:r>
      <w:r>
        <w:rPr>
          <w:rFonts w:ascii="仿宋" w:hAnsi="仿宋" w:eastAsia="仿宋"/>
          <w:sz w:val="32"/>
          <w:szCs w:val="32"/>
        </w:rPr>
        <w:t>．向主管部门或者矿业权交易机构行贿或者采取其他不正当手段者竞得的；</w:t>
      </w:r>
    </w:p>
    <w:p w14:paraId="6B89021E">
      <w:pPr>
        <w:spacing w:line="540" w:lineRule="exact"/>
        <w:ind w:firstLine="640" w:firstLineChars="200"/>
        <w:rPr>
          <w:rFonts w:ascii="仿宋" w:hAnsi="仿宋" w:eastAsia="仿宋"/>
          <w:sz w:val="32"/>
          <w:szCs w:val="32"/>
        </w:rPr>
      </w:pPr>
      <w:r>
        <w:rPr>
          <w:rFonts w:hint="eastAsia" w:ascii="仿宋" w:hAnsi="仿宋" w:eastAsia="仿宋"/>
          <w:sz w:val="32"/>
          <w:szCs w:val="32"/>
          <w:lang w:val="en-US" w:eastAsia="zh-CN"/>
        </w:rPr>
        <w:t>7</w:t>
      </w:r>
      <w:r>
        <w:rPr>
          <w:rFonts w:ascii="仿宋" w:hAnsi="仿宋" w:eastAsia="仿宋"/>
          <w:sz w:val="32"/>
          <w:szCs w:val="32"/>
        </w:rPr>
        <w:t>．其他依法应当认定为违约的情形。</w:t>
      </w:r>
    </w:p>
    <w:p w14:paraId="6CE80030">
      <w:pPr>
        <w:spacing w:line="540" w:lineRule="exact"/>
        <w:ind w:firstLine="640" w:firstLineChars="200"/>
        <w:rPr>
          <w:rFonts w:ascii="仿宋" w:hAnsi="仿宋" w:eastAsia="仿宋"/>
          <w:sz w:val="32"/>
          <w:szCs w:val="32"/>
        </w:rPr>
      </w:pPr>
      <w:r>
        <w:rPr>
          <w:rFonts w:ascii="仿宋" w:hAnsi="仿宋" w:eastAsia="仿宋"/>
          <w:sz w:val="32"/>
          <w:szCs w:val="32"/>
        </w:rPr>
        <w:t>（六）拍卖出让不成交的，可由</w:t>
      </w:r>
      <w:r>
        <w:rPr>
          <w:rFonts w:hint="eastAsia" w:ascii="仿宋" w:hAnsi="仿宋" w:eastAsia="仿宋" w:cs="仿宋_GB2312"/>
          <w:sz w:val="32"/>
          <w:szCs w:val="32"/>
        </w:rPr>
        <w:t>达州市通川区自然资源局</w:t>
      </w:r>
      <w:r>
        <w:rPr>
          <w:rFonts w:ascii="仿宋" w:hAnsi="仿宋" w:eastAsia="仿宋"/>
          <w:sz w:val="32"/>
          <w:szCs w:val="32"/>
        </w:rPr>
        <w:t>按规定重新委托达州市公共资源交易服务中心组织出让。</w:t>
      </w:r>
    </w:p>
    <w:p w14:paraId="48F2A18D">
      <w:pPr>
        <w:spacing w:line="540" w:lineRule="exact"/>
        <w:ind w:firstLine="640" w:firstLineChars="200"/>
        <w:rPr>
          <w:rFonts w:ascii="仿宋" w:hAnsi="仿宋" w:eastAsia="仿宋"/>
          <w:sz w:val="32"/>
          <w:szCs w:val="32"/>
        </w:rPr>
      </w:pPr>
      <w:r>
        <w:rPr>
          <w:rFonts w:ascii="仿宋" w:hAnsi="仿宋" w:eastAsia="仿宋"/>
          <w:sz w:val="32"/>
          <w:szCs w:val="32"/>
        </w:rPr>
        <w:t>（七）采矿许可证的办理，以《采矿权出让合同》约定为准。不按期办理采矿许可证以及不履行</w:t>
      </w:r>
      <w:r>
        <w:rPr>
          <w:rFonts w:hint="eastAsia" w:ascii="仿宋" w:hAnsi="仿宋" w:eastAsia="仿宋"/>
          <w:sz w:val="32"/>
          <w:szCs w:val="32"/>
        </w:rPr>
        <w:t>《</w:t>
      </w:r>
      <w:r>
        <w:rPr>
          <w:rFonts w:ascii="仿宋" w:hAnsi="仿宋" w:eastAsia="仿宋"/>
          <w:sz w:val="32"/>
          <w:szCs w:val="32"/>
        </w:rPr>
        <w:t>采矿权出让合同</w:t>
      </w:r>
      <w:r>
        <w:rPr>
          <w:rFonts w:hint="eastAsia" w:ascii="仿宋" w:hAnsi="仿宋" w:eastAsia="仿宋"/>
          <w:sz w:val="32"/>
          <w:szCs w:val="32"/>
        </w:rPr>
        <w:t>》</w:t>
      </w:r>
      <w:r>
        <w:rPr>
          <w:rFonts w:ascii="仿宋" w:hAnsi="仿宋" w:eastAsia="仿宋"/>
          <w:sz w:val="32"/>
          <w:szCs w:val="32"/>
        </w:rPr>
        <w:t>的，均属违规违约行为。</w:t>
      </w:r>
    </w:p>
    <w:p w14:paraId="147D2485">
      <w:pPr>
        <w:spacing w:line="540" w:lineRule="exact"/>
        <w:ind w:firstLine="640" w:firstLineChars="200"/>
        <w:rPr>
          <w:rFonts w:ascii="仿宋" w:hAnsi="仿宋" w:eastAsia="仿宋"/>
          <w:sz w:val="32"/>
          <w:szCs w:val="32"/>
        </w:rPr>
      </w:pPr>
      <w:r>
        <w:rPr>
          <w:rFonts w:ascii="仿宋" w:hAnsi="仿宋" w:eastAsia="仿宋"/>
          <w:sz w:val="32"/>
          <w:szCs w:val="32"/>
        </w:rPr>
        <w:t>（八）交易过程中发生争议，本拍卖出让文件、合同有约定的，按约定执行；本拍卖出让文件、合同未约定的，由争议当事人协商解决，协商不成的，可向上级部门投诉或依法向人民法院起诉。</w:t>
      </w:r>
    </w:p>
    <w:p w14:paraId="6F185117">
      <w:pPr>
        <w:spacing w:line="540" w:lineRule="exact"/>
        <w:ind w:firstLine="640" w:firstLineChars="200"/>
        <w:rPr>
          <w:rFonts w:ascii="仿宋" w:hAnsi="仿宋" w:eastAsia="仿宋"/>
          <w:sz w:val="32"/>
          <w:szCs w:val="32"/>
        </w:rPr>
      </w:pPr>
      <w:r>
        <w:rPr>
          <w:rFonts w:ascii="仿宋" w:hAnsi="仿宋" w:eastAsia="仿宋"/>
          <w:sz w:val="32"/>
          <w:szCs w:val="32"/>
        </w:rPr>
        <w:t>（九）申请竞买涉及的相关费用（如交通住宿费用等）由竞买人自行承担。</w:t>
      </w:r>
    </w:p>
    <w:p w14:paraId="289B99AD">
      <w:pPr>
        <w:spacing w:line="540" w:lineRule="exact"/>
        <w:ind w:firstLine="640" w:firstLineChars="200"/>
        <w:rPr>
          <w:rFonts w:ascii="仿宋" w:hAnsi="仿宋" w:eastAsia="仿宋"/>
          <w:sz w:val="32"/>
          <w:szCs w:val="32"/>
        </w:rPr>
      </w:pPr>
      <w:r>
        <w:rPr>
          <w:rFonts w:ascii="仿宋" w:hAnsi="仿宋" w:eastAsia="仿宋"/>
          <w:sz w:val="32"/>
          <w:szCs w:val="32"/>
        </w:rPr>
        <w:t>（十）参加拍卖活动的竞买人及其随同人员须服从拍卖会工作人员的安排，遵守会场秩序，不得在场内高声喧哗、起哄；不得阻挠其他竞买人应价竞买和阻碍拍卖主持人进行正常的拍卖工作。竞买人必须</w:t>
      </w:r>
      <w:r>
        <w:rPr>
          <w:rFonts w:hint="eastAsia" w:ascii="仿宋" w:hAnsi="仿宋" w:eastAsia="仿宋"/>
          <w:sz w:val="32"/>
          <w:szCs w:val="32"/>
        </w:rPr>
        <w:t>等</w:t>
      </w:r>
      <w:r>
        <w:rPr>
          <w:rFonts w:ascii="仿宋" w:hAnsi="仿宋" w:eastAsia="仿宋"/>
          <w:sz w:val="32"/>
          <w:szCs w:val="32"/>
        </w:rPr>
        <w:t>主持人宣布拍卖会结束后，方可离场。</w:t>
      </w:r>
    </w:p>
    <w:p w14:paraId="7984C5F2">
      <w:pPr>
        <w:spacing w:line="540" w:lineRule="exact"/>
        <w:ind w:firstLine="640" w:firstLineChars="200"/>
        <w:rPr>
          <w:rFonts w:eastAsia="仿宋_GB2312"/>
          <w:sz w:val="32"/>
          <w:szCs w:val="32"/>
        </w:rPr>
      </w:pPr>
      <w:r>
        <w:rPr>
          <w:rFonts w:ascii="仿宋" w:hAnsi="仿宋" w:eastAsia="仿宋"/>
          <w:sz w:val="32"/>
          <w:szCs w:val="32"/>
        </w:rPr>
        <w:t>（十一）达州市公共资源交易服务中心、</w:t>
      </w:r>
      <w:r>
        <w:rPr>
          <w:rFonts w:hint="eastAsia" w:ascii="仿宋" w:hAnsi="仿宋" w:eastAsia="仿宋" w:cs="仿宋_GB2312"/>
          <w:sz w:val="32"/>
          <w:szCs w:val="32"/>
        </w:rPr>
        <w:t>达州市通川区自然资源局</w:t>
      </w:r>
      <w:r>
        <w:rPr>
          <w:rFonts w:ascii="仿宋" w:hAnsi="仿宋" w:eastAsia="仿宋"/>
          <w:sz w:val="32"/>
          <w:szCs w:val="32"/>
        </w:rPr>
        <w:t>对本《须知》有解释权，其他未尽事宜依照《中华人民共和国矿产资源法》《矿业权出让交易规则》等相关法律法规的规定办理。</w:t>
      </w:r>
    </w:p>
    <w:p w14:paraId="29A75C8B">
      <w:pPr>
        <w:spacing w:line="578" w:lineRule="exact"/>
        <w:rPr>
          <w:rFonts w:eastAsia="仿宋_GB2312"/>
          <w:sz w:val="32"/>
          <w:szCs w:val="32"/>
        </w:rPr>
        <w:sectPr>
          <w:pgSz w:w="11906" w:h="16838"/>
          <w:pgMar w:top="2098" w:right="1474" w:bottom="1985" w:left="1588" w:header="851" w:footer="1588" w:gutter="0"/>
          <w:pgNumType w:fmt="numberInDash"/>
          <w:cols w:space="720" w:num="1"/>
          <w:docGrid w:linePitch="436" w:charSpace="0"/>
        </w:sectPr>
      </w:pPr>
    </w:p>
    <w:p w14:paraId="15F77745">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bookmarkStart w:id="28" w:name="_Toc141218089"/>
      <w:bookmarkStart w:id="29" w:name="_Toc141217386"/>
      <w:bookmarkStart w:id="30" w:name="_Toc141217782"/>
      <w:r>
        <w:rPr>
          <w:rFonts w:ascii="Times New Roman" w:hAnsi="Times New Roman" w:eastAsia="方正小标宋简体"/>
          <w:b w:val="0"/>
          <w:bCs w:val="0"/>
          <w:sz w:val="44"/>
          <w:szCs w:val="44"/>
        </w:rPr>
        <w:t>竞买申请书（样本）</w:t>
      </w:r>
      <w:bookmarkEnd w:id="28"/>
      <w:bookmarkEnd w:id="29"/>
      <w:bookmarkEnd w:id="30"/>
    </w:p>
    <w:p w14:paraId="620E0A36">
      <w:pPr>
        <w:pStyle w:val="53"/>
        <w:widowControl w:val="0"/>
        <w:spacing w:line="578" w:lineRule="exact"/>
        <w:ind w:left="0" w:firstLine="640" w:firstLineChars="200"/>
        <w:rPr>
          <w:rFonts w:eastAsia="仿宋"/>
          <w:sz w:val="32"/>
          <w:szCs w:val="32"/>
        </w:rPr>
      </w:pPr>
    </w:p>
    <w:p w14:paraId="2643D524">
      <w:pPr>
        <w:pStyle w:val="53"/>
        <w:widowControl w:val="0"/>
        <w:spacing w:line="578" w:lineRule="exact"/>
        <w:rPr>
          <w:rFonts w:ascii="仿宋" w:hAnsi="仿宋" w:eastAsia="仿宋"/>
          <w:bCs/>
          <w:sz w:val="32"/>
          <w:szCs w:val="32"/>
        </w:rPr>
      </w:pPr>
      <w:r>
        <w:rPr>
          <w:rFonts w:ascii="仿宋" w:hAnsi="仿宋" w:eastAsia="仿宋"/>
          <w:bCs/>
          <w:sz w:val="32"/>
          <w:szCs w:val="32"/>
        </w:rPr>
        <w:t>达州市公共资源交易服务中心：</w:t>
      </w:r>
    </w:p>
    <w:p w14:paraId="3E7A4B14">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经认真阅读《</w:t>
      </w:r>
      <w:r>
        <w:rPr>
          <w:rFonts w:hint="eastAsia" w:ascii="仿宋" w:hAnsi="仿宋" w:eastAsia="仿宋"/>
          <w:sz w:val="32"/>
          <w:szCs w:val="32"/>
          <w:u w:val="single"/>
        </w:rPr>
        <w:t>达州市通川区双龙镇茶店村饰面用砂岩矿采矿权</w:t>
      </w:r>
      <w:r>
        <w:rPr>
          <w:rFonts w:ascii="仿宋" w:hAnsi="仿宋" w:eastAsia="仿宋"/>
          <w:sz w:val="32"/>
          <w:szCs w:val="32"/>
        </w:rPr>
        <w:t>拍卖出让文件》，并实地踏勘后，我方对所有文件及出让采矿权的现状、地质条件、资源储量、安全生产条件、存在的采矿风险情况等均已知晓且无异议，完全接受并愿意遵守你中心矿业权拍卖出让文件中的规定和要求。</w:t>
      </w:r>
    </w:p>
    <w:p w14:paraId="1CEF670A">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我方现正式申请参加</w:t>
      </w:r>
      <w:r>
        <w:rPr>
          <w:rFonts w:ascii="仿宋" w:hAnsi="仿宋" w:eastAsia="仿宋"/>
          <w:sz w:val="32"/>
          <w:szCs w:val="32"/>
          <w:u w:val="single"/>
        </w:rPr>
        <w:t>202</w:t>
      </w:r>
      <w:r>
        <w:rPr>
          <w:rFonts w:hint="eastAsia" w:ascii="仿宋" w:hAnsi="仿宋" w:eastAsia="仿宋"/>
          <w:sz w:val="32"/>
          <w:szCs w:val="32"/>
          <w:u w:val="single"/>
          <w:lang w:val="en-US" w:eastAsia="zh-CN"/>
        </w:rPr>
        <w:t>6</w:t>
      </w:r>
      <w:r>
        <w:rPr>
          <w:rFonts w:ascii="仿宋" w:hAnsi="仿宋" w:eastAsia="仿宋"/>
          <w:sz w:val="32"/>
          <w:szCs w:val="32"/>
          <w:u w:val="single"/>
        </w:rPr>
        <w:t>年 月 日</w:t>
      </w:r>
      <w:r>
        <w:rPr>
          <w:rFonts w:ascii="仿宋" w:hAnsi="仿宋" w:eastAsia="仿宋"/>
          <w:sz w:val="32"/>
          <w:szCs w:val="32"/>
        </w:rPr>
        <w:t>在你中心</w:t>
      </w:r>
      <w:r>
        <w:rPr>
          <w:rFonts w:ascii="仿宋" w:hAnsi="仿宋" w:eastAsia="仿宋"/>
          <w:sz w:val="32"/>
          <w:szCs w:val="32"/>
          <w:u w:val="single"/>
        </w:rPr>
        <w:t xml:space="preserve">开标 </w:t>
      </w:r>
      <w:r>
        <w:rPr>
          <w:rFonts w:hint="eastAsia" w:ascii="仿宋" w:hAnsi="仿宋" w:eastAsia="仿宋"/>
          <w:sz w:val="32"/>
          <w:szCs w:val="32"/>
          <w:u w:val="single"/>
        </w:rPr>
        <w:t xml:space="preserve"> </w:t>
      </w:r>
      <w:r>
        <w:rPr>
          <w:rFonts w:ascii="仿宋" w:hAnsi="仿宋" w:eastAsia="仿宋"/>
          <w:sz w:val="32"/>
          <w:szCs w:val="32"/>
          <w:u w:val="single"/>
        </w:rPr>
        <w:t>厅</w:t>
      </w:r>
      <w:r>
        <w:rPr>
          <w:rFonts w:ascii="仿宋" w:hAnsi="仿宋" w:eastAsia="仿宋"/>
          <w:sz w:val="32"/>
          <w:szCs w:val="32"/>
        </w:rPr>
        <w:t>举行的</w:t>
      </w:r>
      <w:r>
        <w:rPr>
          <w:rFonts w:hint="eastAsia" w:ascii="仿宋" w:hAnsi="仿宋" w:eastAsia="仿宋"/>
          <w:sz w:val="32"/>
          <w:szCs w:val="32"/>
          <w:u w:val="single"/>
        </w:rPr>
        <w:t>达州市通川区双龙镇茶店村饰面用砂岩矿采矿权</w:t>
      </w:r>
      <w:r>
        <w:rPr>
          <w:rFonts w:ascii="仿宋" w:hAnsi="仿宋" w:eastAsia="仿宋"/>
          <w:sz w:val="32"/>
          <w:szCs w:val="32"/>
        </w:rPr>
        <w:t>拍卖活动。</w:t>
      </w:r>
    </w:p>
    <w:p w14:paraId="559FC0EF">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若能竞得该采矿权，我方保证：</w:t>
      </w:r>
    </w:p>
    <w:p w14:paraId="610469D8">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（一）竞得采矿权后，当场签定《成交确认书》，并在规定时间内支付相关费用、签定《采矿权出让合同》、缴纳矿业权出让收益。</w:t>
      </w:r>
    </w:p>
    <w:p w14:paraId="0D154ADD">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（二）按照拍卖出让文件的规定和要求履行全部义务，如有违约行为，我方愿意承担全部法律责任，赔偿由此产生的损失，并接受失信联合惩戒。</w:t>
      </w:r>
    </w:p>
    <w:p w14:paraId="4F3D78BE">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（三）若我方不按拍卖出让文件要求签订《成交确认书》、支付相关费用</w:t>
      </w:r>
      <w:r>
        <w:rPr>
          <w:rFonts w:hint="eastAsia" w:ascii="仿宋" w:hAnsi="仿宋" w:eastAsia="仿宋"/>
          <w:sz w:val="32"/>
          <w:szCs w:val="32"/>
        </w:rPr>
        <w:t>及</w:t>
      </w:r>
      <w:r>
        <w:rPr>
          <w:rFonts w:ascii="仿宋" w:hAnsi="仿宋" w:eastAsia="仿宋"/>
          <w:sz w:val="32"/>
          <w:szCs w:val="32"/>
        </w:rPr>
        <w:t>签订《采矿权出让合同》，或不按《采矿出让合同》约定</w:t>
      </w:r>
      <w:r>
        <w:rPr>
          <w:rFonts w:hint="eastAsia" w:ascii="仿宋" w:hAnsi="仿宋" w:eastAsia="仿宋"/>
          <w:sz w:val="32"/>
          <w:szCs w:val="32"/>
        </w:rPr>
        <w:t>足额</w:t>
      </w:r>
      <w:r>
        <w:rPr>
          <w:rFonts w:ascii="仿宋" w:hAnsi="仿宋" w:eastAsia="仿宋"/>
          <w:sz w:val="32"/>
          <w:szCs w:val="32"/>
        </w:rPr>
        <w:t>缴纳矿业权出让收益并达到解除合同条件的，我方愿意承担相应的法律后果。</w:t>
      </w:r>
    </w:p>
    <w:p w14:paraId="24BD1093">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现提交竞买申请及相关证件、材料，请审查。</w:t>
      </w:r>
    </w:p>
    <w:p w14:paraId="0862F9F7">
      <w:pPr>
        <w:pStyle w:val="53"/>
        <w:widowControl w:val="0"/>
        <w:spacing w:line="578" w:lineRule="exact"/>
        <w:ind w:left="0" w:firstLine="643" w:firstLineChars="200"/>
        <w:rPr>
          <w:rFonts w:ascii="仿宋" w:hAnsi="仿宋" w:eastAsia="仿宋"/>
          <w:b/>
          <w:sz w:val="32"/>
          <w:szCs w:val="32"/>
        </w:rPr>
      </w:pPr>
    </w:p>
    <w:p w14:paraId="461B76EB">
      <w:pPr>
        <w:spacing w:line="578" w:lineRule="exact"/>
        <w:ind w:firstLine="643" w:firstLineChars="200"/>
        <w:rPr>
          <w:rFonts w:ascii="仿宋" w:hAnsi="仿宋" w:eastAsia="仿宋"/>
          <w:sz w:val="32"/>
          <w:szCs w:val="32"/>
        </w:rPr>
      </w:pPr>
      <w:r>
        <w:rPr>
          <w:rFonts w:ascii="仿宋" w:hAnsi="仿宋" w:eastAsia="仿宋"/>
          <w:b/>
          <w:sz w:val="32"/>
          <w:szCs w:val="32"/>
        </w:rPr>
        <w:t>附：</w:t>
      </w:r>
      <w:r>
        <w:rPr>
          <w:rFonts w:ascii="仿宋" w:hAnsi="仿宋" w:eastAsia="仿宋"/>
          <w:sz w:val="32"/>
          <w:szCs w:val="32"/>
        </w:rPr>
        <w:t>1．企业法人营业执照（事业单位提供法人证书）复印件（加盖公章）；2．企业信用报告（原件）；3．法定代表人有效身份证明文件（原件）；4．法定代表人身份证复印件（加盖公章）；5．授权委托书（原件）；6．受托人身份证复印件（加盖公章）；7．竞买保证金交纳凭证（原件）；8．竞买承诺书（原件）；9．无失信行为承诺书（原件）；10．其它应提供的材料等。</w:t>
      </w:r>
    </w:p>
    <w:p w14:paraId="4EBDFFE1">
      <w:pPr>
        <w:pStyle w:val="53"/>
        <w:widowControl w:val="0"/>
        <w:spacing w:line="578" w:lineRule="exact"/>
        <w:ind w:left="0" w:firstLine="640" w:firstLineChars="200"/>
        <w:rPr>
          <w:rFonts w:ascii="仿宋" w:hAnsi="仿宋" w:eastAsia="仿宋"/>
          <w:sz w:val="32"/>
          <w:szCs w:val="32"/>
        </w:rPr>
      </w:pPr>
    </w:p>
    <w:p w14:paraId="3BCDBF3C">
      <w:pPr>
        <w:pStyle w:val="53"/>
        <w:widowControl w:val="0"/>
        <w:spacing w:line="578" w:lineRule="exact"/>
        <w:ind w:left="0" w:firstLine="640" w:firstLineChars="200"/>
        <w:rPr>
          <w:rFonts w:ascii="仿宋" w:hAnsi="仿宋" w:eastAsia="仿宋"/>
          <w:sz w:val="32"/>
          <w:szCs w:val="32"/>
        </w:rPr>
      </w:pPr>
    </w:p>
    <w:p w14:paraId="7C824FA8">
      <w:pPr>
        <w:pStyle w:val="53"/>
        <w:widowControl w:val="0"/>
        <w:spacing w:line="578" w:lineRule="exact"/>
        <w:ind w:left="0" w:firstLine="640" w:firstLineChars="200"/>
        <w:rPr>
          <w:rFonts w:ascii="仿宋" w:hAnsi="仿宋" w:eastAsia="仿宋"/>
          <w:sz w:val="32"/>
          <w:szCs w:val="32"/>
        </w:rPr>
      </w:pPr>
    </w:p>
    <w:p w14:paraId="00AAE717">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竞买申请人（盖章）：</w:t>
      </w:r>
    </w:p>
    <w:p w14:paraId="56CF9925">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法定代表人（委托代理人）签名：</w:t>
      </w:r>
    </w:p>
    <w:p w14:paraId="779ADCE1">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联系人：</w:t>
      </w:r>
    </w:p>
    <w:p w14:paraId="62D645E2">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联系电话：</w:t>
      </w:r>
    </w:p>
    <w:p w14:paraId="1A24D74C">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企业（单位）地址：</w:t>
      </w:r>
    </w:p>
    <w:p w14:paraId="1C1B8A82">
      <w:pPr>
        <w:pStyle w:val="53"/>
        <w:widowControl w:val="0"/>
        <w:spacing w:line="578" w:lineRule="exact"/>
        <w:ind w:left="0" w:firstLine="4297" w:firstLineChars="1343"/>
        <w:rPr>
          <w:rFonts w:ascii="仿宋" w:hAnsi="仿宋" w:eastAsia="仿宋"/>
          <w:sz w:val="32"/>
          <w:szCs w:val="32"/>
        </w:rPr>
      </w:pPr>
      <w:r>
        <w:rPr>
          <w:rFonts w:ascii="仿宋" w:hAnsi="仿宋" w:eastAsia="仿宋"/>
          <w:sz w:val="32"/>
          <w:szCs w:val="32"/>
        </w:rPr>
        <w:t>申请日期：202</w:t>
      </w:r>
      <w:r>
        <w:rPr>
          <w:rFonts w:hint="eastAsia" w:ascii="仿宋" w:hAnsi="仿宋" w:eastAsia="仿宋"/>
          <w:sz w:val="32"/>
          <w:szCs w:val="32"/>
          <w:lang w:val="en-US" w:eastAsia="zh-CN"/>
        </w:rPr>
        <w:t>6</w:t>
      </w:r>
      <w:r>
        <w:rPr>
          <w:rFonts w:ascii="仿宋" w:hAnsi="仿宋" w:eastAsia="仿宋"/>
          <w:sz w:val="32"/>
          <w:szCs w:val="32"/>
        </w:rPr>
        <w:t>年  月  日</w:t>
      </w:r>
    </w:p>
    <w:p w14:paraId="380CF996">
      <w:pPr>
        <w:pStyle w:val="53"/>
        <w:widowControl w:val="0"/>
        <w:spacing w:line="578" w:lineRule="exact"/>
        <w:ind w:left="0" w:firstLine="2274" w:firstLineChars="708"/>
        <w:rPr>
          <w:rFonts w:eastAsia="仿宋_GB2312"/>
          <w:b/>
          <w:sz w:val="32"/>
          <w:szCs w:val="32"/>
        </w:rPr>
      </w:pPr>
      <w:r>
        <w:rPr>
          <w:rFonts w:ascii="仿宋" w:hAnsi="仿宋" w:eastAsia="仿宋"/>
          <w:b/>
          <w:sz w:val="32"/>
          <w:szCs w:val="32"/>
        </w:rPr>
        <w:t>（参与竞买的，竞买时须带上公章）</w:t>
      </w:r>
    </w:p>
    <w:p w14:paraId="2CE44EF1">
      <w:pPr>
        <w:spacing w:line="578" w:lineRule="exact"/>
        <w:jc w:val="center"/>
        <w:rPr>
          <w:rFonts w:eastAsia="仿宋"/>
          <w:sz w:val="32"/>
          <w:szCs w:val="32"/>
        </w:rPr>
      </w:pPr>
    </w:p>
    <w:p w14:paraId="478ADB8F">
      <w:pPr>
        <w:spacing w:line="578" w:lineRule="exact"/>
        <w:rPr>
          <w:rFonts w:eastAsia="仿宋"/>
          <w:sz w:val="32"/>
          <w:szCs w:val="32"/>
        </w:rPr>
        <w:sectPr>
          <w:pgSz w:w="11906" w:h="16838"/>
          <w:pgMar w:top="2098" w:right="1474" w:bottom="1985" w:left="1588" w:header="851" w:footer="1588" w:gutter="0"/>
          <w:pgNumType w:fmt="numberInDash"/>
          <w:cols w:space="720" w:num="1"/>
          <w:docGrid w:linePitch="436" w:charSpace="0"/>
        </w:sectPr>
      </w:pPr>
    </w:p>
    <w:p w14:paraId="259CEEF9">
      <w:pPr>
        <w:pStyle w:val="2"/>
        <w:keepNext w:val="0"/>
        <w:keepLines w:val="0"/>
        <w:adjustRightInd/>
        <w:snapToGrid/>
        <w:spacing w:before="0" w:after="0" w:line="580" w:lineRule="exact"/>
        <w:ind w:firstLine="0" w:firstLineChars="0"/>
        <w:rPr>
          <w:rFonts w:ascii="Times New Roman" w:hAnsi="Times New Roman" w:eastAsia="仿宋"/>
          <w:b w:val="0"/>
          <w:bCs w:val="0"/>
          <w:sz w:val="32"/>
          <w:szCs w:val="32"/>
        </w:rPr>
      </w:pPr>
      <w:bookmarkStart w:id="31" w:name="_Toc20190"/>
      <w:bookmarkStart w:id="32" w:name="_Toc4930"/>
      <w:bookmarkStart w:id="33" w:name="_Toc141217387"/>
      <w:bookmarkStart w:id="34" w:name="_Toc141217783"/>
      <w:bookmarkStart w:id="35" w:name="_Toc141218090"/>
      <w:r>
        <w:rPr>
          <w:rFonts w:ascii="Times New Roman" w:hAnsi="Times New Roman" w:eastAsia="方正小标宋简体"/>
          <w:b w:val="0"/>
          <w:bCs w:val="0"/>
          <w:sz w:val="44"/>
          <w:szCs w:val="44"/>
        </w:rPr>
        <w:t>竞买承诺书</w:t>
      </w:r>
      <w:bookmarkEnd w:id="31"/>
      <w:bookmarkEnd w:id="32"/>
      <w:r>
        <w:rPr>
          <w:rFonts w:ascii="Times New Roman" w:hAnsi="Times New Roman" w:eastAsia="方正小标宋简体"/>
          <w:b w:val="0"/>
          <w:bCs w:val="0"/>
          <w:sz w:val="44"/>
          <w:szCs w:val="44"/>
        </w:rPr>
        <w:t>（样本</w:t>
      </w:r>
      <w:r>
        <w:rPr>
          <w:rFonts w:ascii="Times New Roman" w:hAnsi="Times New Roman" w:eastAsia="仿宋"/>
          <w:b w:val="0"/>
          <w:bCs w:val="0"/>
          <w:sz w:val="32"/>
          <w:szCs w:val="32"/>
        </w:rPr>
        <w:t>）</w:t>
      </w:r>
      <w:bookmarkEnd w:id="33"/>
      <w:bookmarkEnd w:id="34"/>
      <w:bookmarkEnd w:id="35"/>
    </w:p>
    <w:p w14:paraId="284131C9"/>
    <w:p w14:paraId="592BE1DE">
      <w:pPr>
        <w:spacing w:line="578" w:lineRule="exact"/>
        <w:rPr>
          <w:rFonts w:ascii="仿宋" w:hAnsi="仿宋" w:eastAsia="仿宋"/>
          <w:sz w:val="32"/>
          <w:szCs w:val="32"/>
        </w:rPr>
      </w:pPr>
      <w:bookmarkStart w:id="36" w:name="_Toc23822"/>
      <w:bookmarkStart w:id="37" w:name="_Toc12729"/>
      <w:bookmarkStart w:id="38" w:name="_Toc17685"/>
      <w:bookmarkStart w:id="39" w:name="_Toc141218091"/>
      <w:bookmarkStart w:id="40" w:name="_Toc141217388"/>
      <w:bookmarkStart w:id="41" w:name="_Toc141217784"/>
      <w:r>
        <w:rPr>
          <w:rFonts w:ascii="仿宋" w:hAnsi="仿宋" w:eastAsia="仿宋"/>
          <w:sz w:val="32"/>
          <w:szCs w:val="32"/>
        </w:rPr>
        <w:t>达州市公共资源交易服务中心：</w:t>
      </w:r>
    </w:p>
    <w:p w14:paraId="4D71910D">
      <w:pPr>
        <w:spacing w:line="578" w:lineRule="exact"/>
        <w:ind w:firstLine="640" w:firstLineChars="200"/>
        <w:rPr>
          <w:rFonts w:ascii="仿宋" w:hAnsi="仿宋" w:eastAsia="仿宋"/>
          <w:color w:val="auto"/>
          <w:sz w:val="32"/>
          <w:szCs w:val="32"/>
        </w:rPr>
      </w:pPr>
      <w:r>
        <w:rPr>
          <w:rFonts w:ascii="仿宋" w:hAnsi="仿宋" w:eastAsia="仿宋"/>
          <w:sz w:val="32"/>
          <w:szCs w:val="32"/>
        </w:rPr>
        <w:t>我方自愿参加</w:t>
      </w:r>
      <w:r>
        <w:rPr>
          <w:rFonts w:ascii="仿宋" w:hAnsi="仿宋" w:eastAsia="仿宋"/>
          <w:sz w:val="32"/>
          <w:szCs w:val="32"/>
          <w:u w:val="single"/>
        </w:rPr>
        <w:t>20</w:t>
      </w:r>
      <w:r>
        <w:rPr>
          <w:rFonts w:hint="eastAsia" w:ascii="仿宋" w:hAnsi="仿宋" w:eastAsia="仿宋"/>
          <w:sz w:val="32"/>
          <w:szCs w:val="32"/>
          <w:u w:val="single"/>
          <w:lang w:val="en-US" w:eastAsia="zh-CN"/>
        </w:rPr>
        <w:t>26</w:t>
      </w:r>
      <w:r>
        <w:rPr>
          <w:rFonts w:ascii="仿宋" w:hAnsi="仿宋" w:eastAsia="仿宋"/>
          <w:sz w:val="32"/>
          <w:szCs w:val="32"/>
          <w:u w:val="single"/>
        </w:rPr>
        <w:t>年  月  日</w:t>
      </w:r>
      <w:r>
        <w:rPr>
          <w:rFonts w:ascii="仿宋" w:hAnsi="仿宋" w:eastAsia="仿宋"/>
          <w:sz w:val="32"/>
          <w:szCs w:val="32"/>
        </w:rPr>
        <w:t>在贵中心举行的</w:t>
      </w:r>
      <w:r>
        <w:rPr>
          <w:rFonts w:hint="eastAsia" w:ascii="仿宋" w:hAnsi="仿宋" w:eastAsia="仿宋"/>
          <w:sz w:val="32"/>
          <w:szCs w:val="32"/>
          <w:u w:val="single"/>
        </w:rPr>
        <w:t>达州市通川区双龙镇茶店村饰面用砂岩矿采矿权</w:t>
      </w:r>
      <w:r>
        <w:rPr>
          <w:rFonts w:ascii="仿宋" w:hAnsi="仿宋" w:eastAsia="仿宋"/>
          <w:color w:val="auto"/>
          <w:sz w:val="32"/>
          <w:szCs w:val="32"/>
        </w:rPr>
        <w:t>拍卖活动，并承诺如下：</w:t>
      </w:r>
    </w:p>
    <w:p w14:paraId="79126DF2">
      <w:pPr>
        <w:spacing w:line="578" w:lineRule="exact"/>
        <w:ind w:firstLine="640"/>
        <w:rPr>
          <w:rFonts w:ascii="仿宋" w:hAnsi="仿宋" w:eastAsia="仿宋"/>
          <w:color w:val="auto"/>
          <w:sz w:val="32"/>
          <w:szCs w:val="32"/>
        </w:rPr>
      </w:pPr>
      <w:r>
        <w:rPr>
          <w:rFonts w:ascii="仿宋" w:hAnsi="仿宋" w:eastAsia="仿宋"/>
          <w:color w:val="auto"/>
          <w:sz w:val="32"/>
          <w:szCs w:val="32"/>
        </w:rPr>
        <w:t>一、经认真审阅拍卖出让文件，并实地踏勘，我方对</w:t>
      </w:r>
      <w:r>
        <w:rPr>
          <w:rFonts w:ascii="仿宋" w:hAnsi="仿宋" w:eastAsia="仿宋"/>
          <w:snapToGrid w:val="0"/>
          <w:color w:val="auto"/>
          <w:kern w:val="0"/>
          <w:sz w:val="32"/>
          <w:szCs w:val="32"/>
        </w:rPr>
        <w:t>该出让采矿权</w:t>
      </w:r>
      <w:r>
        <w:rPr>
          <w:rFonts w:ascii="仿宋" w:hAnsi="仿宋" w:eastAsia="仿宋"/>
          <w:color w:val="auto"/>
          <w:sz w:val="32"/>
          <w:szCs w:val="32"/>
        </w:rPr>
        <w:t>的矿权现状、地质条件、资源储量、安全生产条件、采矿风险等均已知晓且无异议</w:t>
      </w:r>
      <w:r>
        <w:rPr>
          <w:rFonts w:hint="eastAsia" w:ascii="仿宋" w:hAnsi="仿宋" w:eastAsia="仿宋"/>
          <w:color w:val="auto"/>
          <w:sz w:val="32"/>
          <w:szCs w:val="32"/>
          <w:lang w:val="en-US" w:eastAsia="zh-CN"/>
        </w:rPr>
        <w:t>，</w:t>
      </w:r>
      <w:r>
        <w:rPr>
          <w:rFonts w:hint="eastAsia" w:ascii="仿宋" w:hAnsi="仿宋" w:eastAsia="仿宋"/>
          <w:sz w:val="32"/>
          <w:szCs w:val="32"/>
        </w:rPr>
        <w:t>并自愿承担相关风险</w:t>
      </w:r>
      <w:r>
        <w:rPr>
          <w:rFonts w:hint="eastAsia" w:ascii="仿宋" w:hAnsi="仿宋" w:eastAsia="仿宋"/>
          <w:color w:val="auto"/>
          <w:sz w:val="32"/>
          <w:szCs w:val="32"/>
        </w:rPr>
        <w:t>；</w:t>
      </w:r>
      <w:r>
        <w:rPr>
          <w:rFonts w:ascii="仿宋" w:hAnsi="仿宋" w:eastAsia="仿宋"/>
          <w:color w:val="auto"/>
          <w:sz w:val="32"/>
          <w:szCs w:val="32"/>
        </w:rPr>
        <w:t>我方具有</w:t>
      </w:r>
      <w:r>
        <w:rPr>
          <w:rFonts w:ascii="仿宋" w:hAnsi="仿宋" w:eastAsia="仿宋"/>
          <w:snapToGrid w:val="0"/>
          <w:color w:val="auto"/>
          <w:kern w:val="0"/>
          <w:sz w:val="32"/>
          <w:szCs w:val="32"/>
        </w:rPr>
        <w:t>与开采该矿相匹配的资金实力，</w:t>
      </w:r>
      <w:r>
        <w:rPr>
          <w:rFonts w:ascii="仿宋" w:hAnsi="仿宋" w:eastAsia="仿宋"/>
          <w:color w:val="auto"/>
          <w:sz w:val="32"/>
          <w:szCs w:val="32"/>
        </w:rPr>
        <w:t>愿意承担所有投资风险，完全接受并愿意遵守你中心采矿权拍卖出让文件中的规定和要求，自愿参与上述采矿权的竞买。</w:t>
      </w:r>
    </w:p>
    <w:p w14:paraId="414EA22C">
      <w:pPr>
        <w:spacing w:line="578" w:lineRule="exact"/>
        <w:ind w:firstLine="640" w:firstLineChars="200"/>
        <w:rPr>
          <w:rFonts w:ascii="仿宋" w:hAnsi="仿宋" w:eastAsia="仿宋"/>
          <w:color w:val="auto"/>
          <w:sz w:val="32"/>
          <w:szCs w:val="32"/>
        </w:rPr>
      </w:pPr>
      <w:r>
        <w:rPr>
          <w:rFonts w:ascii="仿宋" w:hAnsi="仿宋" w:eastAsia="仿宋"/>
          <w:color w:val="auto"/>
          <w:sz w:val="32"/>
          <w:szCs w:val="32"/>
        </w:rPr>
        <w:t>二、在申请时所提交的相关证明文件及资料客观、真实、有效。若我方提交虚假证明文件或资料，一经查实，贵中心有权取消我方竞买人资格；若我方已经竞得该矿权，贵中心有权取消我方竞得资格。同时，贵中心有权进一步追究我方的其他相关法律责任。</w:t>
      </w:r>
    </w:p>
    <w:p w14:paraId="22DB3B89">
      <w:pPr>
        <w:spacing w:line="578" w:lineRule="exact"/>
        <w:ind w:firstLine="640" w:firstLineChars="200"/>
        <w:rPr>
          <w:rFonts w:ascii="仿宋" w:hAnsi="仿宋" w:eastAsia="仿宋"/>
          <w:color w:val="auto"/>
          <w:sz w:val="32"/>
          <w:szCs w:val="32"/>
        </w:rPr>
      </w:pPr>
      <w:r>
        <w:rPr>
          <w:rFonts w:ascii="仿宋" w:hAnsi="仿宋" w:eastAsia="仿宋"/>
          <w:color w:val="auto"/>
          <w:sz w:val="32"/>
          <w:szCs w:val="32"/>
        </w:rPr>
        <w:t>三、不与关联企业、母子公司、上下级隶属关系及投资关系的单位或个人参与同一宗采矿权的竞买。</w:t>
      </w:r>
    </w:p>
    <w:p w14:paraId="7D5EE0CE">
      <w:pPr>
        <w:spacing w:line="578" w:lineRule="exact"/>
        <w:ind w:firstLine="640" w:firstLineChars="200"/>
        <w:rPr>
          <w:rFonts w:hint="eastAsia" w:ascii="仿宋" w:hAnsi="仿宋" w:eastAsia="仿宋"/>
          <w:sz w:val="32"/>
          <w:szCs w:val="32"/>
        </w:rPr>
      </w:pPr>
      <w:r>
        <w:rPr>
          <w:rFonts w:ascii="仿宋" w:hAnsi="仿宋" w:eastAsia="仿宋"/>
          <w:color w:val="auto"/>
          <w:sz w:val="32"/>
          <w:szCs w:val="32"/>
        </w:rPr>
        <w:t>四、</w:t>
      </w:r>
      <w:r>
        <w:rPr>
          <w:rFonts w:hint="eastAsia" w:ascii="仿宋" w:hAnsi="仿宋" w:eastAsia="仿宋"/>
          <w:sz w:val="32"/>
          <w:szCs w:val="32"/>
        </w:rPr>
        <w:t>履行矿区生态修复义务以及严格按照绿色矿山建设标准建设绿色矿山。</w:t>
      </w:r>
    </w:p>
    <w:p w14:paraId="41E0A81C">
      <w:pPr>
        <w:spacing w:line="578"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五、</w:t>
      </w:r>
      <w:r>
        <w:rPr>
          <w:rFonts w:hint="eastAsia" w:ascii="仿宋" w:hAnsi="仿宋" w:eastAsia="仿宋"/>
          <w:sz w:val="32"/>
          <w:szCs w:val="32"/>
        </w:rPr>
        <w:t>采矿许可证到期后，立即停止采矿活动。是否继续设置（办理采矿权延续登记），由审批登记发证机关按照当时的国家产业政策、矿产资源规划和相关法律法规等依法决定。</w:t>
      </w:r>
    </w:p>
    <w:p w14:paraId="4256CBCE">
      <w:pPr>
        <w:spacing w:line="578"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六、</w:t>
      </w:r>
      <w:r>
        <w:rPr>
          <w:rFonts w:hint="eastAsia" w:ascii="仿宋" w:hAnsi="仿宋" w:eastAsia="仿宋"/>
          <w:sz w:val="32"/>
          <w:szCs w:val="32"/>
        </w:rPr>
        <w:t>对进矿道路扩建、新建、改建以及生产加工、弃土堆放需要拆除（拆迁）的由矿业权竞得人自行协商解决，并依法办理用林用地手续，并自行承担相关费用。</w:t>
      </w:r>
    </w:p>
    <w:p w14:paraId="3E36A37A">
      <w:pPr>
        <w:spacing w:line="578" w:lineRule="exact"/>
        <w:ind w:firstLine="640" w:firstLineChars="200"/>
        <w:rPr>
          <w:rFonts w:hint="eastAsia" w:ascii="仿宋" w:hAnsi="仿宋" w:eastAsia="仿宋"/>
          <w:sz w:val="32"/>
          <w:szCs w:val="32"/>
        </w:rPr>
      </w:pPr>
      <w:r>
        <w:rPr>
          <w:rFonts w:hint="eastAsia" w:ascii="仿宋" w:hAnsi="仿宋" w:eastAsia="仿宋"/>
          <w:sz w:val="32"/>
          <w:szCs w:val="32"/>
          <w:lang w:val="en-US" w:eastAsia="zh-CN"/>
        </w:rPr>
        <w:t>七、</w:t>
      </w:r>
      <w:r>
        <w:rPr>
          <w:rFonts w:hint="eastAsia" w:ascii="仿宋" w:hAnsi="仿宋" w:eastAsia="仿宋"/>
          <w:sz w:val="32"/>
          <w:szCs w:val="32"/>
        </w:rPr>
        <w:t>未按期签订《采矿权出让合同》、未按约定缴纳采矿权出让收益，《成交确认书》自动作废，纳入公共资源交易领域失信名单实施联合惩戒，并从保证金中代扣成交价20%违约金履行违约责任。</w:t>
      </w:r>
    </w:p>
    <w:p w14:paraId="251FCB6F">
      <w:pPr>
        <w:spacing w:line="578" w:lineRule="exact"/>
        <w:ind w:firstLine="640" w:firstLineChars="200"/>
        <w:rPr>
          <w:rFonts w:ascii="仿宋" w:hAnsi="仿宋" w:eastAsia="仿宋"/>
          <w:color w:val="auto"/>
          <w:sz w:val="32"/>
          <w:szCs w:val="32"/>
        </w:rPr>
      </w:pPr>
      <w:r>
        <w:rPr>
          <w:rFonts w:hint="eastAsia" w:ascii="仿宋" w:hAnsi="仿宋" w:eastAsia="仿宋"/>
          <w:color w:val="auto"/>
          <w:sz w:val="32"/>
          <w:szCs w:val="32"/>
          <w:lang w:val="en-US" w:eastAsia="zh-CN"/>
        </w:rPr>
        <w:t>八</w:t>
      </w:r>
      <w:r>
        <w:rPr>
          <w:rFonts w:ascii="仿宋" w:hAnsi="仿宋" w:eastAsia="仿宋"/>
          <w:color w:val="auto"/>
          <w:sz w:val="32"/>
          <w:szCs w:val="32"/>
        </w:rPr>
        <w:t>、若该宗采矿权与油气矿业权存在重叠，我方将按规定与油气矿业权人签订互不影响和权益保护协议，并在</w:t>
      </w:r>
      <w:r>
        <w:rPr>
          <w:rFonts w:ascii="仿宋" w:hAnsi="仿宋" w:eastAsia="仿宋"/>
          <w:snapToGrid w:val="0"/>
          <w:color w:val="auto"/>
          <w:kern w:val="0"/>
          <w:sz w:val="32"/>
          <w:szCs w:val="32"/>
        </w:rPr>
        <w:t>矿山开采过程中严格遵守协议内容，</w:t>
      </w:r>
      <w:r>
        <w:rPr>
          <w:rFonts w:hint="eastAsia" w:ascii="仿宋" w:hAnsi="仿宋" w:eastAsia="仿宋"/>
          <w:snapToGrid w:val="0"/>
          <w:color w:val="auto"/>
          <w:kern w:val="0"/>
          <w:sz w:val="32"/>
          <w:szCs w:val="32"/>
        </w:rPr>
        <w:t>确保安全生产，</w:t>
      </w:r>
      <w:r>
        <w:rPr>
          <w:rFonts w:ascii="仿宋" w:hAnsi="仿宋" w:eastAsia="仿宋"/>
          <w:snapToGrid w:val="0"/>
          <w:color w:val="auto"/>
          <w:kern w:val="0"/>
          <w:sz w:val="32"/>
          <w:szCs w:val="32"/>
        </w:rPr>
        <w:t>不</w:t>
      </w:r>
      <w:r>
        <w:rPr>
          <w:rFonts w:hint="eastAsia" w:ascii="仿宋" w:hAnsi="仿宋" w:eastAsia="仿宋"/>
          <w:snapToGrid w:val="0"/>
          <w:color w:val="auto"/>
          <w:kern w:val="0"/>
          <w:sz w:val="32"/>
          <w:szCs w:val="32"/>
        </w:rPr>
        <w:t>损害</w:t>
      </w:r>
      <w:r>
        <w:rPr>
          <w:rFonts w:ascii="仿宋" w:hAnsi="仿宋" w:eastAsia="仿宋"/>
          <w:snapToGrid w:val="0"/>
          <w:color w:val="auto"/>
          <w:kern w:val="0"/>
          <w:sz w:val="32"/>
          <w:szCs w:val="32"/>
        </w:rPr>
        <w:t>油气矿业权人</w:t>
      </w:r>
      <w:r>
        <w:rPr>
          <w:rFonts w:hint="eastAsia" w:ascii="仿宋" w:hAnsi="仿宋" w:eastAsia="仿宋"/>
          <w:snapToGrid w:val="0"/>
          <w:color w:val="auto"/>
          <w:kern w:val="0"/>
          <w:sz w:val="32"/>
          <w:szCs w:val="32"/>
        </w:rPr>
        <w:t>的合法</w:t>
      </w:r>
      <w:r>
        <w:rPr>
          <w:rFonts w:ascii="仿宋" w:hAnsi="仿宋" w:eastAsia="仿宋"/>
          <w:snapToGrid w:val="0"/>
          <w:color w:val="auto"/>
          <w:kern w:val="0"/>
          <w:sz w:val="32"/>
          <w:szCs w:val="32"/>
        </w:rPr>
        <w:t>权益。</w:t>
      </w:r>
    </w:p>
    <w:p w14:paraId="055A7283">
      <w:pPr>
        <w:spacing w:line="578" w:lineRule="exact"/>
        <w:ind w:firstLine="640" w:firstLineChars="200"/>
        <w:rPr>
          <w:rFonts w:ascii="仿宋" w:hAnsi="仿宋" w:eastAsia="仿宋"/>
          <w:color w:val="auto"/>
          <w:sz w:val="32"/>
          <w:szCs w:val="32"/>
        </w:rPr>
      </w:pPr>
      <w:r>
        <w:rPr>
          <w:rFonts w:hint="eastAsia" w:ascii="仿宋" w:hAnsi="仿宋" w:eastAsia="仿宋"/>
          <w:color w:val="auto"/>
          <w:sz w:val="32"/>
          <w:szCs w:val="32"/>
          <w:lang w:val="en-US" w:eastAsia="zh-CN"/>
        </w:rPr>
        <w:t>九</w:t>
      </w:r>
      <w:r>
        <w:rPr>
          <w:rFonts w:ascii="仿宋" w:hAnsi="仿宋" w:eastAsia="仿宋"/>
          <w:color w:val="auto"/>
          <w:sz w:val="32"/>
          <w:szCs w:val="32"/>
        </w:rPr>
        <w:t>、竞买成功后，我方将严格</w:t>
      </w:r>
      <w:r>
        <w:rPr>
          <w:rFonts w:hint="eastAsia" w:ascii="仿宋" w:hAnsi="仿宋" w:eastAsia="仿宋"/>
          <w:color w:val="auto"/>
          <w:sz w:val="32"/>
          <w:szCs w:val="32"/>
        </w:rPr>
        <w:t>按照</w:t>
      </w:r>
      <w:r>
        <w:rPr>
          <w:rFonts w:ascii="仿宋" w:hAnsi="仿宋" w:eastAsia="仿宋"/>
          <w:color w:val="auto"/>
          <w:sz w:val="32"/>
          <w:szCs w:val="32"/>
        </w:rPr>
        <w:t>拍卖</w:t>
      </w:r>
      <w:r>
        <w:rPr>
          <w:rFonts w:hint="eastAsia" w:ascii="仿宋" w:hAnsi="仿宋" w:eastAsia="仿宋"/>
          <w:color w:val="auto"/>
          <w:sz w:val="32"/>
          <w:szCs w:val="32"/>
        </w:rPr>
        <w:t>公告和拍卖</w:t>
      </w:r>
      <w:r>
        <w:rPr>
          <w:rFonts w:ascii="仿宋" w:hAnsi="仿宋" w:eastAsia="仿宋"/>
          <w:color w:val="auto"/>
          <w:sz w:val="32"/>
          <w:szCs w:val="32"/>
        </w:rPr>
        <w:t>出让文件</w:t>
      </w:r>
      <w:r>
        <w:rPr>
          <w:rFonts w:hint="eastAsia" w:ascii="仿宋" w:hAnsi="仿宋" w:eastAsia="仿宋"/>
          <w:color w:val="auto"/>
          <w:sz w:val="32"/>
          <w:szCs w:val="32"/>
        </w:rPr>
        <w:t>要求</w:t>
      </w:r>
      <w:r>
        <w:rPr>
          <w:rFonts w:ascii="仿宋" w:hAnsi="仿宋" w:eastAsia="仿宋"/>
          <w:color w:val="auto"/>
          <w:sz w:val="32"/>
          <w:szCs w:val="32"/>
        </w:rPr>
        <w:t>，签</w:t>
      </w:r>
      <w:r>
        <w:rPr>
          <w:rFonts w:hint="eastAsia" w:ascii="仿宋" w:hAnsi="仿宋" w:eastAsia="仿宋"/>
          <w:bCs/>
          <w:color w:val="auto"/>
          <w:sz w:val="32"/>
          <w:szCs w:val="32"/>
        </w:rPr>
        <w:t>订</w:t>
      </w:r>
      <w:r>
        <w:rPr>
          <w:rFonts w:ascii="仿宋" w:hAnsi="仿宋" w:eastAsia="仿宋"/>
          <w:color w:val="auto"/>
          <w:sz w:val="32"/>
          <w:szCs w:val="32"/>
        </w:rPr>
        <w:t>《成交确认书》、支付相关费用、签订《采矿权出让合同》、</w:t>
      </w:r>
      <w:r>
        <w:rPr>
          <w:rFonts w:hint="eastAsia" w:ascii="仿宋" w:hAnsi="仿宋" w:eastAsia="仿宋"/>
          <w:color w:val="auto"/>
          <w:sz w:val="32"/>
          <w:szCs w:val="32"/>
        </w:rPr>
        <w:t>足额</w:t>
      </w:r>
      <w:r>
        <w:rPr>
          <w:rFonts w:ascii="仿宋" w:hAnsi="仿宋" w:eastAsia="仿宋"/>
          <w:color w:val="auto"/>
          <w:sz w:val="32"/>
          <w:szCs w:val="32"/>
        </w:rPr>
        <w:t>缴纳</w:t>
      </w:r>
      <w:r>
        <w:rPr>
          <w:rFonts w:ascii="仿宋" w:hAnsi="仿宋" w:eastAsia="仿宋"/>
          <w:bCs/>
          <w:color w:val="auto"/>
          <w:sz w:val="32"/>
          <w:szCs w:val="32"/>
        </w:rPr>
        <w:t>采矿权出让收益</w:t>
      </w:r>
      <w:r>
        <w:rPr>
          <w:rFonts w:ascii="仿宋" w:hAnsi="仿宋" w:eastAsia="仿宋"/>
          <w:color w:val="auto"/>
          <w:sz w:val="32"/>
          <w:szCs w:val="32"/>
        </w:rPr>
        <w:t>，并在规定时间内及时准备好相关资料，按程序向</w:t>
      </w:r>
      <w:r>
        <w:rPr>
          <w:rFonts w:hint="eastAsia" w:ascii="仿宋" w:hAnsi="仿宋" w:eastAsia="仿宋"/>
          <w:color w:val="auto"/>
          <w:sz w:val="32"/>
          <w:szCs w:val="32"/>
          <w:lang w:val="en-US" w:eastAsia="zh-CN"/>
        </w:rPr>
        <w:t>相关部门</w:t>
      </w:r>
      <w:r>
        <w:rPr>
          <w:rFonts w:ascii="仿宋" w:hAnsi="仿宋" w:eastAsia="仿宋"/>
          <w:color w:val="auto"/>
          <w:sz w:val="32"/>
          <w:szCs w:val="32"/>
        </w:rPr>
        <w:t>申请办理采矿权登记。</w:t>
      </w:r>
    </w:p>
    <w:p w14:paraId="333C4C12">
      <w:pPr>
        <w:spacing w:line="578" w:lineRule="exact"/>
        <w:ind w:firstLine="640" w:firstLineChars="200"/>
        <w:rPr>
          <w:rFonts w:ascii="仿宋" w:hAnsi="仿宋" w:eastAsia="仿宋"/>
          <w:color w:val="auto"/>
          <w:sz w:val="32"/>
          <w:szCs w:val="32"/>
        </w:rPr>
      </w:pPr>
      <w:r>
        <w:rPr>
          <w:rFonts w:hint="eastAsia" w:ascii="仿宋" w:hAnsi="仿宋" w:eastAsia="仿宋"/>
          <w:color w:val="auto"/>
          <w:sz w:val="32"/>
          <w:szCs w:val="32"/>
          <w:lang w:val="en-US" w:eastAsia="zh-CN"/>
        </w:rPr>
        <w:t>十</w:t>
      </w:r>
      <w:r>
        <w:rPr>
          <w:rFonts w:ascii="仿宋" w:hAnsi="仿宋" w:eastAsia="仿宋"/>
          <w:color w:val="auto"/>
          <w:sz w:val="32"/>
          <w:szCs w:val="32"/>
        </w:rPr>
        <w:t>、若在竞得该</w:t>
      </w:r>
      <w:r>
        <w:rPr>
          <w:rFonts w:hint="eastAsia" w:ascii="仿宋" w:hAnsi="仿宋" w:eastAsia="仿宋"/>
          <w:color w:val="auto"/>
          <w:sz w:val="32"/>
          <w:szCs w:val="32"/>
        </w:rPr>
        <w:t>宗</w:t>
      </w:r>
      <w:r>
        <w:rPr>
          <w:rFonts w:ascii="仿宋" w:hAnsi="仿宋" w:eastAsia="仿宋"/>
          <w:color w:val="auto"/>
          <w:sz w:val="32"/>
          <w:szCs w:val="32"/>
        </w:rPr>
        <w:t>采矿权后</w:t>
      </w:r>
      <w:r>
        <w:rPr>
          <w:rFonts w:hint="eastAsia" w:ascii="仿宋" w:hAnsi="仿宋" w:eastAsia="仿宋"/>
          <w:color w:val="auto"/>
          <w:sz w:val="32"/>
          <w:szCs w:val="32"/>
        </w:rPr>
        <w:t>我方发生</w:t>
      </w:r>
      <w:r>
        <w:rPr>
          <w:rFonts w:ascii="仿宋" w:hAnsi="仿宋" w:eastAsia="仿宋"/>
          <w:color w:val="auto"/>
          <w:sz w:val="32"/>
          <w:szCs w:val="32"/>
        </w:rPr>
        <w:t>违约，</w:t>
      </w:r>
      <w:bookmarkStart w:id="42" w:name="_Hlk141226411"/>
      <w:r>
        <w:rPr>
          <w:rFonts w:ascii="仿宋" w:hAnsi="仿宋" w:eastAsia="仿宋"/>
          <w:color w:val="auto"/>
          <w:sz w:val="32"/>
          <w:szCs w:val="32"/>
        </w:rPr>
        <w:t>所缴纳的</w:t>
      </w:r>
      <w:bookmarkEnd w:id="42"/>
      <w:r>
        <w:rPr>
          <w:rFonts w:ascii="仿宋" w:hAnsi="仿宋" w:eastAsia="仿宋"/>
          <w:color w:val="auto"/>
          <w:sz w:val="32"/>
          <w:szCs w:val="32"/>
        </w:rPr>
        <w:t>交易服务费、</w:t>
      </w:r>
      <w:r>
        <w:rPr>
          <w:rFonts w:hint="eastAsia" w:ascii="仿宋" w:hAnsi="仿宋" w:eastAsia="仿宋"/>
          <w:color w:val="auto"/>
          <w:sz w:val="32"/>
          <w:szCs w:val="32"/>
        </w:rPr>
        <w:t>拆迁安置补偿费用</w:t>
      </w:r>
      <w:r>
        <w:rPr>
          <w:rFonts w:ascii="仿宋" w:hAnsi="仿宋" w:eastAsia="仿宋"/>
          <w:color w:val="auto"/>
          <w:sz w:val="32"/>
          <w:szCs w:val="32"/>
        </w:rPr>
        <w:t>、采矿权出让收益等不申请退还，也不以任何法律手段申请退还，完全承担拍卖出让文件中规定的违约责任，并自愿赔偿由此产生的损失，接受相关部门对我方失信行为的联合惩戒。</w:t>
      </w:r>
    </w:p>
    <w:p w14:paraId="0D4112A0">
      <w:pPr>
        <w:spacing w:line="578" w:lineRule="exact"/>
        <w:ind w:firstLine="640" w:firstLineChars="200"/>
        <w:rPr>
          <w:rFonts w:ascii="仿宋" w:hAnsi="仿宋" w:eastAsia="仿宋"/>
          <w:color w:val="auto"/>
          <w:sz w:val="32"/>
          <w:szCs w:val="32"/>
        </w:rPr>
      </w:pPr>
      <w:r>
        <w:rPr>
          <w:rFonts w:ascii="仿宋" w:hAnsi="仿宋" w:eastAsia="仿宋"/>
          <w:color w:val="auto"/>
          <w:sz w:val="32"/>
          <w:szCs w:val="32"/>
        </w:rPr>
        <w:t>特此承诺。</w:t>
      </w:r>
    </w:p>
    <w:p w14:paraId="3D5BB3EE">
      <w:pPr>
        <w:spacing w:line="578" w:lineRule="exact"/>
        <w:ind w:firstLine="640" w:firstLineChars="200"/>
        <w:rPr>
          <w:rFonts w:ascii="仿宋" w:hAnsi="仿宋" w:eastAsia="仿宋"/>
          <w:color w:val="auto"/>
          <w:sz w:val="32"/>
          <w:szCs w:val="32"/>
        </w:rPr>
      </w:pPr>
    </w:p>
    <w:p w14:paraId="780A01F5">
      <w:pPr>
        <w:spacing w:line="578" w:lineRule="exact"/>
        <w:ind w:firstLine="640" w:firstLineChars="200"/>
        <w:rPr>
          <w:rFonts w:ascii="仿宋" w:hAnsi="仿宋" w:eastAsia="仿宋"/>
          <w:color w:val="auto"/>
          <w:sz w:val="32"/>
          <w:szCs w:val="32"/>
        </w:rPr>
      </w:pPr>
    </w:p>
    <w:p w14:paraId="708DDD97">
      <w:pPr>
        <w:spacing w:line="578" w:lineRule="exact"/>
        <w:ind w:firstLine="950" w:firstLineChars="297"/>
        <w:rPr>
          <w:rFonts w:ascii="仿宋" w:hAnsi="仿宋" w:eastAsia="仿宋"/>
          <w:color w:val="auto"/>
          <w:sz w:val="32"/>
          <w:szCs w:val="32"/>
        </w:rPr>
      </w:pPr>
      <w:r>
        <w:rPr>
          <w:rFonts w:ascii="仿宋" w:hAnsi="仿宋" w:eastAsia="仿宋"/>
          <w:color w:val="auto"/>
          <w:sz w:val="32"/>
          <w:szCs w:val="32"/>
        </w:rPr>
        <w:t>竞买申请人（盖章）：</w:t>
      </w:r>
    </w:p>
    <w:p w14:paraId="20B87C6B">
      <w:pPr>
        <w:pStyle w:val="6"/>
        <w:ind w:firstLine="950" w:firstLineChars="297"/>
        <w:rPr>
          <w:rFonts w:ascii="仿宋" w:hAnsi="仿宋" w:eastAsia="仿宋"/>
          <w:color w:val="auto"/>
          <w:sz w:val="32"/>
          <w:szCs w:val="32"/>
        </w:rPr>
      </w:pPr>
    </w:p>
    <w:p w14:paraId="25433302">
      <w:pPr>
        <w:spacing w:line="578" w:lineRule="exact"/>
        <w:ind w:firstLine="950" w:firstLineChars="297"/>
        <w:rPr>
          <w:rFonts w:ascii="仿宋" w:hAnsi="仿宋" w:eastAsia="仿宋"/>
          <w:color w:val="auto"/>
          <w:sz w:val="32"/>
          <w:szCs w:val="32"/>
        </w:rPr>
      </w:pPr>
      <w:r>
        <w:rPr>
          <w:rFonts w:ascii="仿宋" w:hAnsi="仿宋" w:eastAsia="仿宋"/>
          <w:color w:val="auto"/>
          <w:sz w:val="32"/>
          <w:szCs w:val="32"/>
        </w:rPr>
        <w:t>法定代表人（或其委托代理人）（签字）：</w:t>
      </w:r>
    </w:p>
    <w:p w14:paraId="5EE79CA9">
      <w:pPr>
        <w:pStyle w:val="6"/>
        <w:ind w:firstLine="950" w:firstLineChars="297"/>
        <w:rPr>
          <w:rFonts w:ascii="仿宋" w:hAnsi="仿宋" w:eastAsia="仿宋"/>
          <w:color w:val="auto"/>
          <w:sz w:val="32"/>
          <w:szCs w:val="32"/>
        </w:rPr>
      </w:pPr>
    </w:p>
    <w:p w14:paraId="67819495">
      <w:pPr>
        <w:spacing w:line="578" w:lineRule="exact"/>
        <w:ind w:firstLine="5360" w:firstLineChars="1675"/>
        <w:rPr>
          <w:rFonts w:ascii="仿宋" w:hAnsi="仿宋" w:eastAsia="仿宋"/>
          <w:color w:val="auto"/>
          <w:sz w:val="32"/>
          <w:szCs w:val="32"/>
        </w:rPr>
      </w:pPr>
      <w:r>
        <w:rPr>
          <w:rFonts w:ascii="仿宋" w:hAnsi="仿宋" w:eastAsia="仿宋"/>
          <w:color w:val="auto"/>
          <w:sz w:val="32"/>
          <w:szCs w:val="32"/>
        </w:rPr>
        <w:t>202</w:t>
      </w:r>
      <w:r>
        <w:rPr>
          <w:rFonts w:hint="eastAsia" w:ascii="仿宋" w:hAnsi="仿宋" w:eastAsia="仿宋"/>
          <w:color w:val="auto"/>
          <w:sz w:val="32"/>
          <w:szCs w:val="32"/>
          <w:lang w:val="en-US" w:eastAsia="zh-CN"/>
        </w:rPr>
        <w:t>6</w:t>
      </w:r>
      <w:r>
        <w:rPr>
          <w:rFonts w:ascii="仿宋" w:hAnsi="仿宋" w:eastAsia="仿宋"/>
          <w:color w:val="auto"/>
          <w:sz w:val="32"/>
          <w:szCs w:val="32"/>
        </w:rPr>
        <w:t>年  月  日</w:t>
      </w:r>
    </w:p>
    <w:p w14:paraId="1E5C21B1">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5CD72CCC">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11D8576E">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4208D253">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76B62BAE">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0B2D1FBF">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20AE5A96">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42C28129">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5694D4BE">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221FF48A">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1A18F76F">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257F71F0">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p>
    <w:p w14:paraId="78F996FB">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r>
        <w:rPr>
          <w:rFonts w:ascii="Times New Roman" w:hAnsi="Times New Roman" w:eastAsia="方正小标宋简体"/>
          <w:b w:val="0"/>
          <w:bCs w:val="0"/>
          <w:sz w:val="44"/>
          <w:szCs w:val="44"/>
        </w:rPr>
        <w:t>无失信行为承诺书</w:t>
      </w:r>
      <w:bookmarkEnd w:id="36"/>
      <w:bookmarkEnd w:id="37"/>
      <w:bookmarkEnd w:id="38"/>
      <w:r>
        <w:rPr>
          <w:rFonts w:ascii="Times New Roman" w:hAnsi="Times New Roman" w:eastAsia="方正小标宋简体"/>
          <w:b w:val="0"/>
          <w:bCs w:val="0"/>
          <w:sz w:val="44"/>
          <w:szCs w:val="44"/>
        </w:rPr>
        <w:t>（样本）</w:t>
      </w:r>
      <w:bookmarkEnd w:id="39"/>
      <w:bookmarkEnd w:id="40"/>
      <w:bookmarkEnd w:id="41"/>
    </w:p>
    <w:p w14:paraId="70B07F35">
      <w:pPr>
        <w:adjustRightInd w:val="0"/>
        <w:spacing w:line="540" w:lineRule="exact"/>
        <w:rPr>
          <w:rFonts w:eastAsia="仿宋"/>
          <w:sz w:val="32"/>
          <w:szCs w:val="32"/>
        </w:rPr>
      </w:pPr>
    </w:p>
    <w:p w14:paraId="0C699E0D">
      <w:pPr>
        <w:adjustRightInd w:val="0"/>
        <w:spacing w:line="540" w:lineRule="exact"/>
        <w:rPr>
          <w:rFonts w:ascii="仿宋" w:hAnsi="仿宋" w:eastAsia="仿宋"/>
          <w:sz w:val="32"/>
          <w:szCs w:val="32"/>
        </w:rPr>
      </w:pPr>
      <w:r>
        <w:rPr>
          <w:rFonts w:ascii="仿宋" w:hAnsi="仿宋" w:eastAsia="仿宋"/>
          <w:sz w:val="32"/>
          <w:szCs w:val="32"/>
        </w:rPr>
        <w:t>达州市公共资源交易服务中心：</w:t>
      </w:r>
    </w:p>
    <w:p w14:paraId="739C1F35">
      <w:pPr>
        <w:adjustRightInd w:val="0"/>
        <w:spacing w:line="540" w:lineRule="exact"/>
        <w:ind w:firstLine="640" w:firstLineChars="200"/>
        <w:rPr>
          <w:rFonts w:ascii="仿宋" w:hAnsi="仿宋" w:eastAsia="仿宋"/>
          <w:sz w:val="32"/>
          <w:szCs w:val="32"/>
        </w:rPr>
      </w:pPr>
      <w:r>
        <w:rPr>
          <w:rFonts w:ascii="仿宋" w:hAnsi="仿宋" w:eastAsia="仿宋"/>
          <w:sz w:val="32"/>
          <w:szCs w:val="32"/>
        </w:rPr>
        <w:t>我方自愿参加</w:t>
      </w:r>
      <w:r>
        <w:rPr>
          <w:rFonts w:ascii="仿宋" w:hAnsi="仿宋" w:eastAsia="仿宋"/>
          <w:sz w:val="32"/>
          <w:szCs w:val="32"/>
          <w:u w:val="single"/>
        </w:rPr>
        <w:t>202</w:t>
      </w:r>
      <w:r>
        <w:rPr>
          <w:rFonts w:hint="eastAsia" w:ascii="仿宋" w:hAnsi="仿宋" w:eastAsia="仿宋"/>
          <w:sz w:val="32"/>
          <w:szCs w:val="32"/>
          <w:u w:val="single"/>
          <w:lang w:val="en-US" w:eastAsia="zh-CN"/>
        </w:rPr>
        <w:t>6</w:t>
      </w:r>
      <w:r>
        <w:rPr>
          <w:rFonts w:ascii="仿宋" w:hAnsi="仿宋" w:eastAsia="仿宋"/>
          <w:sz w:val="32"/>
          <w:szCs w:val="32"/>
          <w:u w:val="single"/>
        </w:rPr>
        <w:t>年  月  日</w:t>
      </w:r>
      <w:r>
        <w:rPr>
          <w:rFonts w:ascii="仿宋" w:hAnsi="仿宋" w:eastAsia="仿宋"/>
          <w:sz w:val="32"/>
          <w:szCs w:val="32"/>
        </w:rPr>
        <w:t>在贵中心举行的</w:t>
      </w:r>
      <w:r>
        <w:rPr>
          <w:rFonts w:hint="eastAsia" w:ascii="仿宋" w:hAnsi="仿宋" w:eastAsia="仿宋"/>
          <w:color w:val="auto"/>
          <w:sz w:val="32"/>
          <w:szCs w:val="32"/>
          <w:u w:val="single"/>
        </w:rPr>
        <w:t>达州市通川区双龙镇茶店村饰面用砂岩矿采矿权</w:t>
      </w:r>
      <w:r>
        <w:rPr>
          <w:rFonts w:ascii="仿宋" w:hAnsi="仿宋" w:eastAsia="仿宋"/>
          <w:sz w:val="32"/>
          <w:szCs w:val="32"/>
        </w:rPr>
        <w:t>拍卖活动，并就我方信用状况承诺如下：</w:t>
      </w:r>
    </w:p>
    <w:p w14:paraId="2416F432">
      <w:pPr>
        <w:adjustRightInd w:val="0"/>
        <w:spacing w:line="540" w:lineRule="exact"/>
        <w:ind w:firstLine="640" w:firstLineChars="200"/>
        <w:rPr>
          <w:rFonts w:ascii="仿宋" w:hAnsi="仿宋" w:eastAsia="仿宋"/>
          <w:sz w:val="32"/>
          <w:szCs w:val="32"/>
        </w:rPr>
      </w:pPr>
      <w:r>
        <w:rPr>
          <w:rFonts w:ascii="仿宋" w:hAnsi="仿宋" w:eastAsia="仿宋"/>
          <w:sz w:val="32"/>
          <w:szCs w:val="32"/>
        </w:rPr>
        <w:t>一、未在国家企业信用信息公示系统所列“经营异常名录”“</w:t>
      </w:r>
      <w:r>
        <w:rPr>
          <w:rFonts w:ascii="仿宋" w:hAnsi="仿宋" w:eastAsia="仿宋"/>
          <w:snapToGrid w:val="0"/>
          <w:kern w:val="0"/>
          <w:sz w:val="32"/>
          <w:szCs w:val="32"/>
        </w:rPr>
        <w:t>严重违法失信企业名单</w:t>
      </w:r>
      <w:r>
        <w:rPr>
          <w:rFonts w:ascii="仿宋" w:hAnsi="仿宋" w:eastAsia="仿宋"/>
          <w:sz w:val="32"/>
          <w:szCs w:val="32"/>
        </w:rPr>
        <w:t>”中。</w:t>
      </w:r>
    </w:p>
    <w:p w14:paraId="6DF39DCF">
      <w:pPr>
        <w:adjustRightInd w:val="0"/>
        <w:spacing w:line="540" w:lineRule="exact"/>
        <w:ind w:firstLine="640" w:firstLineChars="200"/>
        <w:rPr>
          <w:rFonts w:ascii="仿宋" w:hAnsi="仿宋" w:eastAsia="仿宋"/>
          <w:sz w:val="32"/>
          <w:szCs w:val="32"/>
        </w:rPr>
      </w:pPr>
      <w:r>
        <w:rPr>
          <w:rFonts w:ascii="仿宋" w:hAnsi="仿宋" w:eastAsia="仿宋"/>
          <w:sz w:val="32"/>
          <w:szCs w:val="32"/>
        </w:rPr>
        <w:t>二、未在信用中国网站所列“失信惩戒对象”“重点关注名单”“</w:t>
      </w:r>
      <w:r>
        <w:rPr>
          <w:rFonts w:ascii="仿宋" w:hAnsi="仿宋" w:eastAsia="仿宋"/>
          <w:snapToGrid w:val="0"/>
          <w:kern w:val="0"/>
          <w:sz w:val="32"/>
          <w:szCs w:val="32"/>
        </w:rPr>
        <w:t>安全生产领域失信生产经营单位</w:t>
      </w:r>
      <w:r>
        <w:rPr>
          <w:rFonts w:ascii="仿宋" w:hAnsi="仿宋" w:eastAsia="仿宋"/>
          <w:sz w:val="32"/>
          <w:szCs w:val="32"/>
        </w:rPr>
        <w:t>”中。</w:t>
      </w:r>
    </w:p>
    <w:p w14:paraId="4EDDC0BC">
      <w:pPr>
        <w:adjustRightInd w:val="0"/>
        <w:spacing w:line="540" w:lineRule="exact"/>
        <w:ind w:firstLine="640" w:firstLineChars="200"/>
        <w:rPr>
          <w:rFonts w:ascii="仿宋" w:hAnsi="仿宋" w:eastAsia="仿宋"/>
          <w:sz w:val="32"/>
          <w:szCs w:val="32"/>
        </w:rPr>
      </w:pPr>
      <w:r>
        <w:rPr>
          <w:rFonts w:ascii="仿宋" w:hAnsi="仿宋" w:eastAsia="仿宋"/>
          <w:sz w:val="32"/>
          <w:szCs w:val="32"/>
        </w:rPr>
        <w:t>三、未在全国矿业权人勘查开采信息公示系统所列“矿业权人异常名录”“矿业权人严重违法名单”中。</w:t>
      </w:r>
    </w:p>
    <w:p w14:paraId="0BBD09BC">
      <w:pPr>
        <w:adjustRightInd w:val="0"/>
        <w:spacing w:line="540" w:lineRule="exact"/>
        <w:ind w:firstLine="640" w:firstLineChars="200"/>
        <w:rPr>
          <w:rFonts w:ascii="仿宋" w:hAnsi="仿宋" w:eastAsia="仿宋"/>
          <w:sz w:val="32"/>
          <w:szCs w:val="32"/>
        </w:rPr>
      </w:pPr>
      <w:r>
        <w:rPr>
          <w:rFonts w:ascii="仿宋" w:hAnsi="仿宋" w:eastAsia="仿宋"/>
          <w:sz w:val="32"/>
          <w:szCs w:val="32"/>
        </w:rPr>
        <w:t>四、未在公共资源交易领域严重违法失信“黑名单”、安全生产失信联合惩戒“黑名单”中。</w:t>
      </w:r>
    </w:p>
    <w:p w14:paraId="018EB9C7">
      <w:pPr>
        <w:adjustRightInd w:val="0"/>
        <w:spacing w:line="540" w:lineRule="exact"/>
        <w:ind w:firstLine="640" w:firstLineChars="200"/>
        <w:rPr>
          <w:rFonts w:ascii="仿宋" w:hAnsi="仿宋" w:eastAsia="仿宋"/>
          <w:spacing w:val="-6"/>
          <w:sz w:val="32"/>
          <w:szCs w:val="32"/>
        </w:rPr>
      </w:pPr>
      <w:r>
        <w:rPr>
          <w:rFonts w:ascii="仿宋" w:hAnsi="仿宋" w:eastAsia="仿宋"/>
          <w:sz w:val="32"/>
          <w:szCs w:val="32"/>
        </w:rPr>
        <w:t>五、</w:t>
      </w:r>
      <w:r>
        <w:rPr>
          <w:rFonts w:ascii="仿宋" w:hAnsi="仿宋" w:eastAsia="仿宋"/>
          <w:spacing w:val="-6"/>
          <w:sz w:val="32"/>
          <w:szCs w:val="32"/>
        </w:rPr>
        <w:t>我方愿意接受社会各界监督。若有违反承诺内容的行为，自愿接受取消竞买资格、记入信用档案、取消竞得资格等有关处理，承担相关法律责任，赔偿由此产生的损失，接受失信联合惩戒。</w:t>
      </w:r>
    </w:p>
    <w:p w14:paraId="48D6B37F">
      <w:pPr>
        <w:adjustRightInd w:val="0"/>
        <w:spacing w:line="540" w:lineRule="exact"/>
        <w:ind w:firstLine="640" w:firstLineChars="200"/>
        <w:rPr>
          <w:rFonts w:ascii="仿宋" w:hAnsi="仿宋" w:eastAsia="仿宋"/>
          <w:sz w:val="32"/>
          <w:szCs w:val="32"/>
        </w:rPr>
      </w:pPr>
      <w:r>
        <w:rPr>
          <w:rFonts w:ascii="仿宋" w:hAnsi="仿宋" w:eastAsia="仿宋"/>
          <w:sz w:val="32"/>
          <w:szCs w:val="32"/>
        </w:rPr>
        <w:t>特此承诺。</w:t>
      </w:r>
    </w:p>
    <w:p w14:paraId="37919035">
      <w:pPr>
        <w:adjustRightInd w:val="0"/>
        <w:spacing w:line="580" w:lineRule="exact"/>
        <w:ind w:firstLine="1286" w:firstLineChars="402"/>
        <w:rPr>
          <w:rFonts w:ascii="仿宋" w:hAnsi="仿宋" w:eastAsia="仿宋"/>
          <w:sz w:val="32"/>
          <w:szCs w:val="32"/>
        </w:rPr>
      </w:pPr>
    </w:p>
    <w:p w14:paraId="3F945CBC">
      <w:pPr>
        <w:adjustRightInd w:val="0"/>
        <w:spacing w:line="580" w:lineRule="exact"/>
        <w:ind w:firstLine="1286" w:firstLineChars="402"/>
        <w:rPr>
          <w:rFonts w:ascii="仿宋" w:hAnsi="仿宋" w:eastAsia="仿宋"/>
          <w:sz w:val="32"/>
          <w:szCs w:val="32"/>
        </w:rPr>
      </w:pPr>
      <w:r>
        <w:rPr>
          <w:rFonts w:ascii="仿宋" w:hAnsi="仿宋" w:eastAsia="仿宋"/>
          <w:sz w:val="32"/>
          <w:szCs w:val="32"/>
        </w:rPr>
        <w:t>竞买申请人（盖章）：</w:t>
      </w:r>
    </w:p>
    <w:p w14:paraId="49E7DE59">
      <w:pPr>
        <w:adjustRightInd w:val="0"/>
        <w:spacing w:line="580" w:lineRule="exact"/>
        <w:ind w:firstLine="1286" w:firstLineChars="402"/>
        <w:rPr>
          <w:rFonts w:ascii="仿宋" w:hAnsi="仿宋" w:eastAsia="仿宋"/>
          <w:sz w:val="32"/>
          <w:szCs w:val="32"/>
        </w:rPr>
      </w:pPr>
      <w:r>
        <w:rPr>
          <w:rFonts w:ascii="仿宋" w:hAnsi="仿宋" w:eastAsia="仿宋"/>
          <w:sz w:val="32"/>
          <w:szCs w:val="32"/>
        </w:rPr>
        <w:t>法定代表人（或其委托代理人）（签字）：</w:t>
      </w:r>
    </w:p>
    <w:p w14:paraId="09CA08F7">
      <w:pPr>
        <w:adjustRightInd w:val="0"/>
        <w:spacing w:line="580" w:lineRule="exact"/>
        <w:ind w:firstLine="3360" w:firstLineChars="105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lang w:val="en-US" w:eastAsia="zh-CN"/>
        </w:rPr>
        <w:t>6</w:t>
      </w:r>
      <w:r>
        <w:rPr>
          <w:rFonts w:ascii="仿宋" w:hAnsi="仿宋" w:eastAsia="仿宋"/>
          <w:sz w:val="32"/>
          <w:szCs w:val="32"/>
        </w:rPr>
        <w:t>年   月   日</w:t>
      </w:r>
    </w:p>
    <w:p w14:paraId="151A9D83">
      <w:pPr>
        <w:tabs>
          <w:tab w:val="left" w:pos="360"/>
          <w:tab w:val="left" w:pos="420"/>
          <w:tab w:val="left" w:pos="1344"/>
        </w:tabs>
        <w:adjustRightInd w:val="0"/>
        <w:snapToGrid w:val="0"/>
        <w:spacing w:line="360" w:lineRule="auto"/>
        <w:ind w:firstLine="5184" w:firstLineChars="1620"/>
        <w:rPr>
          <w:rFonts w:ascii="仿宋" w:hAnsi="仿宋" w:eastAsia="仿宋"/>
          <w:sz w:val="32"/>
          <w:szCs w:val="32"/>
        </w:rPr>
        <w:sectPr>
          <w:pgSz w:w="11906" w:h="16838"/>
          <w:pgMar w:top="2098" w:right="1474" w:bottom="1985" w:left="1588" w:header="851" w:footer="1588" w:gutter="0"/>
          <w:pgNumType w:fmt="numberInDash"/>
          <w:cols w:space="720" w:num="1"/>
          <w:docGrid w:linePitch="436" w:charSpace="0"/>
        </w:sectPr>
      </w:pPr>
    </w:p>
    <w:p w14:paraId="7FF2E0E4">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bookmarkStart w:id="43" w:name="_Toc141218092"/>
      <w:bookmarkStart w:id="44" w:name="_Toc141217389"/>
      <w:bookmarkStart w:id="45" w:name="_Toc141217785"/>
      <w:r>
        <w:rPr>
          <w:rFonts w:ascii="Times New Roman" w:hAnsi="Times New Roman" w:eastAsia="方正小标宋简体"/>
          <w:b w:val="0"/>
          <w:bCs w:val="0"/>
          <w:sz w:val="44"/>
          <w:szCs w:val="44"/>
        </w:rPr>
        <w:t>法定代表人身份证明书（样本）</w:t>
      </w:r>
      <w:bookmarkEnd w:id="43"/>
      <w:bookmarkEnd w:id="44"/>
      <w:bookmarkEnd w:id="45"/>
    </w:p>
    <w:p w14:paraId="726430E4">
      <w:pPr>
        <w:pStyle w:val="53"/>
        <w:spacing w:line="578" w:lineRule="exact"/>
        <w:ind w:left="0"/>
        <w:jc w:val="left"/>
        <w:rPr>
          <w:rFonts w:eastAsia="仿宋"/>
          <w:sz w:val="32"/>
          <w:szCs w:val="32"/>
        </w:rPr>
      </w:pPr>
    </w:p>
    <w:p w14:paraId="69A9AF29">
      <w:pPr>
        <w:pStyle w:val="53"/>
        <w:spacing w:line="578" w:lineRule="exact"/>
        <w:ind w:left="0"/>
        <w:jc w:val="left"/>
        <w:rPr>
          <w:rFonts w:eastAsia="仿宋_GB2312"/>
          <w:sz w:val="32"/>
          <w:szCs w:val="32"/>
        </w:rPr>
      </w:pPr>
    </w:p>
    <w:p w14:paraId="1387076F">
      <w:pPr>
        <w:pStyle w:val="53"/>
        <w:widowControl w:val="0"/>
        <w:spacing w:line="620" w:lineRule="exact"/>
        <w:ind w:left="0"/>
        <w:jc w:val="left"/>
        <w:rPr>
          <w:rFonts w:ascii="仿宋" w:hAnsi="仿宋" w:eastAsia="仿宋"/>
          <w:sz w:val="32"/>
          <w:szCs w:val="32"/>
        </w:rPr>
      </w:pPr>
      <w:r>
        <w:rPr>
          <w:rFonts w:ascii="仿宋" w:hAnsi="仿宋" w:eastAsia="仿宋"/>
          <w:sz w:val="32"/>
          <w:szCs w:val="32"/>
        </w:rPr>
        <w:t>达州市公共资源交易服务中心：</w:t>
      </w:r>
    </w:p>
    <w:p w14:paraId="7F835E31">
      <w:pPr>
        <w:pStyle w:val="53"/>
        <w:widowControl w:val="0"/>
        <w:spacing w:line="620" w:lineRule="exact"/>
        <w:ind w:left="0" w:firstLine="640" w:firstLineChars="200"/>
        <w:rPr>
          <w:rFonts w:ascii="仿宋" w:hAnsi="仿宋" w:eastAsia="仿宋"/>
          <w:sz w:val="32"/>
          <w:szCs w:val="32"/>
        </w:rPr>
      </w:pPr>
      <w:r>
        <w:rPr>
          <w:rFonts w:ascii="仿宋" w:hAnsi="仿宋" w:eastAsia="仿宋"/>
          <w:sz w:val="32"/>
          <w:szCs w:val="32"/>
        </w:rPr>
        <w:t>XXX同志在我单位任</w:t>
      </w:r>
      <w:r>
        <w:rPr>
          <w:rFonts w:ascii="仿宋" w:hAnsi="仿宋" w:eastAsia="仿宋"/>
          <w:bCs/>
          <w:sz w:val="32"/>
          <w:szCs w:val="32"/>
        </w:rPr>
        <w:t>XXX</w:t>
      </w:r>
      <w:r>
        <w:rPr>
          <w:rFonts w:ascii="仿宋" w:hAnsi="仿宋" w:eastAsia="仿宋"/>
          <w:sz w:val="32"/>
          <w:szCs w:val="32"/>
        </w:rPr>
        <w:t>职务，系我</w:t>
      </w:r>
      <w:r>
        <w:rPr>
          <w:rFonts w:hint="eastAsia" w:ascii="仿宋" w:hAnsi="仿宋" w:eastAsia="仿宋"/>
          <w:sz w:val="32"/>
          <w:szCs w:val="32"/>
        </w:rPr>
        <w:t>公司（</w:t>
      </w:r>
      <w:r>
        <w:rPr>
          <w:rFonts w:ascii="仿宋" w:hAnsi="仿宋" w:eastAsia="仿宋"/>
          <w:sz w:val="32"/>
          <w:szCs w:val="32"/>
        </w:rPr>
        <w:t>单位</w:t>
      </w:r>
      <w:r>
        <w:rPr>
          <w:rFonts w:hint="eastAsia" w:ascii="仿宋" w:hAnsi="仿宋" w:eastAsia="仿宋"/>
          <w:sz w:val="32"/>
          <w:szCs w:val="32"/>
        </w:rPr>
        <w:t>）</w:t>
      </w:r>
      <w:r>
        <w:rPr>
          <w:rFonts w:ascii="仿宋" w:hAnsi="仿宋" w:eastAsia="仿宋"/>
          <w:sz w:val="32"/>
          <w:szCs w:val="32"/>
        </w:rPr>
        <w:t>法定代表人，特此证明。</w:t>
      </w:r>
    </w:p>
    <w:p w14:paraId="14620C6E">
      <w:pPr>
        <w:pStyle w:val="53"/>
        <w:spacing w:line="578" w:lineRule="exact"/>
        <w:ind w:firstLine="960" w:firstLineChars="300"/>
        <w:jc w:val="left"/>
        <w:rPr>
          <w:rFonts w:ascii="仿宋" w:hAnsi="仿宋" w:eastAsia="仿宋"/>
          <w:sz w:val="32"/>
          <w:szCs w:val="32"/>
        </w:rPr>
      </w:pPr>
    </w:p>
    <w:p w14:paraId="38791A8E">
      <w:pPr>
        <w:pStyle w:val="53"/>
        <w:spacing w:line="578" w:lineRule="exact"/>
        <w:ind w:firstLine="960" w:firstLineChars="300"/>
        <w:jc w:val="left"/>
        <w:rPr>
          <w:rFonts w:ascii="仿宋" w:hAnsi="仿宋" w:eastAsia="仿宋"/>
          <w:sz w:val="32"/>
          <w:szCs w:val="32"/>
        </w:rPr>
      </w:pPr>
    </w:p>
    <w:p w14:paraId="2D6B65B2">
      <w:pPr>
        <w:pStyle w:val="53"/>
        <w:spacing w:line="578" w:lineRule="exact"/>
        <w:ind w:right="1831" w:firstLine="960" w:firstLineChars="300"/>
        <w:jc w:val="right"/>
        <w:rPr>
          <w:rFonts w:ascii="仿宋" w:hAnsi="仿宋" w:eastAsia="仿宋"/>
          <w:sz w:val="32"/>
          <w:szCs w:val="32"/>
        </w:rPr>
      </w:pPr>
      <w:r>
        <w:rPr>
          <w:rFonts w:ascii="仿宋" w:hAnsi="仿宋" w:eastAsia="仿宋"/>
          <w:sz w:val="32"/>
          <w:szCs w:val="32"/>
        </w:rPr>
        <w:t>（盖 章）</w:t>
      </w:r>
    </w:p>
    <w:p w14:paraId="41EC5951">
      <w:pPr>
        <w:pStyle w:val="53"/>
        <w:spacing w:line="578" w:lineRule="exact"/>
        <w:ind w:right="1369" w:firstLine="960" w:firstLineChars="300"/>
        <w:jc w:val="right"/>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lang w:val="en-US" w:eastAsia="zh-CN"/>
        </w:rPr>
        <w:t>6</w:t>
      </w:r>
      <w:r>
        <w:rPr>
          <w:rFonts w:ascii="仿宋" w:hAnsi="仿宋" w:eastAsia="仿宋"/>
          <w:sz w:val="32"/>
          <w:szCs w:val="32"/>
        </w:rPr>
        <w:t>年  月  日</w:t>
      </w:r>
    </w:p>
    <w:p w14:paraId="58581FAB">
      <w:pPr>
        <w:pStyle w:val="53"/>
        <w:spacing w:line="578" w:lineRule="exact"/>
        <w:jc w:val="center"/>
        <w:rPr>
          <w:rFonts w:ascii="仿宋" w:hAnsi="仿宋" w:eastAsia="仿宋"/>
          <w:sz w:val="32"/>
          <w:szCs w:val="32"/>
        </w:rPr>
      </w:pPr>
    </w:p>
    <w:p w14:paraId="00AFA9CB">
      <w:pPr>
        <w:pStyle w:val="53"/>
        <w:spacing w:line="578" w:lineRule="exact"/>
        <w:jc w:val="center"/>
        <w:rPr>
          <w:rFonts w:ascii="仿宋" w:hAnsi="仿宋" w:eastAsia="仿宋"/>
          <w:sz w:val="32"/>
          <w:szCs w:val="32"/>
        </w:rPr>
      </w:pPr>
    </w:p>
    <w:p w14:paraId="26749411">
      <w:pPr>
        <w:pStyle w:val="53"/>
        <w:spacing w:line="578" w:lineRule="exact"/>
        <w:jc w:val="center"/>
        <w:rPr>
          <w:rFonts w:ascii="仿宋" w:hAnsi="仿宋" w:eastAsia="仿宋"/>
          <w:sz w:val="32"/>
          <w:szCs w:val="32"/>
        </w:rPr>
      </w:pPr>
    </w:p>
    <w:p w14:paraId="4D777B7A">
      <w:pPr>
        <w:pStyle w:val="53"/>
        <w:spacing w:line="578" w:lineRule="exact"/>
        <w:jc w:val="center"/>
        <w:rPr>
          <w:rFonts w:ascii="仿宋" w:hAnsi="仿宋" w:eastAsia="仿宋"/>
          <w:sz w:val="32"/>
          <w:szCs w:val="32"/>
        </w:rPr>
      </w:pPr>
    </w:p>
    <w:p w14:paraId="1CD0CF6D">
      <w:pPr>
        <w:pStyle w:val="53"/>
        <w:widowControl w:val="0"/>
        <w:spacing w:line="578" w:lineRule="exact"/>
        <w:ind w:left="0" w:firstLine="640" w:firstLineChars="200"/>
        <w:rPr>
          <w:rFonts w:ascii="仿宋" w:hAnsi="仿宋" w:eastAsia="仿宋"/>
          <w:sz w:val="32"/>
          <w:szCs w:val="32"/>
        </w:rPr>
      </w:pPr>
      <w:r>
        <w:rPr>
          <w:rFonts w:ascii="仿宋" w:hAnsi="仿宋" w:eastAsia="仿宋"/>
          <w:sz w:val="32"/>
          <w:szCs w:val="32"/>
        </w:rPr>
        <w:t>附注：</w:t>
      </w:r>
    </w:p>
    <w:p w14:paraId="2135C926">
      <w:pPr>
        <w:pStyle w:val="53"/>
        <w:widowControl w:val="0"/>
        <w:spacing w:line="578" w:lineRule="exact"/>
        <w:ind w:left="1557" w:leftChars="586" w:hanging="326" w:hangingChars="102"/>
        <w:rPr>
          <w:rFonts w:ascii="仿宋" w:hAnsi="仿宋" w:eastAsia="仿宋"/>
          <w:sz w:val="32"/>
          <w:szCs w:val="32"/>
        </w:rPr>
      </w:pPr>
      <w:r>
        <w:rPr>
          <w:rFonts w:ascii="仿宋" w:hAnsi="仿宋" w:eastAsia="仿宋"/>
          <w:sz w:val="32"/>
          <w:szCs w:val="32"/>
        </w:rPr>
        <w:t>①企事业单位、机关、团体的主要负责人为本单位的法定代表人；</w:t>
      </w:r>
    </w:p>
    <w:p w14:paraId="1B526611">
      <w:pPr>
        <w:pStyle w:val="53"/>
        <w:widowControl w:val="0"/>
        <w:spacing w:line="578" w:lineRule="exact"/>
        <w:ind w:left="0" w:firstLine="1232" w:firstLineChars="385"/>
        <w:rPr>
          <w:rFonts w:ascii="仿宋" w:hAnsi="仿宋" w:eastAsia="仿宋"/>
          <w:sz w:val="32"/>
          <w:szCs w:val="32"/>
        </w:rPr>
      </w:pPr>
      <w:r>
        <w:rPr>
          <w:rFonts w:ascii="仿宋" w:hAnsi="仿宋" w:eastAsia="仿宋"/>
          <w:sz w:val="32"/>
          <w:szCs w:val="32"/>
        </w:rPr>
        <w:t xml:space="preserve">②法定代表人办公地点：     </w:t>
      </w:r>
    </w:p>
    <w:p w14:paraId="0F5A856B">
      <w:pPr>
        <w:pStyle w:val="53"/>
        <w:widowControl w:val="0"/>
        <w:spacing w:line="578" w:lineRule="exact"/>
        <w:ind w:left="0" w:firstLine="1232" w:firstLineChars="385"/>
        <w:rPr>
          <w:rFonts w:ascii="仿宋" w:hAnsi="仿宋" w:eastAsia="仿宋"/>
          <w:sz w:val="32"/>
          <w:szCs w:val="32"/>
        </w:rPr>
      </w:pPr>
      <w:r>
        <w:rPr>
          <w:rFonts w:ascii="仿宋" w:hAnsi="仿宋" w:eastAsia="仿宋"/>
          <w:sz w:val="32"/>
          <w:szCs w:val="32"/>
        </w:rPr>
        <w:t xml:space="preserve">③法定代表人身份证号码：    </w:t>
      </w:r>
    </w:p>
    <w:p w14:paraId="79641394">
      <w:pPr>
        <w:pStyle w:val="53"/>
        <w:spacing w:line="578" w:lineRule="exact"/>
        <w:ind w:firstLine="1232" w:firstLineChars="385"/>
        <w:jc w:val="left"/>
        <w:rPr>
          <w:rFonts w:ascii="仿宋" w:hAnsi="仿宋" w:eastAsia="仿宋"/>
          <w:sz w:val="32"/>
          <w:szCs w:val="32"/>
        </w:rPr>
      </w:pPr>
      <w:r>
        <w:rPr>
          <w:rFonts w:ascii="仿宋" w:hAnsi="仿宋" w:eastAsia="仿宋"/>
          <w:sz w:val="32"/>
          <w:szCs w:val="32"/>
        </w:rPr>
        <w:t xml:space="preserve">④法定代表人联系电话：     </w:t>
      </w:r>
    </w:p>
    <w:p w14:paraId="3351204B">
      <w:pPr>
        <w:pStyle w:val="2"/>
        <w:keepNext w:val="0"/>
        <w:keepLines w:val="0"/>
        <w:adjustRightInd/>
        <w:snapToGrid/>
        <w:spacing w:before="0" w:afterLines="100" w:line="580" w:lineRule="exact"/>
        <w:ind w:firstLine="0" w:firstLineChars="0"/>
        <w:rPr>
          <w:rFonts w:ascii="Times New Roman" w:hAnsi="Times New Roman" w:eastAsia="方正小标宋简体"/>
          <w:b w:val="0"/>
          <w:bCs w:val="0"/>
          <w:sz w:val="44"/>
          <w:szCs w:val="44"/>
        </w:rPr>
      </w:pPr>
      <w:r>
        <w:rPr>
          <w:rFonts w:ascii="仿宋" w:hAnsi="仿宋" w:eastAsia="仿宋"/>
          <w:spacing w:val="-5"/>
          <w:sz w:val="32"/>
          <w:szCs w:val="32"/>
        </w:rPr>
        <w:br w:type="page"/>
      </w:r>
      <w:bookmarkStart w:id="46" w:name="_Toc141217786"/>
      <w:bookmarkStart w:id="47" w:name="_Toc141218093"/>
      <w:bookmarkStart w:id="48" w:name="_Toc141217390"/>
      <w:r>
        <w:rPr>
          <w:rFonts w:ascii="Times New Roman" w:hAnsi="Times New Roman" w:eastAsia="方正小标宋简体"/>
          <w:b w:val="0"/>
          <w:bCs w:val="0"/>
          <w:sz w:val="44"/>
          <w:szCs w:val="44"/>
        </w:rPr>
        <w:t>授 权 委 托 书（样本）</w:t>
      </w:r>
      <w:bookmarkEnd w:id="46"/>
      <w:bookmarkEnd w:id="47"/>
      <w:bookmarkEnd w:id="48"/>
    </w:p>
    <w:tbl>
      <w:tblPr>
        <w:tblStyle w:val="19"/>
        <w:tblW w:w="9080" w:type="dxa"/>
        <w:jc w:val="center"/>
        <w:tblLayout w:type="fixed"/>
        <w:tblCellMar>
          <w:top w:w="0" w:type="dxa"/>
          <w:left w:w="0" w:type="dxa"/>
          <w:bottom w:w="0" w:type="dxa"/>
          <w:right w:w="0" w:type="dxa"/>
        </w:tblCellMar>
      </w:tblPr>
      <w:tblGrid>
        <w:gridCol w:w="1573"/>
        <w:gridCol w:w="2973"/>
        <w:gridCol w:w="1566"/>
        <w:gridCol w:w="2968"/>
      </w:tblGrid>
      <w:tr w14:paraId="7619A790">
        <w:tblPrEx>
          <w:tblCellMar>
            <w:top w:w="0" w:type="dxa"/>
            <w:left w:w="0" w:type="dxa"/>
            <w:bottom w:w="0" w:type="dxa"/>
            <w:right w:w="0" w:type="dxa"/>
          </w:tblCellMar>
        </w:tblPrEx>
        <w:trPr>
          <w:trHeight w:val="334" w:hRule="atLeast"/>
          <w:jc w:val="center"/>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14:paraId="563248D1">
            <w:pPr>
              <w:widowControl/>
              <w:snapToGrid w:val="0"/>
              <w:jc w:val="center"/>
              <w:rPr>
                <w:rFonts w:ascii="仿宋" w:hAnsi="仿宋" w:eastAsia="仿宋"/>
                <w:kern w:val="0"/>
                <w:sz w:val="24"/>
              </w:rPr>
            </w:pPr>
            <w:r>
              <w:rPr>
                <w:rFonts w:ascii="仿宋" w:hAnsi="仿宋" w:eastAsia="仿宋"/>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14:paraId="3FF2649D">
            <w:pPr>
              <w:widowControl/>
              <w:snapToGrid w:val="0"/>
              <w:jc w:val="center"/>
              <w:rPr>
                <w:rFonts w:ascii="仿宋" w:hAnsi="仿宋" w:eastAsia="仿宋"/>
                <w:kern w:val="0"/>
                <w:sz w:val="24"/>
              </w:rPr>
            </w:pPr>
            <w:r>
              <w:rPr>
                <w:rFonts w:ascii="仿宋" w:hAnsi="仿宋" w:eastAsia="仿宋"/>
                <w:kern w:val="0"/>
                <w:sz w:val="24"/>
              </w:rPr>
              <w:t>受托人</w:t>
            </w:r>
          </w:p>
        </w:tc>
      </w:tr>
      <w:tr w14:paraId="61081908">
        <w:tblPrEx>
          <w:tblCellMar>
            <w:top w:w="0" w:type="dxa"/>
            <w:left w:w="0" w:type="dxa"/>
            <w:bottom w:w="0" w:type="dxa"/>
            <w:right w:w="0" w:type="dxa"/>
          </w:tblCellMar>
        </w:tblPrEx>
        <w:trPr>
          <w:trHeight w:val="555"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5758E14D">
            <w:pPr>
              <w:widowControl/>
              <w:snapToGrid w:val="0"/>
              <w:jc w:val="center"/>
              <w:rPr>
                <w:rFonts w:ascii="仿宋" w:hAnsi="仿宋" w:eastAsia="仿宋"/>
                <w:b/>
                <w:bCs/>
                <w:kern w:val="0"/>
                <w:sz w:val="24"/>
              </w:rPr>
            </w:pPr>
            <w:r>
              <w:rPr>
                <w:rFonts w:ascii="仿宋" w:hAnsi="仿宋" w:eastAsia="仿宋"/>
                <w:b/>
                <w:bCs/>
                <w:kern w:val="0"/>
                <w:sz w:val="24"/>
              </w:rPr>
              <w:t>姓  名</w:t>
            </w:r>
          </w:p>
        </w:tc>
        <w:tc>
          <w:tcPr>
            <w:tcW w:w="2973" w:type="dxa"/>
            <w:tcBorders>
              <w:top w:val="single" w:color="000000" w:sz="12" w:space="0"/>
              <w:left w:val="nil"/>
              <w:bottom w:val="single" w:color="000000" w:sz="12" w:space="0"/>
              <w:right w:val="single" w:color="000000" w:sz="12" w:space="0"/>
            </w:tcBorders>
            <w:vAlign w:val="center"/>
          </w:tcPr>
          <w:p w14:paraId="34690C69">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207A1FF5">
            <w:pPr>
              <w:widowControl/>
              <w:snapToGrid w:val="0"/>
              <w:jc w:val="center"/>
              <w:rPr>
                <w:rFonts w:ascii="仿宋" w:hAnsi="仿宋" w:eastAsia="仿宋"/>
                <w:b/>
                <w:bCs/>
                <w:kern w:val="0"/>
                <w:sz w:val="24"/>
              </w:rPr>
            </w:pPr>
            <w:r>
              <w:rPr>
                <w:rFonts w:ascii="仿宋" w:hAnsi="仿宋" w:eastAsia="仿宋"/>
                <w:b/>
                <w:bCs/>
                <w:kern w:val="0"/>
                <w:sz w:val="24"/>
              </w:rPr>
              <w:t>姓  名</w:t>
            </w:r>
          </w:p>
        </w:tc>
        <w:tc>
          <w:tcPr>
            <w:tcW w:w="2968" w:type="dxa"/>
            <w:tcBorders>
              <w:top w:val="single" w:color="000000" w:sz="12" w:space="0"/>
              <w:left w:val="nil"/>
              <w:bottom w:val="single" w:color="000000" w:sz="12" w:space="0"/>
              <w:right w:val="single" w:color="000000" w:sz="12" w:space="0"/>
            </w:tcBorders>
            <w:vAlign w:val="center"/>
          </w:tcPr>
          <w:p w14:paraId="2147C847">
            <w:pPr>
              <w:widowControl/>
              <w:snapToGrid w:val="0"/>
              <w:jc w:val="center"/>
              <w:rPr>
                <w:rFonts w:ascii="仿宋" w:hAnsi="仿宋" w:eastAsia="仿宋"/>
                <w:kern w:val="0"/>
                <w:sz w:val="24"/>
              </w:rPr>
            </w:pPr>
          </w:p>
        </w:tc>
      </w:tr>
      <w:tr w14:paraId="1A8E9D4A">
        <w:tblPrEx>
          <w:tblCellMar>
            <w:top w:w="0" w:type="dxa"/>
            <w:left w:w="0" w:type="dxa"/>
            <w:bottom w:w="0" w:type="dxa"/>
            <w:right w:w="0" w:type="dxa"/>
          </w:tblCellMar>
        </w:tblPrEx>
        <w:trPr>
          <w:trHeight w:val="537"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0E27B0D0">
            <w:pPr>
              <w:widowControl/>
              <w:snapToGrid w:val="0"/>
              <w:jc w:val="center"/>
              <w:rPr>
                <w:rFonts w:ascii="仿宋" w:hAnsi="仿宋" w:eastAsia="仿宋"/>
                <w:b/>
                <w:bCs/>
                <w:kern w:val="0"/>
                <w:sz w:val="24"/>
              </w:rPr>
            </w:pPr>
            <w:r>
              <w:rPr>
                <w:rFonts w:ascii="仿宋" w:hAnsi="仿宋" w:eastAsia="仿宋"/>
                <w:b/>
                <w:bCs/>
                <w:kern w:val="0"/>
                <w:sz w:val="24"/>
              </w:rPr>
              <w:t>性  别</w:t>
            </w:r>
          </w:p>
        </w:tc>
        <w:tc>
          <w:tcPr>
            <w:tcW w:w="2973" w:type="dxa"/>
            <w:tcBorders>
              <w:top w:val="single" w:color="000000" w:sz="12" w:space="0"/>
              <w:left w:val="nil"/>
              <w:bottom w:val="single" w:color="000000" w:sz="12" w:space="0"/>
              <w:right w:val="single" w:color="000000" w:sz="12" w:space="0"/>
            </w:tcBorders>
            <w:vAlign w:val="center"/>
          </w:tcPr>
          <w:p w14:paraId="44857473">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37826C45">
            <w:pPr>
              <w:widowControl/>
              <w:snapToGrid w:val="0"/>
              <w:jc w:val="center"/>
              <w:rPr>
                <w:rFonts w:ascii="仿宋" w:hAnsi="仿宋" w:eastAsia="仿宋"/>
                <w:b/>
                <w:bCs/>
                <w:kern w:val="0"/>
                <w:sz w:val="24"/>
              </w:rPr>
            </w:pPr>
            <w:r>
              <w:rPr>
                <w:rFonts w:ascii="仿宋" w:hAnsi="仿宋" w:eastAsia="仿宋"/>
                <w:b/>
                <w:bCs/>
                <w:kern w:val="0"/>
                <w:sz w:val="24"/>
              </w:rPr>
              <w:t>性  别</w:t>
            </w:r>
          </w:p>
        </w:tc>
        <w:tc>
          <w:tcPr>
            <w:tcW w:w="2968" w:type="dxa"/>
            <w:tcBorders>
              <w:top w:val="single" w:color="000000" w:sz="12" w:space="0"/>
              <w:left w:val="nil"/>
              <w:bottom w:val="single" w:color="000000" w:sz="12" w:space="0"/>
              <w:right w:val="single" w:color="000000" w:sz="12" w:space="0"/>
            </w:tcBorders>
            <w:vAlign w:val="center"/>
          </w:tcPr>
          <w:p w14:paraId="012619CB">
            <w:pPr>
              <w:widowControl/>
              <w:snapToGrid w:val="0"/>
              <w:jc w:val="center"/>
              <w:rPr>
                <w:rFonts w:ascii="仿宋" w:hAnsi="仿宋" w:eastAsia="仿宋"/>
                <w:kern w:val="0"/>
                <w:sz w:val="24"/>
              </w:rPr>
            </w:pPr>
          </w:p>
        </w:tc>
      </w:tr>
      <w:tr w14:paraId="75CFDFDB">
        <w:tblPrEx>
          <w:tblCellMar>
            <w:top w:w="0" w:type="dxa"/>
            <w:left w:w="0" w:type="dxa"/>
            <w:bottom w:w="0" w:type="dxa"/>
            <w:right w:w="0" w:type="dxa"/>
          </w:tblCellMar>
        </w:tblPrEx>
        <w:trPr>
          <w:trHeight w:val="542"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0388849C">
            <w:pPr>
              <w:widowControl/>
              <w:snapToGrid w:val="0"/>
              <w:jc w:val="center"/>
              <w:rPr>
                <w:rFonts w:ascii="仿宋" w:hAnsi="仿宋" w:eastAsia="仿宋"/>
                <w:b/>
                <w:bCs/>
                <w:kern w:val="0"/>
                <w:sz w:val="24"/>
              </w:rPr>
            </w:pPr>
            <w:r>
              <w:rPr>
                <w:rFonts w:ascii="仿宋" w:hAnsi="仿宋" w:eastAsia="仿宋"/>
                <w:b/>
                <w:bCs/>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14:paraId="0824452A">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293AFA32">
            <w:pPr>
              <w:widowControl/>
              <w:snapToGrid w:val="0"/>
              <w:jc w:val="center"/>
              <w:rPr>
                <w:rFonts w:ascii="仿宋" w:hAnsi="仿宋" w:eastAsia="仿宋"/>
                <w:b/>
                <w:bCs/>
                <w:kern w:val="0"/>
                <w:sz w:val="24"/>
              </w:rPr>
            </w:pPr>
            <w:r>
              <w:rPr>
                <w:rFonts w:ascii="仿宋" w:hAnsi="仿宋" w:eastAsia="仿宋"/>
                <w:b/>
                <w:bCs/>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14:paraId="12E8949D">
            <w:pPr>
              <w:widowControl/>
              <w:snapToGrid w:val="0"/>
              <w:jc w:val="center"/>
              <w:rPr>
                <w:rFonts w:ascii="仿宋" w:hAnsi="仿宋" w:eastAsia="仿宋"/>
                <w:kern w:val="0"/>
                <w:sz w:val="24"/>
              </w:rPr>
            </w:pPr>
          </w:p>
        </w:tc>
      </w:tr>
      <w:tr w14:paraId="5703B3E7">
        <w:tblPrEx>
          <w:tblCellMar>
            <w:top w:w="0" w:type="dxa"/>
            <w:left w:w="0" w:type="dxa"/>
            <w:bottom w:w="0" w:type="dxa"/>
            <w:right w:w="0" w:type="dxa"/>
          </w:tblCellMar>
        </w:tblPrEx>
        <w:trPr>
          <w:trHeight w:val="527"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22647601">
            <w:pPr>
              <w:widowControl/>
              <w:snapToGrid w:val="0"/>
              <w:jc w:val="center"/>
              <w:rPr>
                <w:rFonts w:ascii="仿宋" w:hAnsi="仿宋" w:eastAsia="仿宋"/>
                <w:b/>
                <w:bCs/>
                <w:kern w:val="0"/>
                <w:sz w:val="24"/>
              </w:rPr>
            </w:pPr>
            <w:r>
              <w:rPr>
                <w:rFonts w:ascii="仿宋" w:hAnsi="仿宋" w:eastAsia="仿宋"/>
                <w:b/>
                <w:bCs/>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14:paraId="29C71865">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75D92FF8">
            <w:pPr>
              <w:widowControl/>
              <w:snapToGrid w:val="0"/>
              <w:jc w:val="center"/>
              <w:rPr>
                <w:rFonts w:ascii="仿宋" w:hAnsi="仿宋" w:eastAsia="仿宋"/>
                <w:b/>
                <w:bCs/>
                <w:kern w:val="0"/>
                <w:sz w:val="24"/>
              </w:rPr>
            </w:pPr>
            <w:r>
              <w:rPr>
                <w:rFonts w:ascii="仿宋" w:hAnsi="仿宋" w:eastAsia="仿宋"/>
                <w:b/>
                <w:bCs/>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14:paraId="0360CBFF">
            <w:pPr>
              <w:widowControl/>
              <w:snapToGrid w:val="0"/>
              <w:jc w:val="center"/>
              <w:rPr>
                <w:rFonts w:ascii="仿宋" w:hAnsi="仿宋" w:eastAsia="仿宋"/>
                <w:kern w:val="0"/>
                <w:sz w:val="24"/>
              </w:rPr>
            </w:pPr>
          </w:p>
        </w:tc>
      </w:tr>
      <w:tr w14:paraId="245EA8CF">
        <w:tblPrEx>
          <w:tblCellMar>
            <w:top w:w="0" w:type="dxa"/>
            <w:left w:w="0" w:type="dxa"/>
            <w:bottom w:w="0" w:type="dxa"/>
            <w:right w:w="0" w:type="dxa"/>
          </w:tblCellMar>
        </w:tblPrEx>
        <w:trPr>
          <w:trHeight w:val="538"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56120903">
            <w:pPr>
              <w:widowControl/>
              <w:snapToGrid w:val="0"/>
              <w:jc w:val="center"/>
              <w:rPr>
                <w:rFonts w:ascii="仿宋" w:hAnsi="仿宋" w:eastAsia="仿宋"/>
                <w:b/>
                <w:bCs/>
                <w:kern w:val="0"/>
                <w:sz w:val="24"/>
              </w:rPr>
            </w:pPr>
            <w:r>
              <w:rPr>
                <w:rFonts w:ascii="仿宋" w:hAnsi="仿宋" w:eastAsia="仿宋"/>
                <w:b/>
                <w:bCs/>
                <w:kern w:val="0"/>
                <w:sz w:val="24"/>
              </w:rPr>
              <w:t>职  务</w:t>
            </w:r>
          </w:p>
        </w:tc>
        <w:tc>
          <w:tcPr>
            <w:tcW w:w="2973" w:type="dxa"/>
            <w:tcBorders>
              <w:top w:val="single" w:color="000000" w:sz="12" w:space="0"/>
              <w:left w:val="nil"/>
              <w:bottom w:val="single" w:color="000000" w:sz="12" w:space="0"/>
              <w:right w:val="single" w:color="000000" w:sz="12" w:space="0"/>
            </w:tcBorders>
            <w:vAlign w:val="center"/>
          </w:tcPr>
          <w:p w14:paraId="215CA99F">
            <w:pPr>
              <w:widowControl/>
              <w:snapToGrid w:val="0"/>
              <w:jc w:val="center"/>
              <w:rPr>
                <w:rFonts w:ascii="仿宋" w:hAnsi="仿宋" w:eastAsia="仿宋"/>
                <w:kern w:val="0"/>
                <w:sz w:val="24"/>
              </w:rPr>
            </w:pPr>
          </w:p>
        </w:tc>
        <w:tc>
          <w:tcPr>
            <w:tcW w:w="1566" w:type="dxa"/>
            <w:tcBorders>
              <w:top w:val="single" w:color="000000" w:sz="12" w:space="0"/>
              <w:left w:val="nil"/>
              <w:bottom w:val="single" w:color="000000" w:sz="12" w:space="0"/>
              <w:right w:val="single" w:color="000000" w:sz="12" w:space="0"/>
            </w:tcBorders>
            <w:vAlign w:val="center"/>
          </w:tcPr>
          <w:p w14:paraId="42B712A9">
            <w:pPr>
              <w:widowControl/>
              <w:snapToGrid w:val="0"/>
              <w:jc w:val="center"/>
              <w:rPr>
                <w:rFonts w:ascii="仿宋" w:hAnsi="仿宋" w:eastAsia="仿宋"/>
                <w:b/>
                <w:bCs/>
                <w:kern w:val="0"/>
                <w:sz w:val="24"/>
              </w:rPr>
            </w:pPr>
            <w:r>
              <w:rPr>
                <w:rFonts w:ascii="仿宋" w:hAnsi="仿宋" w:eastAsia="仿宋"/>
                <w:b/>
                <w:bCs/>
                <w:kern w:val="0"/>
                <w:sz w:val="24"/>
              </w:rPr>
              <w:t>职  务</w:t>
            </w:r>
          </w:p>
        </w:tc>
        <w:tc>
          <w:tcPr>
            <w:tcW w:w="2968" w:type="dxa"/>
            <w:tcBorders>
              <w:top w:val="single" w:color="000000" w:sz="12" w:space="0"/>
              <w:left w:val="nil"/>
              <w:bottom w:val="single" w:color="000000" w:sz="12" w:space="0"/>
              <w:right w:val="single" w:color="000000" w:sz="12" w:space="0"/>
            </w:tcBorders>
            <w:vAlign w:val="center"/>
          </w:tcPr>
          <w:p w14:paraId="22C89CF4">
            <w:pPr>
              <w:widowControl/>
              <w:snapToGrid w:val="0"/>
              <w:jc w:val="center"/>
              <w:rPr>
                <w:rFonts w:ascii="仿宋" w:hAnsi="仿宋" w:eastAsia="仿宋"/>
                <w:kern w:val="0"/>
                <w:sz w:val="24"/>
              </w:rPr>
            </w:pPr>
          </w:p>
        </w:tc>
      </w:tr>
      <w:tr w14:paraId="7A124995">
        <w:tblPrEx>
          <w:tblCellMar>
            <w:top w:w="0" w:type="dxa"/>
            <w:left w:w="0" w:type="dxa"/>
            <w:bottom w:w="0" w:type="dxa"/>
            <w:right w:w="0" w:type="dxa"/>
          </w:tblCellMar>
        </w:tblPrEx>
        <w:trPr>
          <w:trHeight w:val="520" w:hRule="atLeast"/>
          <w:jc w:val="center"/>
        </w:trPr>
        <w:tc>
          <w:tcPr>
            <w:tcW w:w="1573" w:type="dxa"/>
            <w:vMerge w:val="restart"/>
            <w:tcBorders>
              <w:top w:val="nil"/>
              <w:left w:val="single" w:color="000000" w:sz="12" w:space="0"/>
              <w:bottom w:val="single" w:color="000000" w:sz="12" w:space="0"/>
              <w:right w:val="single" w:color="000000" w:sz="12" w:space="0"/>
            </w:tcBorders>
            <w:vAlign w:val="center"/>
          </w:tcPr>
          <w:p w14:paraId="56844657">
            <w:pPr>
              <w:widowControl/>
              <w:snapToGrid w:val="0"/>
              <w:jc w:val="center"/>
              <w:rPr>
                <w:rFonts w:ascii="仿宋" w:hAnsi="仿宋" w:eastAsia="仿宋"/>
                <w:b/>
                <w:bCs/>
                <w:kern w:val="0"/>
                <w:sz w:val="24"/>
              </w:rPr>
            </w:pPr>
            <w:r>
              <w:rPr>
                <w:rFonts w:ascii="仿宋" w:hAnsi="仿宋" w:eastAsia="仿宋"/>
                <w:b/>
                <w:bCs/>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14:paraId="696316FD">
            <w:pPr>
              <w:widowControl/>
              <w:snapToGrid w:val="0"/>
              <w:jc w:val="center"/>
              <w:rPr>
                <w:rFonts w:ascii="仿宋" w:hAnsi="仿宋" w:eastAsia="仿宋"/>
                <w:b/>
                <w:bCs/>
                <w:kern w:val="0"/>
                <w:sz w:val="24"/>
              </w:rPr>
            </w:pPr>
            <w:r>
              <w:rPr>
                <w:rFonts w:ascii="仿宋" w:hAnsi="仿宋" w:eastAsia="仿宋"/>
                <w:b/>
                <w:bCs/>
                <w:kern w:val="0"/>
                <w:sz w:val="24"/>
              </w:rPr>
              <w:t>身份证□   护照□</w:t>
            </w:r>
          </w:p>
        </w:tc>
        <w:tc>
          <w:tcPr>
            <w:tcW w:w="1566" w:type="dxa"/>
            <w:vMerge w:val="restart"/>
            <w:tcBorders>
              <w:top w:val="nil"/>
              <w:left w:val="nil"/>
              <w:bottom w:val="single" w:color="000000" w:sz="12" w:space="0"/>
              <w:right w:val="single" w:color="000000" w:sz="12" w:space="0"/>
            </w:tcBorders>
            <w:vAlign w:val="center"/>
          </w:tcPr>
          <w:p w14:paraId="7DA6B589">
            <w:pPr>
              <w:widowControl/>
              <w:snapToGrid w:val="0"/>
              <w:jc w:val="center"/>
              <w:rPr>
                <w:rFonts w:ascii="仿宋" w:hAnsi="仿宋" w:eastAsia="仿宋"/>
                <w:b/>
                <w:bCs/>
                <w:kern w:val="0"/>
                <w:sz w:val="24"/>
              </w:rPr>
            </w:pPr>
            <w:r>
              <w:rPr>
                <w:rFonts w:ascii="仿宋" w:hAnsi="仿宋" w:eastAsia="仿宋"/>
                <w:b/>
                <w:bCs/>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14:paraId="37B3F6B8">
            <w:pPr>
              <w:widowControl/>
              <w:snapToGrid w:val="0"/>
              <w:jc w:val="center"/>
              <w:rPr>
                <w:rFonts w:ascii="仿宋" w:hAnsi="仿宋" w:eastAsia="仿宋"/>
                <w:b/>
                <w:bCs/>
                <w:kern w:val="0"/>
                <w:sz w:val="24"/>
              </w:rPr>
            </w:pPr>
            <w:r>
              <w:rPr>
                <w:rFonts w:ascii="仿宋" w:hAnsi="仿宋" w:eastAsia="仿宋"/>
                <w:b/>
                <w:bCs/>
                <w:kern w:val="0"/>
                <w:sz w:val="24"/>
              </w:rPr>
              <w:t>身份证□   护照□</w:t>
            </w:r>
          </w:p>
        </w:tc>
      </w:tr>
      <w:tr w14:paraId="354C97CA">
        <w:tblPrEx>
          <w:tblCellMar>
            <w:top w:w="0" w:type="dxa"/>
            <w:left w:w="0" w:type="dxa"/>
            <w:bottom w:w="0" w:type="dxa"/>
            <w:right w:w="0" w:type="dxa"/>
          </w:tblCellMar>
        </w:tblPrEx>
        <w:trPr>
          <w:trHeight w:val="44" w:hRule="atLeast"/>
          <w:jc w:val="center"/>
        </w:trPr>
        <w:tc>
          <w:tcPr>
            <w:tcW w:w="1573" w:type="dxa"/>
            <w:vMerge w:val="continue"/>
            <w:tcBorders>
              <w:top w:val="nil"/>
              <w:left w:val="single" w:color="000000" w:sz="12" w:space="0"/>
              <w:bottom w:val="single" w:color="000000" w:sz="12" w:space="0"/>
              <w:right w:val="single" w:color="000000" w:sz="12" w:space="0"/>
            </w:tcBorders>
            <w:vAlign w:val="center"/>
          </w:tcPr>
          <w:p w14:paraId="33BE77FE">
            <w:pPr>
              <w:widowControl/>
              <w:snapToGrid w:val="0"/>
              <w:jc w:val="left"/>
              <w:rPr>
                <w:rFonts w:ascii="仿宋" w:hAnsi="仿宋" w:eastAsia="仿宋"/>
                <w:kern w:val="0"/>
                <w:sz w:val="24"/>
              </w:rPr>
            </w:pPr>
          </w:p>
        </w:tc>
        <w:tc>
          <w:tcPr>
            <w:tcW w:w="2973" w:type="dxa"/>
            <w:tcBorders>
              <w:top w:val="single" w:color="000000" w:sz="12" w:space="0"/>
              <w:left w:val="nil"/>
              <w:bottom w:val="single" w:color="000000" w:sz="12" w:space="0"/>
              <w:right w:val="single" w:color="000000" w:sz="12" w:space="0"/>
            </w:tcBorders>
            <w:vAlign w:val="center"/>
          </w:tcPr>
          <w:p w14:paraId="417A1B9C">
            <w:pPr>
              <w:widowControl/>
              <w:snapToGrid w:val="0"/>
              <w:jc w:val="center"/>
              <w:rPr>
                <w:rFonts w:ascii="仿宋" w:hAnsi="仿宋" w:eastAsia="仿宋"/>
                <w:kern w:val="0"/>
                <w:sz w:val="24"/>
              </w:rPr>
            </w:pPr>
          </w:p>
        </w:tc>
        <w:tc>
          <w:tcPr>
            <w:tcW w:w="1566" w:type="dxa"/>
            <w:vMerge w:val="continue"/>
            <w:tcBorders>
              <w:top w:val="nil"/>
              <w:left w:val="nil"/>
              <w:bottom w:val="single" w:color="000000" w:sz="12" w:space="0"/>
              <w:right w:val="single" w:color="000000" w:sz="12" w:space="0"/>
            </w:tcBorders>
            <w:vAlign w:val="center"/>
          </w:tcPr>
          <w:p w14:paraId="6601747D">
            <w:pPr>
              <w:widowControl/>
              <w:snapToGrid w:val="0"/>
              <w:jc w:val="left"/>
              <w:rPr>
                <w:rFonts w:ascii="仿宋" w:hAnsi="仿宋" w:eastAsia="仿宋"/>
                <w:kern w:val="0"/>
                <w:sz w:val="24"/>
              </w:rPr>
            </w:pPr>
          </w:p>
        </w:tc>
        <w:tc>
          <w:tcPr>
            <w:tcW w:w="2968" w:type="dxa"/>
            <w:tcBorders>
              <w:top w:val="single" w:color="000000" w:sz="12" w:space="0"/>
              <w:left w:val="nil"/>
              <w:bottom w:val="single" w:color="000000" w:sz="12" w:space="0"/>
              <w:right w:val="single" w:color="000000" w:sz="12" w:space="0"/>
            </w:tcBorders>
            <w:vAlign w:val="center"/>
          </w:tcPr>
          <w:p w14:paraId="45358495">
            <w:pPr>
              <w:widowControl/>
              <w:snapToGrid w:val="0"/>
              <w:jc w:val="center"/>
              <w:rPr>
                <w:rFonts w:ascii="仿宋" w:hAnsi="仿宋" w:eastAsia="仿宋"/>
                <w:kern w:val="0"/>
                <w:sz w:val="24"/>
              </w:rPr>
            </w:pPr>
          </w:p>
        </w:tc>
      </w:tr>
      <w:tr w14:paraId="4D990771">
        <w:tblPrEx>
          <w:tblCellMar>
            <w:top w:w="0" w:type="dxa"/>
            <w:left w:w="0" w:type="dxa"/>
            <w:bottom w:w="0" w:type="dxa"/>
            <w:right w:w="0" w:type="dxa"/>
          </w:tblCellMar>
        </w:tblPrEx>
        <w:trPr>
          <w:trHeight w:val="5357" w:hRule="atLeast"/>
          <w:jc w:val="center"/>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14:paraId="524C2CC6">
            <w:pPr>
              <w:widowControl/>
              <w:spacing w:line="500" w:lineRule="exact"/>
              <w:ind w:firstLine="480" w:firstLineChars="200"/>
              <w:rPr>
                <w:rFonts w:ascii="仿宋" w:hAnsi="仿宋" w:eastAsia="仿宋"/>
                <w:kern w:val="0"/>
                <w:sz w:val="24"/>
              </w:rPr>
            </w:pPr>
            <w:r>
              <w:rPr>
                <w:rFonts w:ascii="仿宋" w:hAnsi="仿宋" w:eastAsia="仿宋"/>
                <w:kern w:val="0"/>
                <w:sz w:val="24"/>
              </w:rPr>
              <w:t>本人授权</w:t>
            </w:r>
            <w:r>
              <w:rPr>
                <w:rFonts w:ascii="仿宋" w:hAnsi="仿宋" w:eastAsia="仿宋"/>
                <w:kern w:val="0"/>
                <w:sz w:val="24"/>
                <w:u w:val="single"/>
              </w:rPr>
              <w:t xml:space="preserve">        </w:t>
            </w:r>
            <w:r>
              <w:rPr>
                <w:rFonts w:ascii="仿宋" w:hAnsi="仿宋" w:eastAsia="仿宋"/>
                <w:kern w:val="0"/>
                <w:sz w:val="24"/>
              </w:rPr>
              <w:t>（受托人）代表本人参加</w:t>
            </w:r>
            <w:r>
              <w:rPr>
                <w:rFonts w:ascii="仿宋" w:hAnsi="仿宋" w:eastAsia="仿宋"/>
                <w:sz w:val="24"/>
                <w:u w:val="single"/>
              </w:rPr>
              <w:t xml:space="preserve">    年   月   日</w:t>
            </w:r>
            <w:r>
              <w:rPr>
                <w:rFonts w:ascii="仿宋" w:hAnsi="仿宋" w:eastAsia="仿宋"/>
                <w:kern w:val="0"/>
                <w:sz w:val="24"/>
              </w:rPr>
              <w:t>在四川省达州市马踏洞新区龙马大道与鱼泉路交叉口处新政务服务大楼市公共资源交易服务中心举行的</w:t>
            </w:r>
            <w:r>
              <w:rPr>
                <w:rFonts w:hint="eastAsia" w:ascii="仿宋" w:hAnsi="仿宋" w:eastAsia="仿宋"/>
                <w:kern w:val="0"/>
                <w:sz w:val="24"/>
                <w:u w:val="single"/>
              </w:rPr>
              <w:t>达州市通川区双龙镇茶店村饰面用砂岩矿采矿权</w:t>
            </w:r>
            <w:r>
              <w:rPr>
                <w:rFonts w:hint="eastAsia" w:ascii="仿宋" w:hAnsi="仿宋" w:eastAsia="仿宋"/>
                <w:sz w:val="24"/>
                <w:u w:val="none"/>
              </w:rPr>
              <w:t>拍</w:t>
            </w:r>
            <w:r>
              <w:rPr>
                <w:rFonts w:ascii="仿宋" w:hAnsi="仿宋" w:eastAsia="仿宋"/>
                <w:kern w:val="0"/>
                <w:sz w:val="24"/>
                <w:u w:val="none"/>
              </w:rPr>
              <w:t>卖</w:t>
            </w:r>
            <w:r>
              <w:rPr>
                <w:rFonts w:ascii="仿宋" w:hAnsi="仿宋" w:eastAsia="仿宋"/>
                <w:kern w:val="0"/>
                <w:sz w:val="24"/>
              </w:rPr>
              <w:t>出让活动，代表本人签定《成交确认书》《采矿权出让合同》等具有法律意义的文件、凭据等。</w:t>
            </w:r>
          </w:p>
          <w:p w14:paraId="0BCD0A6E">
            <w:pPr>
              <w:widowControl/>
              <w:spacing w:line="500" w:lineRule="exact"/>
              <w:ind w:firstLine="480" w:firstLineChars="200"/>
              <w:rPr>
                <w:rFonts w:ascii="仿宋" w:hAnsi="仿宋" w:eastAsia="仿宋"/>
                <w:kern w:val="0"/>
                <w:sz w:val="24"/>
              </w:rPr>
            </w:pPr>
            <w:r>
              <w:rPr>
                <w:rFonts w:ascii="仿宋" w:hAnsi="仿宋" w:eastAsia="仿宋"/>
                <w:kern w:val="0"/>
                <w:sz w:val="24"/>
              </w:rPr>
              <w:t>受托人在该宗采矿权拍卖出让活动中所做出的承诺、签定的合同或文件，本人均予以承认，并承担由此产生的法律后果。</w:t>
            </w:r>
          </w:p>
          <w:p w14:paraId="05902C49">
            <w:pPr>
              <w:widowControl/>
              <w:spacing w:line="500" w:lineRule="exact"/>
              <w:jc w:val="left"/>
              <w:rPr>
                <w:rFonts w:ascii="仿宋" w:hAnsi="仿宋" w:eastAsia="仿宋"/>
                <w:kern w:val="0"/>
                <w:sz w:val="24"/>
              </w:rPr>
            </w:pPr>
            <w:r>
              <w:rPr>
                <w:rFonts w:ascii="仿宋" w:hAnsi="仿宋" w:eastAsia="仿宋"/>
                <w:kern w:val="0"/>
                <w:sz w:val="24"/>
              </w:rPr>
              <w:t xml:space="preserve">                                </w:t>
            </w:r>
            <w:r>
              <w:rPr>
                <w:rFonts w:hint="eastAsia" w:ascii="仿宋" w:hAnsi="仿宋" w:eastAsia="仿宋"/>
                <w:kern w:val="0"/>
                <w:sz w:val="24"/>
              </w:rPr>
              <w:t xml:space="preserve">      </w:t>
            </w:r>
            <w:r>
              <w:rPr>
                <w:rFonts w:ascii="仿宋" w:hAnsi="仿宋" w:eastAsia="仿宋"/>
                <w:kern w:val="0"/>
                <w:sz w:val="24"/>
              </w:rPr>
              <w:t xml:space="preserve">委托人（签名）：             </w:t>
            </w:r>
          </w:p>
          <w:p w14:paraId="0E3FAA2F">
            <w:pPr>
              <w:widowControl/>
              <w:spacing w:line="500" w:lineRule="exact"/>
              <w:jc w:val="left"/>
              <w:rPr>
                <w:rFonts w:ascii="仿宋" w:hAnsi="仿宋" w:eastAsia="仿宋"/>
                <w:kern w:val="0"/>
                <w:sz w:val="24"/>
              </w:rPr>
            </w:pPr>
            <w:r>
              <w:rPr>
                <w:rFonts w:ascii="仿宋" w:hAnsi="仿宋" w:eastAsia="仿宋"/>
                <w:kern w:val="0"/>
                <w:sz w:val="24"/>
              </w:rPr>
              <w:t xml:space="preserve">                                       年    月    日</w:t>
            </w:r>
          </w:p>
        </w:tc>
      </w:tr>
      <w:tr w14:paraId="2CB026A1">
        <w:tblPrEx>
          <w:tblCellMar>
            <w:top w:w="0" w:type="dxa"/>
            <w:left w:w="0" w:type="dxa"/>
            <w:bottom w:w="0" w:type="dxa"/>
            <w:right w:w="0" w:type="dxa"/>
          </w:tblCellMar>
        </w:tblPrEx>
        <w:trPr>
          <w:trHeight w:val="1753" w:hRule="atLeast"/>
          <w:jc w:val="center"/>
        </w:trPr>
        <w:tc>
          <w:tcPr>
            <w:tcW w:w="1573" w:type="dxa"/>
            <w:tcBorders>
              <w:top w:val="single" w:color="000000" w:sz="12" w:space="0"/>
              <w:left w:val="single" w:color="000000" w:sz="12" w:space="0"/>
              <w:bottom w:val="single" w:color="000000" w:sz="12" w:space="0"/>
              <w:right w:val="single" w:color="000000" w:sz="12" w:space="0"/>
            </w:tcBorders>
            <w:vAlign w:val="center"/>
          </w:tcPr>
          <w:p w14:paraId="2D76B95B">
            <w:pPr>
              <w:widowControl/>
              <w:spacing w:line="400" w:lineRule="exact"/>
              <w:ind w:left="1"/>
              <w:jc w:val="center"/>
              <w:rPr>
                <w:rFonts w:ascii="仿宋" w:hAnsi="仿宋" w:eastAsia="仿宋"/>
                <w:kern w:val="0"/>
                <w:sz w:val="24"/>
              </w:rPr>
            </w:pPr>
            <w:r>
              <w:rPr>
                <w:rFonts w:ascii="仿宋" w:hAnsi="仿宋" w:eastAsia="仿宋"/>
                <w:kern w:val="0"/>
                <w:sz w:val="24"/>
              </w:rPr>
              <w:t>备</w:t>
            </w:r>
          </w:p>
          <w:p w14:paraId="5D878425">
            <w:pPr>
              <w:widowControl/>
              <w:spacing w:line="400" w:lineRule="exact"/>
              <w:ind w:left="1" w:firstLine="238"/>
              <w:rPr>
                <w:rFonts w:ascii="仿宋" w:hAnsi="仿宋" w:eastAsia="仿宋"/>
                <w:kern w:val="0"/>
                <w:sz w:val="24"/>
              </w:rPr>
            </w:pPr>
          </w:p>
          <w:p w14:paraId="3FBC2B6D">
            <w:pPr>
              <w:widowControl/>
              <w:spacing w:line="400" w:lineRule="exact"/>
              <w:ind w:left="1"/>
              <w:jc w:val="center"/>
              <w:rPr>
                <w:rFonts w:ascii="仿宋" w:hAnsi="仿宋" w:eastAsia="仿宋"/>
                <w:kern w:val="0"/>
                <w:sz w:val="24"/>
              </w:rPr>
            </w:pPr>
            <w:r>
              <w:rPr>
                <w:rFonts w:ascii="仿宋" w:hAnsi="仿宋" w:eastAsia="仿宋"/>
                <w:kern w:val="0"/>
                <w:sz w:val="24"/>
              </w:rPr>
              <w:t>注</w:t>
            </w:r>
          </w:p>
        </w:tc>
        <w:tc>
          <w:tcPr>
            <w:tcW w:w="7507" w:type="dxa"/>
            <w:gridSpan w:val="3"/>
            <w:tcBorders>
              <w:top w:val="single" w:color="000000" w:sz="12" w:space="0"/>
              <w:left w:val="nil"/>
              <w:bottom w:val="single" w:color="000000" w:sz="12" w:space="0"/>
              <w:right w:val="single" w:color="000000" w:sz="12" w:space="0"/>
            </w:tcBorders>
          </w:tcPr>
          <w:p w14:paraId="38789264">
            <w:pPr>
              <w:widowControl/>
              <w:spacing w:line="400" w:lineRule="exact"/>
              <w:rPr>
                <w:rFonts w:ascii="仿宋" w:hAnsi="仿宋" w:eastAsia="仿宋"/>
                <w:kern w:val="0"/>
                <w:sz w:val="24"/>
              </w:rPr>
            </w:pPr>
            <w:r>
              <w:rPr>
                <w:rFonts w:ascii="仿宋" w:hAnsi="仿宋" w:eastAsia="仿宋"/>
                <w:kern w:val="0"/>
                <w:sz w:val="24"/>
              </w:rPr>
              <w:t>兹证明本委托书确系本</w:t>
            </w:r>
            <w:r>
              <w:rPr>
                <w:rFonts w:hint="eastAsia" w:ascii="仿宋" w:hAnsi="仿宋" w:eastAsia="仿宋"/>
                <w:kern w:val="0"/>
                <w:sz w:val="24"/>
              </w:rPr>
              <w:t>公司（</w:t>
            </w:r>
            <w:r>
              <w:rPr>
                <w:rFonts w:ascii="仿宋" w:hAnsi="仿宋" w:eastAsia="仿宋"/>
                <w:kern w:val="0"/>
                <w:sz w:val="24"/>
              </w:rPr>
              <w:t>单位</w:t>
            </w:r>
            <w:r>
              <w:rPr>
                <w:rFonts w:hint="eastAsia" w:ascii="仿宋" w:hAnsi="仿宋" w:eastAsia="仿宋"/>
                <w:kern w:val="0"/>
                <w:sz w:val="24"/>
              </w:rPr>
              <w:t>）</w:t>
            </w:r>
            <w:r>
              <w:rPr>
                <w:rFonts w:ascii="仿宋" w:hAnsi="仿宋" w:eastAsia="仿宋"/>
                <w:kern w:val="0"/>
                <w:sz w:val="24"/>
              </w:rPr>
              <w:t>法定代表人</w:t>
            </w:r>
            <w:r>
              <w:rPr>
                <w:rFonts w:ascii="仿宋" w:hAnsi="仿宋" w:eastAsia="仿宋"/>
                <w:kern w:val="0"/>
                <w:sz w:val="24"/>
                <w:u w:val="single"/>
              </w:rPr>
              <w:t xml:space="preserve">     </w:t>
            </w:r>
            <w:r>
              <w:rPr>
                <w:rFonts w:hint="eastAsia" w:ascii="仿宋" w:hAnsi="仿宋" w:eastAsia="仿宋"/>
                <w:kern w:val="0"/>
                <w:sz w:val="24"/>
                <w:u w:val="single"/>
              </w:rPr>
              <w:t xml:space="preserve"> </w:t>
            </w:r>
            <w:r>
              <w:rPr>
                <w:rFonts w:ascii="仿宋" w:hAnsi="仿宋" w:eastAsia="仿宋"/>
                <w:kern w:val="0"/>
                <w:sz w:val="24"/>
              </w:rPr>
              <w:t>亲自签定。</w:t>
            </w:r>
          </w:p>
          <w:p w14:paraId="634BAB35">
            <w:pPr>
              <w:widowControl/>
              <w:spacing w:line="400" w:lineRule="exact"/>
              <w:ind w:left="1" w:right="1812" w:rightChars="863"/>
              <w:jc w:val="right"/>
              <w:rPr>
                <w:rFonts w:ascii="仿宋" w:hAnsi="仿宋" w:eastAsia="仿宋"/>
                <w:kern w:val="0"/>
                <w:sz w:val="24"/>
              </w:rPr>
            </w:pPr>
            <w:r>
              <w:rPr>
                <w:rFonts w:ascii="仿宋" w:hAnsi="仿宋" w:eastAsia="仿宋"/>
                <w:kern w:val="0"/>
                <w:sz w:val="24"/>
              </w:rPr>
              <w:t>（</w:t>
            </w:r>
            <w:r>
              <w:rPr>
                <w:rFonts w:hint="eastAsia" w:ascii="仿宋" w:hAnsi="仿宋" w:eastAsia="仿宋"/>
                <w:kern w:val="0"/>
                <w:sz w:val="24"/>
              </w:rPr>
              <w:t>盖</w:t>
            </w:r>
            <w:r>
              <w:rPr>
                <w:rFonts w:ascii="仿宋" w:hAnsi="仿宋" w:eastAsia="仿宋"/>
                <w:kern w:val="0"/>
                <w:sz w:val="24"/>
              </w:rPr>
              <w:t>章）</w:t>
            </w:r>
          </w:p>
          <w:p w14:paraId="348F126A">
            <w:pPr>
              <w:widowControl/>
              <w:spacing w:line="400" w:lineRule="exact"/>
              <w:ind w:right="1688"/>
              <w:jc w:val="right"/>
              <w:rPr>
                <w:rFonts w:ascii="仿宋" w:hAnsi="仿宋" w:eastAsia="仿宋"/>
                <w:kern w:val="0"/>
                <w:sz w:val="24"/>
              </w:rPr>
            </w:pPr>
            <w:r>
              <w:rPr>
                <w:rFonts w:ascii="仿宋" w:hAnsi="仿宋" w:eastAsia="仿宋"/>
                <w:kern w:val="0"/>
                <w:sz w:val="24"/>
              </w:rPr>
              <w:t>202</w:t>
            </w:r>
            <w:r>
              <w:rPr>
                <w:rFonts w:hint="eastAsia" w:ascii="仿宋" w:hAnsi="仿宋" w:eastAsia="仿宋"/>
                <w:kern w:val="0"/>
                <w:sz w:val="24"/>
                <w:lang w:val="en-US" w:eastAsia="zh-CN"/>
              </w:rPr>
              <w:t>6</w:t>
            </w:r>
            <w:r>
              <w:rPr>
                <w:rFonts w:ascii="仿宋" w:hAnsi="仿宋" w:eastAsia="仿宋"/>
                <w:kern w:val="0"/>
                <w:sz w:val="24"/>
              </w:rPr>
              <w:t>年  月  日</w:t>
            </w:r>
          </w:p>
        </w:tc>
      </w:tr>
    </w:tbl>
    <w:p w14:paraId="0ECEA4A2">
      <w:pPr>
        <w:pStyle w:val="2"/>
        <w:keepNext w:val="0"/>
        <w:keepLines w:val="0"/>
        <w:adjustRightInd/>
        <w:snapToGrid/>
        <w:spacing w:before="0" w:after="0" w:line="580" w:lineRule="exact"/>
        <w:ind w:firstLine="0" w:firstLineChars="0"/>
        <w:rPr>
          <w:rFonts w:ascii="Times New Roman" w:hAnsi="Times New Roman" w:eastAsia="方正小标宋简体"/>
          <w:b w:val="0"/>
          <w:bCs w:val="0"/>
          <w:sz w:val="44"/>
          <w:szCs w:val="44"/>
        </w:rPr>
      </w:pPr>
      <w:bookmarkStart w:id="49" w:name="_Toc141217391"/>
      <w:bookmarkStart w:id="50" w:name="_Toc141217787"/>
      <w:bookmarkStart w:id="51" w:name="_Toc141218094"/>
      <w:r>
        <w:rPr>
          <w:rFonts w:ascii="Times New Roman" w:hAnsi="Times New Roman" w:eastAsia="方正小标宋简体"/>
          <w:b w:val="0"/>
          <w:bCs w:val="0"/>
          <w:sz w:val="44"/>
          <w:szCs w:val="44"/>
        </w:rPr>
        <w:t>采矿权成交确认书（样本）</w:t>
      </w:r>
      <w:bookmarkEnd w:id="49"/>
      <w:bookmarkEnd w:id="50"/>
      <w:bookmarkEnd w:id="51"/>
    </w:p>
    <w:p w14:paraId="338ACCC2">
      <w:pPr>
        <w:pStyle w:val="53"/>
        <w:spacing w:line="520" w:lineRule="exact"/>
        <w:jc w:val="center"/>
        <w:rPr>
          <w:rFonts w:ascii="仿宋" w:hAnsi="仿宋" w:eastAsia="仿宋"/>
          <w:kern w:val="2"/>
          <w:sz w:val="32"/>
          <w:szCs w:val="32"/>
        </w:rPr>
      </w:pPr>
    </w:p>
    <w:p w14:paraId="4D74ADF5">
      <w:pPr>
        <w:pStyle w:val="53"/>
        <w:widowControl w:val="0"/>
        <w:spacing w:line="520" w:lineRule="exact"/>
        <w:rPr>
          <w:rFonts w:ascii="仿宋" w:hAnsi="仿宋" w:eastAsia="仿宋"/>
          <w:b/>
          <w:bCs/>
          <w:kern w:val="2"/>
          <w:sz w:val="32"/>
          <w:szCs w:val="32"/>
        </w:rPr>
      </w:pPr>
      <w:r>
        <w:rPr>
          <w:rFonts w:ascii="仿宋" w:hAnsi="仿宋" w:eastAsia="仿宋"/>
          <w:b/>
          <w:bCs/>
          <w:kern w:val="2"/>
          <w:sz w:val="32"/>
          <w:szCs w:val="32"/>
        </w:rPr>
        <w:t>竞得人</w:t>
      </w:r>
      <w:r>
        <w:rPr>
          <w:rFonts w:ascii="仿宋" w:hAnsi="仿宋" w:eastAsia="仿宋"/>
          <w:kern w:val="2"/>
          <w:sz w:val="32"/>
          <w:szCs w:val="32"/>
        </w:rPr>
        <w:t>：</w:t>
      </w:r>
      <w:r>
        <w:rPr>
          <w:rFonts w:ascii="仿宋" w:hAnsi="仿宋" w:eastAsia="仿宋"/>
          <w:b/>
          <w:bCs/>
          <w:kern w:val="2"/>
          <w:sz w:val="32"/>
          <w:szCs w:val="32"/>
        </w:rPr>
        <w:t xml:space="preserve">     </w:t>
      </w:r>
    </w:p>
    <w:p w14:paraId="0799E923">
      <w:pPr>
        <w:pStyle w:val="53"/>
        <w:widowControl w:val="0"/>
        <w:spacing w:line="520" w:lineRule="exact"/>
        <w:rPr>
          <w:rFonts w:ascii="仿宋" w:hAnsi="仿宋" w:eastAsia="仿宋"/>
          <w:b/>
          <w:bCs/>
          <w:kern w:val="2"/>
          <w:sz w:val="32"/>
          <w:szCs w:val="32"/>
        </w:rPr>
      </w:pPr>
      <w:r>
        <w:rPr>
          <w:rFonts w:ascii="仿宋" w:hAnsi="仿宋" w:eastAsia="仿宋"/>
          <w:b/>
          <w:bCs/>
          <w:kern w:val="2"/>
          <w:sz w:val="32"/>
          <w:szCs w:val="32"/>
        </w:rPr>
        <w:t>地  址</w:t>
      </w:r>
      <w:r>
        <w:rPr>
          <w:rFonts w:ascii="仿宋" w:hAnsi="仿宋" w:eastAsia="仿宋"/>
          <w:kern w:val="2"/>
          <w:sz w:val="32"/>
          <w:szCs w:val="32"/>
        </w:rPr>
        <w:t>：</w:t>
      </w:r>
      <w:r>
        <w:rPr>
          <w:rFonts w:ascii="仿宋" w:hAnsi="仿宋" w:eastAsia="仿宋"/>
          <w:b/>
          <w:bCs/>
          <w:kern w:val="2"/>
          <w:sz w:val="32"/>
          <w:szCs w:val="32"/>
        </w:rPr>
        <w:t xml:space="preserve">      </w:t>
      </w:r>
    </w:p>
    <w:p w14:paraId="44F46157">
      <w:pPr>
        <w:pStyle w:val="53"/>
        <w:widowControl w:val="0"/>
        <w:spacing w:line="520" w:lineRule="exact"/>
        <w:ind w:left="0"/>
        <w:rPr>
          <w:rFonts w:ascii="仿宋" w:hAnsi="仿宋" w:eastAsia="仿宋"/>
          <w:kern w:val="2"/>
          <w:sz w:val="32"/>
          <w:szCs w:val="32"/>
        </w:rPr>
      </w:pPr>
      <w:r>
        <w:rPr>
          <w:rFonts w:ascii="仿宋" w:hAnsi="仿宋" w:eastAsia="仿宋"/>
          <w:b/>
          <w:bCs/>
          <w:kern w:val="2"/>
          <w:sz w:val="32"/>
          <w:szCs w:val="32"/>
        </w:rPr>
        <w:t>竞得人应价牌编号</w:t>
      </w:r>
      <w:r>
        <w:rPr>
          <w:rFonts w:ascii="仿宋" w:hAnsi="仿宋" w:eastAsia="仿宋"/>
          <w:kern w:val="2"/>
          <w:sz w:val="32"/>
          <w:szCs w:val="32"/>
        </w:rPr>
        <w:t>：</w:t>
      </w:r>
    </w:p>
    <w:p w14:paraId="331F31ED">
      <w:pPr>
        <w:pStyle w:val="53"/>
        <w:widowControl w:val="0"/>
        <w:spacing w:line="520" w:lineRule="exact"/>
        <w:ind w:left="0"/>
        <w:rPr>
          <w:rFonts w:ascii="仿宋" w:hAnsi="仿宋" w:eastAsia="仿宋"/>
          <w:kern w:val="2"/>
          <w:sz w:val="32"/>
          <w:szCs w:val="32"/>
        </w:rPr>
      </w:pPr>
    </w:p>
    <w:p w14:paraId="702083D2">
      <w:pPr>
        <w:spacing w:line="540" w:lineRule="exact"/>
        <w:ind w:firstLine="640" w:firstLineChars="200"/>
        <w:rPr>
          <w:rFonts w:ascii="仿宋" w:hAnsi="仿宋" w:eastAsia="仿宋"/>
          <w:spacing w:val="-6"/>
          <w:sz w:val="32"/>
          <w:szCs w:val="32"/>
        </w:rPr>
      </w:pPr>
      <w:r>
        <w:rPr>
          <w:rFonts w:ascii="仿宋" w:hAnsi="仿宋" w:eastAsia="仿宋"/>
          <w:sz w:val="32"/>
          <w:szCs w:val="32"/>
        </w:rPr>
        <w:t>受</w:t>
      </w:r>
      <w:r>
        <w:rPr>
          <w:rFonts w:hint="eastAsia" w:ascii="仿宋" w:hAnsi="仿宋" w:eastAsia="仿宋" w:cs="仿宋_GB2312"/>
          <w:sz w:val="32"/>
          <w:szCs w:val="32"/>
        </w:rPr>
        <w:t>达州市通川区自然资源局</w:t>
      </w:r>
      <w:r>
        <w:rPr>
          <w:rFonts w:ascii="仿宋" w:hAnsi="仿宋" w:eastAsia="仿宋"/>
          <w:spacing w:val="-6"/>
          <w:sz w:val="32"/>
          <w:szCs w:val="32"/>
        </w:rPr>
        <w:t>委托，拍卖人于</w:t>
      </w:r>
      <w:r>
        <w:rPr>
          <w:rFonts w:ascii="仿宋" w:hAnsi="仿宋" w:eastAsia="仿宋"/>
          <w:spacing w:val="-6"/>
          <w:sz w:val="32"/>
          <w:szCs w:val="32"/>
          <w:u w:val="single"/>
        </w:rPr>
        <w:t>202</w:t>
      </w:r>
      <w:r>
        <w:rPr>
          <w:rFonts w:hint="eastAsia" w:ascii="仿宋" w:hAnsi="仿宋" w:eastAsia="仿宋"/>
          <w:spacing w:val="-6"/>
          <w:sz w:val="32"/>
          <w:szCs w:val="32"/>
          <w:u w:val="single"/>
          <w:lang w:val="en-US" w:eastAsia="zh-CN"/>
        </w:rPr>
        <w:t>6</w:t>
      </w:r>
      <w:r>
        <w:rPr>
          <w:rFonts w:ascii="仿宋" w:hAnsi="仿宋" w:eastAsia="仿宋"/>
          <w:spacing w:val="-6"/>
          <w:sz w:val="32"/>
          <w:szCs w:val="32"/>
          <w:u w:val="single"/>
        </w:rPr>
        <w:t>年X月X日X时</w:t>
      </w:r>
      <w:r>
        <w:rPr>
          <w:rFonts w:ascii="仿宋" w:hAnsi="仿宋" w:eastAsia="仿宋"/>
          <w:spacing w:val="-6"/>
          <w:sz w:val="32"/>
          <w:szCs w:val="32"/>
        </w:rPr>
        <w:t>，在四川省达州市马踏洞新区龙马大道与鱼泉路交叉口处新政务服务大楼市公共资源交易中心</w:t>
      </w:r>
      <w:r>
        <w:rPr>
          <w:rFonts w:ascii="仿宋" w:hAnsi="仿宋" w:eastAsia="仿宋"/>
          <w:spacing w:val="-6"/>
          <w:sz w:val="32"/>
          <w:szCs w:val="32"/>
          <w:u w:val="single"/>
        </w:rPr>
        <w:t>X厅</w:t>
      </w:r>
      <w:r>
        <w:rPr>
          <w:rFonts w:ascii="仿宋" w:hAnsi="仿宋" w:eastAsia="仿宋"/>
          <w:spacing w:val="-6"/>
          <w:sz w:val="32"/>
          <w:szCs w:val="32"/>
        </w:rPr>
        <w:t>公开拍卖</w:t>
      </w:r>
      <w:r>
        <w:rPr>
          <w:rFonts w:hint="eastAsia" w:ascii="仿宋" w:hAnsi="仿宋" w:eastAsia="仿宋"/>
          <w:spacing w:val="-6"/>
          <w:sz w:val="32"/>
          <w:szCs w:val="32"/>
          <w:u w:val="single"/>
        </w:rPr>
        <w:t>达州市通川区双龙镇茶店村饰面用砂岩矿采矿权</w:t>
      </w:r>
      <w:r>
        <w:rPr>
          <w:rFonts w:ascii="仿宋" w:hAnsi="仿宋" w:eastAsia="仿宋"/>
          <w:spacing w:val="-6"/>
          <w:sz w:val="32"/>
          <w:szCs w:val="32"/>
          <w:u w:val="single"/>
        </w:rPr>
        <w:t>（公告编号：</w:t>
      </w:r>
      <w:r>
        <w:rPr>
          <w:rFonts w:hint="eastAsia" w:ascii="仿宋" w:hAnsi="仿宋" w:eastAsia="仿宋"/>
          <w:spacing w:val="-6"/>
          <w:sz w:val="32"/>
          <w:szCs w:val="32"/>
          <w:u w:val="single"/>
        </w:rPr>
        <w:t>达市矿通P【2025】01号</w:t>
      </w:r>
      <w:r>
        <w:rPr>
          <w:rFonts w:ascii="仿宋" w:hAnsi="仿宋" w:eastAsia="仿宋"/>
          <w:spacing w:val="-6"/>
          <w:sz w:val="32"/>
          <w:szCs w:val="32"/>
          <w:u w:val="single"/>
        </w:rPr>
        <w:t>）</w:t>
      </w:r>
      <w:r>
        <w:rPr>
          <w:rFonts w:ascii="仿宋" w:hAnsi="仿宋" w:eastAsia="仿宋"/>
          <w:spacing w:val="-6"/>
          <w:sz w:val="32"/>
          <w:szCs w:val="32"/>
        </w:rPr>
        <w:t>。竞得人经认真审阅采矿权拍卖出让公告及拍卖出让文件资料，实地踏勘拍卖标的且均无异议后，向出让人递交了《竞买申请书》，取得竞买资格并参与了竞买。</w:t>
      </w:r>
    </w:p>
    <w:p w14:paraId="73CA6EBE">
      <w:pPr>
        <w:pStyle w:val="53"/>
        <w:widowControl w:val="0"/>
        <w:spacing w:line="540" w:lineRule="exact"/>
        <w:ind w:firstLine="640" w:firstLineChars="200"/>
        <w:jc w:val="left"/>
        <w:rPr>
          <w:rFonts w:ascii="仿宋" w:hAnsi="仿宋" w:eastAsia="仿宋"/>
          <w:kern w:val="2"/>
          <w:sz w:val="32"/>
          <w:szCs w:val="32"/>
          <w:u w:val="single"/>
        </w:rPr>
      </w:pPr>
      <w:r>
        <w:rPr>
          <w:rFonts w:ascii="仿宋" w:hAnsi="仿宋" w:eastAsia="仿宋"/>
          <w:kern w:val="2"/>
          <w:sz w:val="32"/>
          <w:szCs w:val="32"/>
        </w:rPr>
        <w:t>竞得人</w:t>
      </w:r>
      <w:r>
        <w:rPr>
          <w:rFonts w:ascii="仿宋" w:hAnsi="仿宋" w:eastAsia="仿宋"/>
          <w:kern w:val="2"/>
          <w:sz w:val="32"/>
          <w:szCs w:val="32"/>
          <w:u w:val="single"/>
        </w:rPr>
        <w:t xml:space="preserve">          </w:t>
      </w:r>
      <w:r>
        <w:rPr>
          <w:rFonts w:ascii="仿宋" w:hAnsi="仿宋" w:eastAsia="仿宋"/>
          <w:kern w:val="2"/>
          <w:sz w:val="32"/>
          <w:szCs w:val="32"/>
        </w:rPr>
        <w:t>最终以人民币</w:t>
      </w:r>
      <w:r>
        <w:rPr>
          <w:rFonts w:ascii="仿宋" w:hAnsi="仿宋" w:eastAsia="仿宋"/>
          <w:kern w:val="2"/>
          <w:sz w:val="32"/>
          <w:szCs w:val="32"/>
          <w:u w:val="single"/>
        </w:rPr>
        <w:t xml:space="preserve">        </w:t>
      </w:r>
      <w:r>
        <w:rPr>
          <w:rFonts w:ascii="仿宋" w:hAnsi="仿宋" w:eastAsia="仿宋"/>
          <w:kern w:val="2"/>
          <w:sz w:val="32"/>
          <w:szCs w:val="32"/>
        </w:rPr>
        <w:t>万元（大写：</w:t>
      </w:r>
      <w:r>
        <w:rPr>
          <w:rFonts w:ascii="仿宋" w:hAnsi="仿宋" w:eastAsia="仿宋"/>
          <w:kern w:val="2"/>
          <w:sz w:val="32"/>
          <w:szCs w:val="32"/>
          <w:u w:val="single"/>
        </w:rPr>
        <w:t xml:space="preserve">    </w:t>
      </w:r>
    </w:p>
    <w:p w14:paraId="06AF3D7E">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u w:val="single"/>
        </w:rPr>
        <w:t xml:space="preserve">           </w:t>
      </w:r>
      <w:r>
        <w:rPr>
          <w:rFonts w:ascii="仿宋" w:hAnsi="仿宋" w:eastAsia="仿宋"/>
          <w:kern w:val="2"/>
          <w:sz w:val="32"/>
          <w:szCs w:val="32"/>
        </w:rPr>
        <w:t>）的最高竞价竞得</w:t>
      </w:r>
      <w:r>
        <w:rPr>
          <w:rFonts w:hint="eastAsia" w:ascii="仿宋" w:hAnsi="仿宋" w:eastAsia="仿宋"/>
          <w:color w:val="auto"/>
          <w:sz w:val="32"/>
          <w:szCs w:val="32"/>
          <w:u w:val="single"/>
        </w:rPr>
        <w:t>达州市通川区双龙镇茶店村饰面用砂岩矿采矿权</w:t>
      </w:r>
      <w:r>
        <w:rPr>
          <w:rFonts w:ascii="仿宋" w:hAnsi="仿宋" w:eastAsia="仿宋"/>
          <w:kern w:val="2"/>
          <w:sz w:val="32"/>
          <w:szCs w:val="32"/>
        </w:rPr>
        <w:t>，此次拍卖有效。现场确认成交。</w:t>
      </w:r>
    </w:p>
    <w:p w14:paraId="26BD402F">
      <w:pPr>
        <w:pStyle w:val="53"/>
        <w:widowControl w:val="0"/>
        <w:spacing w:line="540" w:lineRule="exact"/>
        <w:ind w:firstLine="640" w:firstLineChars="200"/>
        <w:jc w:val="left"/>
        <w:rPr>
          <w:rFonts w:ascii="仿宋" w:hAnsi="仿宋" w:eastAsia="仿宋"/>
          <w:sz w:val="32"/>
          <w:szCs w:val="32"/>
        </w:rPr>
      </w:pPr>
      <w:r>
        <w:rPr>
          <w:rFonts w:ascii="仿宋" w:hAnsi="仿宋" w:eastAsia="仿宋"/>
          <w:kern w:val="2"/>
          <w:sz w:val="32"/>
          <w:szCs w:val="32"/>
        </w:rPr>
        <w:t>本次《成交确认书》签定后，</w:t>
      </w:r>
      <w:r>
        <w:rPr>
          <w:rFonts w:ascii="仿宋" w:hAnsi="仿宋" w:eastAsia="仿宋"/>
          <w:snapToGrid w:val="0"/>
          <w:sz w:val="32"/>
          <w:szCs w:val="32"/>
        </w:rPr>
        <w:t>公示期满无异议或异议不成立的，竞得人须在公示期满后</w:t>
      </w:r>
      <w:r>
        <w:rPr>
          <w:rFonts w:hint="eastAsia" w:ascii="仿宋" w:hAnsi="仿宋" w:eastAsia="仿宋"/>
          <w:snapToGrid w:val="0"/>
          <w:sz w:val="32"/>
          <w:szCs w:val="32"/>
          <w:u w:val="single"/>
        </w:rPr>
        <w:t>5</w:t>
      </w:r>
      <w:r>
        <w:rPr>
          <w:rFonts w:ascii="仿宋" w:hAnsi="仿宋" w:eastAsia="仿宋"/>
          <w:snapToGrid w:val="0"/>
          <w:sz w:val="32"/>
          <w:szCs w:val="32"/>
          <w:u w:val="single"/>
        </w:rPr>
        <w:t>个</w:t>
      </w:r>
      <w:r>
        <w:rPr>
          <w:rFonts w:ascii="仿宋" w:hAnsi="仿宋" w:eastAsia="仿宋"/>
          <w:snapToGrid w:val="0"/>
          <w:sz w:val="32"/>
          <w:szCs w:val="32"/>
        </w:rPr>
        <w:t>工作日内，</w:t>
      </w:r>
      <w:r>
        <w:rPr>
          <w:rFonts w:ascii="仿宋" w:hAnsi="仿宋" w:eastAsia="仿宋"/>
          <w:sz w:val="32"/>
          <w:szCs w:val="32"/>
        </w:rPr>
        <w:t>凭《成交确认书》、出让公告要求的相关费用缴纳票据到</w:t>
      </w:r>
      <w:r>
        <w:rPr>
          <w:rFonts w:hint="eastAsia" w:ascii="仿宋" w:hAnsi="仿宋" w:eastAsia="仿宋"/>
          <w:sz w:val="32"/>
          <w:szCs w:val="32"/>
        </w:rPr>
        <w:t>达州市通川区自然资源局</w:t>
      </w:r>
      <w:r>
        <w:rPr>
          <w:rFonts w:hint="eastAsia" w:ascii="仿宋" w:hAnsi="仿宋" w:eastAsia="仿宋"/>
          <w:sz w:val="32"/>
          <w:szCs w:val="32"/>
          <w:lang w:eastAsia="zh-CN"/>
        </w:rPr>
        <w:t>（</w:t>
      </w:r>
      <w:r>
        <w:rPr>
          <w:rFonts w:hint="eastAsia" w:ascii="仿宋" w:hAnsi="仿宋" w:eastAsia="仿宋"/>
          <w:sz w:val="32"/>
          <w:szCs w:val="32"/>
        </w:rPr>
        <w:t>通川区凤北街道张家坝社区青杠垭路38号</w:t>
      </w:r>
      <w:r>
        <w:rPr>
          <w:rFonts w:hint="eastAsia" w:ascii="仿宋" w:hAnsi="仿宋" w:eastAsia="仿宋"/>
          <w:sz w:val="32"/>
          <w:szCs w:val="32"/>
          <w:lang w:eastAsia="zh-CN"/>
        </w:rPr>
        <w:t>）</w:t>
      </w:r>
      <w:r>
        <w:rPr>
          <w:rFonts w:ascii="仿宋" w:hAnsi="仿宋" w:eastAsia="仿宋"/>
          <w:sz w:val="32"/>
          <w:szCs w:val="32"/>
        </w:rPr>
        <w:t>签订《采矿权出让合同》</w:t>
      </w:r>
      <w:r>
        <w:rPr>
          <w:rFonts w:ascii="仿宋" w:hAnsi="仿宋" w:eastAsia="仿宋"/>
          <w:kern w:val="2"/>
          <w:sz w:val="32"/>
          <w:szCs w:val="32"/>
        </w:rPr>
        <w:t>。竞得人逾期未签订</w:t>
      </w:r>
      <w:r>
        <w:rPr>
          <w:rFonts w:ascii="仿宋" w:hAnsi="仿宋" w:eastAsia="仿宋"/>
          <w:sz w:val="32"/>
          <w:szCs w:val="32"/>
        </w:rPr>
        <w:t>《采矿权出让合同》的</w:t>
      </w:r>
      <w:r>
        <w:rPr>
          <w:rFonts w:ascii="仿宋" w:hAnsi="仿宋" w:eastAsia="仿宋"/>
          <w:kern w:val="2"/>
          <w:sz w:val="32"/>
          <w:szCs w:val="32"/>
        </w:rPr>
        <w:t>视</w:t>
      </w:r>
      <w:r>
        <w:rPr>
          <w:rFonts w:ascii="仿宋" w:hAnsi="仿宋" w:eastAsia="仿宋"/>
          <w:sz w:val="32"/>
          <w:szCs w:val="32"/>
        </w:rPr>
        <w:t>为违约，自动放弃竞得资格，并依法承担相应法律后果和赔偿责任，接受失信联合惩戒，出让方将不予退还已缴纳的相关费用并有权另行出让该宗采矿权。</w:t>
      </w:r>
    </w:p>
    <w:p w14:paraId="0DA1867B">
      <w:pPr>
        <w:pStyle w:val="53"/>
        <w:widowControl w:val="0"/>
        <w:spacing w:line="540" w:lineRule="exact"/>
        <w:ind w:firstLine="640" w:firstLineChars="200"/>
        <w:jc w:val="left"/>
        <w:rPr>
          <w:rFonts w:ascii="仿宋" w:hAnsi="仿宋" w:eastAsia="仿宋"/>
          <w:kern w:val="2"/>
          <w:sz w:val="32"/>
          <w:szCs w:val="32"/>
        </w:rPr>
      </w:pPr>
      <w:r>
        <w:rPr>
          <w:rFonts w:ascii="仿宋" w:hAnsi="仿宋" w:eastAsia="仿宋"/>
          <w:kern w:val="2"/>
          <w:sz w:val="32"/>
          <w:szCs w:val="32"/>
        </w:rPr>
        <w:t>本《成交确认书》一式</w:t>
      </w:r>
      <w:r>
        <w:rPr>
          <w:rFonts w:hint="eastAsia" w:ascii="仿宋" w:hAnsi="仿宋" w:eastAsia="仿宋"/>
          <w:kern w:val="2"/>
          <w:sz w:val="32"/>
          <w:szCs w:val="32"/>
        </w:rPr>
        <w:t>叁</w:t>
      </w:r>
      <w:r>
        <w:rPr>
          <w:rFonts w:ascii="仿宋" w:hAnsi="仿宋" w:eastAsia="仿宋"/>
          <w:kern w:val="2"/>
          <w:sz w:val="32"/>
          <w:szCs w:val="32"/>
        </w:rPr>
        <w:t>份，出让人</w:t>
      </w:r>
      <w:r>
        <w:rPr>
          <w:rFonts w:hint="eastAsia" w:ascii="仿宋" w:hAnsi="仿宋" w:eastAsia="仿宋"/>
          <w:kern w:val="2"/>
          <w:sz w:val="32"/>
          <w:szCs w:val="32"/>
        </w:rPr>
        <w:t>、竞得人、交易平台</w:t>
      </w:r>
      <w:r>
        <w:rPr>
          <w:rFonts w:ascii="仿宋" w:hAnsi="仿宋" w:eastAsia="仿宋"/>
          <w:kern w:val="2"/>
          <w:sz w:val="32"/>
          <w:szCs w:val="32"/>
        </w:rPr>
        <w:t>签字盖章后生效</w:t>
      </w:r>
      <w:r>
        <w:rPr>
          <w:rFonts w:hint="eastAsia" w:ascii="仿宋" w:hAnsi="仿宋" w:eastAsia="仿宋"/>
          <w:kern w:val="2"/>
          <w:sz w:val="32"/>
          <w:szCs w:val="32"/>
        </w:rPr>
        <w:t>，各执壹份</w:t>
      </w:r>
      <w:r>
        <w:rPr>
          <w:rFonts w:ascii="仿宋" w:hAnsi="仿宋" w:eastAsia="仿宋"/>
          <w:kern w:val="2"/>
          <w:sz w:val="32"/>
          <w:szCs w:val="32"/>
        </w:rPr>
        <w:t>。</w:t>
      </w:r>
    </w:p>
    <w:p w14:paraId="349969DD">
      <w:pPr>
        <w:pStyle w:val="53"/>
        <w:widowControl w:val="0"/>
        <w:spacing w:line="540" w:lineRule="exact"/>
        <w:ind w:left="0"/>
        <w:jc w:val="left"/>
        <w:rPr>
          <w:rFonts w:ascii="仿宋" w:hAnsi="仿宋" w:eastAsia="仿宋"/>
          <w:kern w:val="2"/>
          <w:sz w:val="32"/>
          <w:szCs w:val="32"/>
        </w:rPr>
      </w:pPr>
    </w:p>
    <w:p w14:paraId="793EB8EC">
      <w:pPr>
        <w:pStyle w:val="53"/>
        <w:widowControl w:val="0"/>
        <w:spacing w:line="540" w:lineRule="exact"/>
        <w:ind w:left="0"/>
        <w:jc w:val="left"/>
        <w:rPr>
          <w:rFonts w:hint="eastAsia" w:ascii="仿宋" w:hAnsi="仿宋" w:eastAsia="仿宋" w:cs="仿宋_GB2312"/>
          <w:sz w:val="32"/>
          <w:szCs w:val="32"/>
        </w:rPr>
      </w:pPr>
      <w:r>
        <w:rPr>
          <w:rFonts w:hint="eastAsia" w:ascii="仿宋" w:hAnsi="仿宋" w:eastAsia="仿宋" w:cs="仿宋_GB2312"/>
          <w:sz w:val="32"/>
          <w:szCs w:val="32"/>
        </w:rPr>
        <w:t>达州市通川区自然资源局</w:t>
      </w:r>
    </w:p>
    <w:p w14:paraId="102BBA82">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法定代表人（或委托代理人）：</w:t>
      </w:r>
    </w:p>
    <w:p w14:paraId="28E13D3A">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地  址：</w:t>
      </w:r>
    </w:p>
    <w:p w14:paraId="34A1F993">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联系电话：</w:t>
      </w:r>
    </w:p>
    <w:p w14:paraId="77B6B717">
      <w:pPr>
        <w:pStyle w:val="53"/>
        <w:widowControl w:val="0"/>
        <w:spacing w:line="540" w:lineRule="exact"/>
        <w:ind w:left="0"/>
        <w:jc w:val="left"/>
        <w:rPr>
          <w:rFonts w:ascii="仿宋" w:hAnsi="仿宋" w:eastAsia="仿宋"/>
          <w:kern w:val="2"/>
          <w:sz w:val="32"/>
          <w:szCs w:val="32"/>
        </w:rPr>
      </w:pPr>
    </w:p>
    <w:p w14:paraId="6303273C">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达州市公共资源交易服务中心</w:t>
      </w:r>
    </w:p>
    <w:p w14:paraId="635A5C85">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法定代表人（或委托代理人）：</w:t>
      </w:r>
    </w:p>
    <w:p w14:paraId="54979BEC">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地  址：</w:t>
      </w:r>
    </w:p>
    <w:p w14:paraId="414EA9BA">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联系电话：</w:t>
      </w:r>
    </w:p>
    <w:p w14:paraId="5D24A42D">
      <w:pPr>
        <w:pStyle w:val="53"/>
        <w:widowControl w:val="0"/>
        <w:spacing w:line="540" w:lineRule="exact"/>
        <w:ind w:left="0"/>
        <w:jc w:val="left"/>
        <w:rPr>
          <w:rFonts w:ascii="仿宋" w:hAnsi="仿宋" w:eastAsia="仿宋"/>
          <w:kern w:val="2"/>
          <w:sz w:val="32"/>
          <w:szCs w:val="32"/>
        </w:rPr>
      </w:pPr>
    </w:p>
    <w:p w14:paraId="7189491F">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竞得人：</w:t>
      </w:r>
    </w:p>
    <w:p w14:paraId="130699CC">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法定代表人（或委托代理人）：</w:t>
      </w:r>
    </w:p>
    <w:p w14:paraId="44B08934">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地  址：</w:t>
      </w:r>
    </w:p>
    <w:p w14:paraId="519AEFB2">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联系电话：</w:t>
      </w:r>
    </w:p>
    <w:p w14:paraId="364ACB54">
      <w:pPr>
        <w:pStyle w:val="53"/>
        <w:widowControl w:val="0"/>
        <w:spacing w:line="540" w:lineRule="exact"/>
        <w:ind w:left="0"/>
        <w:jc w:val="left"/>
        <w:rPr>
          <w:rFonts w:ascii="仿宋" w:hAnsi="仿宋" w:eastAsia="仿宋"/>
          <w:kern w:val="2"/>
          <w:sz w:val="32"/>
          <w:szCs w:val="32"/>
        </w:rPr>
      </w:pPr>
    </w:p>
    <w:p w14:paraId="441434DE">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 xml:space="preserve">公证员：   </w:t>
      </w:r>
    </w:p>
    <w:p w14:paraId="0B5B81FB">
      <w:pPr>
        <w:pStyle w:val="53"/>
        <w:widowControl w:val="0"/>
        <w:spacing w:line="540" w:lineRule="exact"/>
        <w:ind w:left="0"/>
        <w:jc w:val="left"/>
        <w:rPr>
          <w:rFonts w:ascii="仿宋" w:hAnsi="仿宋" w:eastAsia="仿宋"/>
          <w:kern w:val="2"/>
          <w:sz w:val="32"/>
          <w:szCs w:val="32"/>
        </w:rPr>
      </w:pPr>
      <w:r>
        <w:rPr>
          <w:rFonts w:ascii="仿宋" w:hAnsi="仿宋" w:eastAsia="仿宋"/>
          <w:kern w:val="2"/>
          <w:sz w:val="32"/>
          <w:szCs w:val="32"/>
        </w:rPr>
        <w:t xml:space="preserve">联系电话：   </w:t>
      </w:r>
    </w:p>
    <w:p w14:paraId="4F4F406F">
      <w:pPr>
        <w:pStyle w:val="53"/>
        <w:widowControl w:val="0"/>
        <w:spacing w:line="540" w:lineRule="exact"/>
        <w:ind w:left="0" w:firstLine="4534" w:firstLineChars="1417"/>
        <w:jc w:val="left"/>
        <w:rPr>
          <w:rFonts w:ascii="仿宋" w:hAnsi="仿宋" w:eastAsia="仿宋"/>
          <w:sz w:val="32"/>
          <w:szCs w:val="32"/>
        </w:rPr>
      </w:pPr>
      <w:r>
        <w:rPr>
          <w:rFonts w:ascii="仿宋" w:hAnsi="仿宋" w:eastAsia="仿宋"/>
          <w:sz w:val="32"/>
          <w:szCs w:val="32"/>
        </w:rPr>
        <w:t>签定时间：202</w:t>
      </w:r>
      <w:r>
        <w:rPr>
          <w:rFonts w:hint="eastAsia" w:ascii="仿宋" w:hAnsi="仿宋" w:eastAsia="仿宋"/>
          <w:sz w:val="32"/>
          <w:szCs w:val="32"/>
          <w:lang w:val="en-US" w:eastAsia="zh-CN"/>
        </w:rPr>
        <w:t>6</w:t>
      </w:r>
      <w:r>
        <w:rPr>
          <w:rFonts w:ascii="仿宋" w:hAnsi="仿宋" w:eastAsia="仿宋"/>
          <w:sz w:val="32"/>
          <w:szCs w:val="32"/>
        </w:rPr>
        <w:t>年  月  日</w:t>
      </w:r>
    </w:p>
    <w:p w14:paraId="3B3DE108">
      <w:pPr>
        <w:spacing w:line="579" w:lineRule="exact"/>
        <w:jc w:val="left"/>
        <w:rPr>
          <w:rFonts w:ascii="仿宋" w:hAnsi="仿宋" w:eastAsia="仿宋"/>
          <w:sz w:val="32"/>
          <w:szCs w:val="32"/>
        </w:rPr>
        <w:sectPr>
          <w:pgSz w:w="11906" w:h="16838"/>
          <w:pgMar w:top="2098" w:right="1474" w:bottom="1985" w:left="1588" w:header="851" w:footer="1588" w:gutter="0"/>
          <w:pgNumType w:fmt="numberInDash"/>
          <w:cols w:space="720" w:num="1"/>
          <w:docGrid w:linePitch="436" w:charSpace="0"/>
        </w:sectPr>
      </w:pPr>
    </w:p>
    <w:p w14:paraId="3FCBD7A3">
      <w:pPr>
        <w:pStyle w:val="2"/>
        <w:keepNext w:val="0"/>
        <w:keepLines w:val="0"/>
        <w:adjustRightInd/>
        <w:snapToGrid/>
        <w:spacing w:before="0" w:after="0" w:line="580" w:lineRule="exact"/>
        <w:ind w:firstLine="0" w:firstLineChars="0"/>
        <w:rPr>
          <w:rFonts w:hint="eastAsia" w:ascii="方正小标宋简体" w:hAnsi="方正小标宋简体" w:eastAsia="方正小标宋简体" w:cs="方正小标宋简体"/>
          <w:b w:val="0"/>
          <w:bCs w:val="0"/>
          <w:sz w:val="44"/>
          <w:szCs w:val="44"/>
        </w:rPr>
      </w:pPr>
      <w:bookmarkStart w:id="52" w:name="_Toc141218095"/>
      <w:bookmarkStart w:id="53" w:name="_Toc141217788"/>
      <w:r>
        <w:rPr>
          <w:rFonts w:hint="eastAsia" w:ascii="方正小标宋简体" w:hAnsi="方正小标宋简体" w:eastAsia="方正小标宋简体" w:cs="方正小标宋简体"/>
          <w:b w:val="0"/>
          <w:bCs w:val="0"/>
          <w:sz w:val="44"/>
          <w:szCs w:val="44"/>
        </w:rPr>
        <w:t>达州市通川区双龙镇茶店村饰面用砂岩矿</w:t>
      </w:r>
    </w:p>
    <w:p w14:paraId="7298BC97">
      <w:pPr>
        <w:pStyle w:val="2"/>
        <w:keepNext w:val="0"/>
        <w:keepLines w:val="0"/>
        <w:adjustRightInd/>
        <w:snapToGrid/>
        <w:spacing w:before="0" w:after="0" w:line="580" w:lineRule="exact"/>
        <w:ind w:firstLine="0" w:firstLineChars="0"/>
        <w:rPr>
          <w:rFonts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采矿权范围图</w:t>
      </w:r>
      <w:bookmarkEnd w:id="52"/>
      <w:bookmarkEnd w:id="53"/>
    </w:p>
    <w:p w14:paraId="313F7C65">
      <w:pPr>
        <w:jc w:val="center"/>
        <w:rPr>
          <w:rFonts w:eastAsia="仿宋"/>
        </w:rPr>
      </w:pPr>
    </w:p>
    <w:p w14:paraId="5A3FC79D">
      <w:pPr>
        <w:jc w:val="center"/>
        <w:rPr>
          <w:rFonts w:hint="eastAsia" w:eastAsia="仿宋"/>
          <w:lang w:eastAsia="zh-CN"/>
        </w:rPr>
        <w:sectPr>
          <w:pgSz w:w="11906" w:h="16838"/>
          <w:pgMar w:top="2098" w:right="1474" w:bottom="1984" w:left="1587" w:header="851" w:footer="1587" w:gutter="0"/>
          <w:pgNumType w:fmt="numberInDash"/>
          <w:cols w:space="720" w:num="1"/>
          <w:docGrid w:linePitch="436" w:charSpace="0"/>
        </w:sectPr>
      </w:pPr>
      <w:r>
        <w:rPr>
          <w:rFonts w:hint="eastAsia" w:eastAsia="仿宋"/>
          <w:lang w:eastAsia="zh-CN"/>
        </w:rPr>
        <w:drawing>
          <wp:inline distT="0" distB="0" distL="114300" distR="114300">
            <wp:extent cx="5610225" cy="5898515"/>
            <wp:effectExtent l="0" t="0" r="9525" b="6985"/>
            <wp:docPr id="2" name="图片 2" descr="8764b586-5c28-4c7e-bc50-97d7c3084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764b586-5c28-4c7e-bc50-97d7c3084f15"/>
                    <pic:cNvPicPr>
                      <a:picLocks noChangeAspect="1"/>
                    </pic:cNvPicPr>
                  </pic:nvPicPr>
                  <pic:blipFill>
                    <a:blip r:embed="rId17"/>
                    <a:stretch>
                      <a:fillRect/>
                    </a:stretch>
                  </pic:blipFill>
                  <pic:spPr>
                    <a:xfrm>
                      <a:off x="0" y="0"/>
                      <a:ext cx="5610225" cy="5898515"/>
                    </a:xfrm>
                    <a:prstGeom prst="rect">
                      <a:avLst/>
                    </a:prstGeom>
                  </pic:spPr>
                </pic:pic>
              </a:graphicData>
            </a:graphic>
          </wp:inline>
        </w:drawing>
      </w:r>
    </w:p>
    <w:p w14:paraId="5981CE5D">
      <w:pPr>
        <w:pStyle w:val="6"/>
        <w:jc w:val="center"/>
        <w:rPr>
          <w:rFonts w:eastAsia="黑体"/>
          <w:sz w:val="32"/>
          <w:szCs w:val="32"/>
          <w:lang w:eastAsia="zh-CN"/>
        </w:rPr>
      </w:pPr>
      <w:r>
        <w:rPr>
          <w:rFonts w:eastAsia="方正小标宋简体"/>
          <w:snapToGrid w:val="0"/>
          <w:spacing w:val="-11"/>
          <w:kern w:val="0"/>
          <w:sz w:val="44"/>
          <w:szCs w:val="44"/>
          <w:lang w:val="en-US" w:eastAsia="zh-CN"/>
        </w:rPr>
        <w:t>达州市通川区双龙镇茶店村饰面用砂</w:t>
      </w:r>
      <w:r>
        <w:rPr>
          <w:rFonts w:eastAsia="方正小标宋简体"/>
          <w:snapToGrid w:val="0"/>
          <w:spacing w:val="-11"/>
          <w:kern w:val="0"/>
          <w:sz w:val="44"/>
          <w:szCs w:val="44"/>
        </w:rPr>
        <w:t>岩矿</w:t>
      </w:r>
      <w:r>
        <w:rPr>
          <w:rFonts w:eastAsia="方正小标宋简体"/>
          <w:snapToGrid w:val="0"/>
          <w:spacing w:val="-11"/>
          <w:kern w:val="0"/>
          <w:sz w:val="44"/>
          <w:szCs w:val="44"/>
          <w:lang w:val="en-US" w:eastAsia="zh-CN"/>
        </w:rPr>
        <w:t>三区三线套合图</w:t>
      </w:r>
      <w:r>
        <w:drawing>
          <wp:inline distT="0" distB="0" distL="114300" distR="114300">
            <wp:extent cx="7357745" cy="3853180"/>
            <wp:effectExtent l="0" t="0" r="14605" b="139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8"/>
                    <a:stretch>
                      <a:fillRect/>
                    </a:stretch>
                  </pic:blipFill>
                  <pic:spPr>
                    <a:xfrm>
                      <a:off x="0" y="0"/>
                      <a:ext cx="7357745" cy="3853180"/>
                    </a:xfrm>
                    <a:prstGeom prst="rect">
                      <a:avLst/>
                    </a:prstGeom>
                    <a:noFill/>
                    <a:ln w="9525" cap="flat" cmpd="sng">
                      <a:noFill/>
                      <a:prstDash val="solid"/>
                      <a:round/>
                    </a:ln>
                  </pic:spPr>
                </pic:pic>
              </a:graphicData>
            </a:graphic>
          </wp:inline>
        </w:drawing>
      </w:r>
    </w:p>
    <w:p w14:paraId="008CC885">
      <w:pPr>
        <w:spacing w:line="560" w:lineRule="exact"/>
        <w:rPr>
          <w:rFonts w:eastAsia="黑体"/>
          <w:sz w:val="32"/>
          <w:szCs w:val="32"/>
        </w:rPr>
      </w:pPr>
    </w:p>
    <w:p w14:paraId="3123147B">
      <w:pPr>
        <w:pStyle w:val="5"/>
        <w:jc w:val="center"/>
        <w:rPr>
          <w:rFonts w:eastAsia="方正小标宋简体"/>
          <w:snapToGrid w:val="0"/>
          <w:spacing w:val="-11"/>
          <w:kern w:val="0"/>
          <w:sz w:val="44"/>
          <w:szCs w:val="44"/>
          <w:lang w:val="en-US" w:eastAsia="zh-CN"/>
        </w:rPr>
      </w:pPr>
      <w:r>
        <w:rPr>
          <w:rFonts w:eastAsia="方正小标宋简体"/>
          <w:snapToGrid w:val="0"/>
          <w:spacing w:val="-11"/>
          <w:kern w:val="0"/>
          <w:sz w:val="44"/>
          <w:szCs w:val="44"/>
          <w:lang w:val="en-US" w:eastAsia="zh-CN"/>
        </w:rPr>
        <w:t>达州市通川区双龙镇茶店村饰面用砂</w:t>
      </w:r>
      <w:r>
        <w:rPr>
          <w:rFonts w:eastAsia="方正小标宋简体"/>
          <w:snapToGrid w:val="0"/>
          <w:spacing w:val="-11"/>
          <w:kern w:val="0"/>
          <w:sz w:val="44"/>
          <w:szCs w:val="44"/>
        </w:rPr>
        <w:t>岩矿</w:t>
      </w:r>
      <w:r>
        <w:rPr>
          <w:rFonts w:eastAsia="方正小标宋简体"/>
          <w:snapToGrid w:val="0"/>
          <w:spacing w:val="-11"/>
          <w:kern w:val="0"/>
          <w:sz w:val="44"/>
          <w:szCs w:val="44"/>
          <w:lang w:val="en-US" w:eastAsia="zh-CN"/>
        </w:rPr>
        <w:t>进矿道路示意图</w:t>
      </w:r>
    </w:p>
    <w:p w14:paraId="390CA514">
      <w:pPr>
        <w:jc w:val="center"/>
        <w:rPr>
          <w:rFonts w:eastAsia="方正小标宋简体"/>
          <w:lang w:eastAsia="zh-CN"/>
        </w:rPr>
      </w:pPr>
      <w:r>
        <w:rPr>
          <w:rFonts w:eastAsia="方正小标宋简体"/>
          <w:lang w:eastAsia="zh-CN"/>
        </w:rPr>
        <w:drawing>
          <wp:inline distT="0" distB="0" distL="114300" distR="114300">
            <wp:extent cx="5447665" cy="3708400"/>
            <wp:effectExtent l="0" t="0" r="635" b="6350"/>
            <wp:docPr id="22" name="图片 3" descr="茶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茶店_01"/>
                    <pic:cNvPicPr>
                      <a:picLocks noChangeAspect="1"/>
                    </pic:cNvPicPr>
                  </pic:nvPicPr>
                  <pic:blipFill>
                    <a:blip r:embed="rId19"/>
                    <a:stretch>
                      <a:fillRect/>
                    </a:stretch>
                  </pic:blipFill>
                  <pic:spPr>
                    <a:xfrm>
                      <a:off x="0" y="0"/>
                      <a:ext cx="5447665" cy="3708400"/>
                    </a:xfrm>
                    <a:prstGeom prst="rect">
                      <a:avLst/>
                    </a:prstGeom>
                    <a:noFill/>
                    <a:ln w="9525" cap="flat" cmpd="sng">
                      <a:noFill/>
                      <a:prstDash val="solid"/>
                      <a:miter/>
                    </a:ln>
                  </pic:spPr>
                </pic:pic>
              </a:graphicData>
            </a:graphic>
          </wp:inline>
        </w:drawing>
      </w:r>
    </w:p>
    <w:p w14:paraId="3FAA181F">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rPr>
          <w:rFonts w:eastAsia="仿宋"/>
          <w:color w:val="000000"/>
          <w:sz w:val="24"/>
          <w:szCs w:val="24"/>
          <w:lang w:val="en-US" w:eastAsia="zh-CN"/>
        </w:rPr>
        <w:sectPr>
          <w:pgSz w:w="16838" w:h="11906" w:orient="landscape"/>
          <w:pgMar w:top="1587" w:right="2098" w:bottom="1474" w:left="1984" w:header="851" w:footer="1474" w:gutter="0"/>
          <w:pgNumType w:fmt="numberInDash"/>
          <w:cols w:space="720" w:num="1"/>
          <w:rtlGutter w:val="1"/>
          <w:docGrid w:type="lines" w:linePitch="384" w:charSpace="0"/>
        </w:sectPr>
      </w:pPr>
      <w:r>
        <w:rPr>
          <w:rFonts w:eastAsia="仿宋"/>
          <w:color w:val="000000"/>
          <w:sz w:val="24"/>
          <w:szCs w:val="24"/>
          <w:lang w:val="en-US" w:eastAsia="zh-CN"/>
        </w:rPr>
        <w:t>说明：该矿进矿道路全长0.7公里（从双龙-檬双道路分路口计算），利用原村级道路，局部加宽处理，不占用永久基本农田和生态保护红线。</w:t>
      </w:r>
    </w:p>
    <w:p w14:paraId="37DCECEF">
      <w:pPr>
        <w:bidi w:val="0"/>
        <w:jc w:val="left"/>
        <w:rPr>
          <w:rFonts w:hint="eastAsia" w:ascii="Times New Roman" w:hAnsi="Times New Roman" w:eastAsia="仿宋_GB2312" w:cs="Times New Roman"/>
          <w:bCs/>
          <w:color w:val="auto"/>
          <w:sz w:val="28"/>
          <w:szCs w:val="28"/>
          <w:highlight w:val="none"/>
          <w:lang w:val="en-US" w:eastAsia="zh-CN"/>
        </w:rPr>
      </w:pPr>
      <w:r>
        <w:rPr>
          <w:rFonts w:hint="eastAsia" w:ascii="Times New Roman" w:hAnsi="Times New Roman" w:eastAsia="仿宋_GB2312" w:cs="Times New Roman"/>
          <w:bCs/>
          <w:color w:val="auto"/>
          <w:sz w:val="28"/>
          <w:szCs w:val="28"/>
          <w:highlight w:val="none"/>
          <w:lang w:val="en-US" w:eastAsia="zh-CN"/>
        </w:rPr>
        <w:t>合同编号：C+出让部门行政区划代码+年份+3位顺序码</w:t>
      </w:r>
    </w:p>
    <w:p w14:paraId="4B2C983C">
      <w:pPr>
        <w:spacing w:line="285" w:lineRule="auto"/>
        <w:rPr>
          <w:rFonts w:ascii="Arial"/>
          <w:sz w:val="21"/>
        </w:rPr>
      </w:pPr>
    </w:p>
    <w:p w14:paraId="0B35C6ED">
      <w:pPr>
        <w:spacing w:line="285" w:lineRule="auto"/>
        <w:rPr>
          <w:rFonts w:ascii="Arial"/>
          <w:sz w:val="21"/>
        </w:rPr>
      </w:pPr>
    </w:p>
    <w:p w14:paraId="70D19A0D">
      <w:pPr>
        <w:spacing w:line="285" w:lineRule="auto"/>
        <w:rPr>
          <w:rFonts w:ascii="Arial"/>
          <w:sz w:val="21"/>
        </w:rPr>
      </w:pPr>
    </w:p>
    <w:p w14:paraId="2CA98796">
      <w:pPr>
        <w:spacing w:line="286" w:lineRule="auto"/>
        <w:rPr>
          <w:rFonts w:ascii="Arial"/>
          <w:sz w:val="21"/>
        </w:rPr>
      </w:pPr>
    </w:p>
    <w:p w14:paraId="5A82582A">
      <w:pPr>
        <w:spacing w:line="286" w:lineRule="auto"/>
        <w:rPr>
          <w:rFonts w:ascii="Arial"/>
          <w:sz w:val="21"/>
        </w:rPr>
      </w:pPr>
    </w:p>
    <w:p w14:paraId="4E4CCD01">
      <w:pPr>
        <w:spacing w:before="318" w:line="222" w:lineRule="auto"/>
        <w:ind w:firstLine="856" w:firstLineChars="200"/>
        <w:jc w:val="center"/>
        <w:rPr>
          <w:rFonts w:ascii="黑体" w:hAnsi="黑体" w:eastAsia="黑体" w:cs="黑体"/>
          <w:b/>
          <w:bCs/>
          <w:spacing w:val="-27"/>
          <w:sz w:val="48"/>
          <w:szCs w:val="48"/>
        </w:rPr>
      </w:pPr>
      <w:r>
        <w:rPr>
          <w:rFonts w:ascii="黑体" w:hAnsi="黑体" w:eastAsia="黑体" w:cs="黑体"/>
          <w:b/>
          <w:bCs/>
          <w:spacing w:val="-27"/>
          <w:sz w:val="48"/>
          <w:szCs w:val="48"/>
        </w:rPr>
        <w:t>采</w:t>
      </w:r>
      <w:r>
        <w:rPr>
          <w:rFonts w:ascii="黑体" w:hAnsi="黑体" w:eastAsia="黑体" w:cs="黑体"/>
          <w:spacing w:val="25"/>
          <w:sz w:val="48"/>
          <w:szCs w:val="48"/>
        </w:rPr>
        <w:t xml:space="preserve"> </w:t>
      </w:r>
      <w:r>
        <w:rPr>
          <w:rFonts w:ascii="黑体" w:hAnsi="黑体" w:eastAsia="黑体" w:cs="黑体"/>
          <w:b/>
          <w:bCs/>
          <w:spacing w:val="-27"/>
          <w:sz w:val="48"/>
          <w:szCs w:val="48"/>
        </w:rPr>
        <w:t>矿</w:t>
      </w:r>
      <w:r>
        <w:rPr>
          <w:rFonts w:ascii="黑体" w:hAnsi="黑体" w:eastAsia="黑体" w:cs="黑体"/>
          <w:spacing w:val="25"/>
          <w:sz w:val="48"/>
          <w:szCs w:val="48"/>
        </w:rPr>
        <w:t xml:space="preserve"> </w:t>
      </w:r>
      <w:r>
        <w:rPr>
          <w:rFonts w:ascii="黑体" w:hAnsi="黑体" w:eastAsia="黑体" w:cs="黑体"/>
          <w:b/>
          <w:bCs/>
          <w:spacing w:val="-27"/>
          <w:sz w:val="48"/>
          <w:szCs w:val="48"/>
        </w:rPr>
        <w:t>权</w:t>
      </w:r>
      <w:r>
        <w:rPr>
          <w:rFonts w:ascii="黑体" w:hAnsi="黑体" w:eastAsia="黑体" w:cs="黑体"/>
          <w:spacing w:val="60"/>
          <w:sz w:val="48"/>
          <w:szCs w:val="48"/>
        </w:rPr>
        <w:t xml:space="preserve"> </w:t>
      </w:r>
      <w:r>
        <w:rPr>
          <w:rFonts w:ascii="黑体" w:hAnsi="黑体" w:eastAsia="黑体" w:cs="黑体"/>
          <w:b/>
          <w:bCs/>
          <w:spacing w:val="-27"/>
          <w:sz w:val="48"/>
          <w:szCs w:val="48"/>
        </w:rPr>
        <w:t>出</w:t>
      </w:r>
      <w:r>
        <w:rPr>
          <w:rFonts w:ascii="黑体" w:hAnsi="黑体" w:eastAsia="黑体" w:cs="黑体"/>
          <w:spacing w:val="42"/>
          <w:sz w:val="48"/>
          <w:szCs w:val="48"/>
        </w:rPr>
        <w:t xml:space="preserve"> </w:t>
      </w:r>
      <w:r>
        <w:rPr>
          <w:rFonts w:ascii="黑体" w:hAnsi="黑体" w:eastAsia="黑体" w:cs="黑体"/>
          <w:b/>
          <w:bCs/>
          <w:spacing w:val="-27"/>
          <w:sz w:val="48"/>
          <w:szCs w:val="48"/>
        </w:rPr>
        <w:t>让</w:t>
      </w:r>
      <w:r>
        <w:rPr>
          <w:rFonts w:ascii="黑体" w:hAnsi="黑体" w:eastAsia="黑体" w:cs="黑体"/>
          <w:spacing w:val="30"/>
          <w:sz w:val="48"/>
          <w:szCs w:val="48"/>
        </w:rPr>
        <w:t xml:space="preserve"> </w:t>
      </w:r>
      <w:r>
        <w:rPr>
          <w:rFonts w:ascii="黑体" w:hAnsi="黑体" w:eastAsia="黑体" w:cs="黑体"/>
          <w:b/>
          <w:bCs/>
          <w:spacing w:val="-27"/>
          <w:sz w:val="48"/>
          <w:szCs w:val="48"/>
        </w:rPr>
        <w:t>合</w:t>
      </w:r>
      <w:r>
        <w:rPr>
          <w:rFonts w:ascii="黑体" w:hAnsi="黑体" w:eastAsia="黑体" w:cs="黑体"/>
          <w:spacing w:val="54"/>
          <w:sz w:val="48"/>
          <w:szCs w:val="48"/>
        </w:rPr>
        <w:t xml:space="preserve"> </w:t>
      </w:r>
      <w:r>
        <w:rPr>
          <w:rFonts w:ascii="黑体" w:hAnsi="黑体" w:eastAsia="黑体" w:cs="黑体"/>
          <w:b/>
          <w:bCs/>
          <w:spacing w:val="-27"/>
          <w:sz w:val="48"/>
          <w:szCs w:val="48"/>
        </w:rPr>
        <w:t>同</w:t>
      </w:r>
    </w:p>
    <w:p w14:paraId="3C9C1651">
      <w:pPr>
        <w:spacing w:before="318" w:line="222" w:lineRule="auto"/>
        <w:ind w:firstLine="856" w:firstLineChars="200"/>
        <w:jc w:val="center"/>
        <w:rPr>
          <w:rFonts w:hint="eastAsia" w:ascii="黑体" w:hAnsi="黑体" w:eastAsia="黑体" w:cs="黑体"/>
          <w:sz w:val="48"/>
          <w:szCs w:val="48"/>
          <w:lang w:eastAsia="zh-CN"/>
        </w:rPr>
      </w:pPr>
      <w:r>
        <w:rPr>
          <w:rFonts w:hint="eastAsia" w:ascii="黑体" w:hAnsi="黑体" w:eastAsia="黑体" w:cs="黑体"/>
          <w:b/>
          <w:bCs/>
          <w:spacing w:val="-27"/>
          <w:sz w:val="48"/>
          <w:szCs w:val="48"/>
          <w:lang w:eastAsia="zh-CN"/>
        </w:rPr>
        <w:t>（样本）</w:t>
      </w:r>
    </w:p>
    <w:p w14:paraId="6E58039D">
      <w:pPr>
        <w:spacing w:line="253" w:lineRule="auto"/>
        <w:rPr>
          <w:rFonts w:ascii="Arial"/>
          <w:sz w:val="21"/>
        </w:rPr>
      </w:pPr>
    </w:p>
    <w:p w14:paraId="3FC25CEC">
      <w:pPr>
        <w:spacing w:line="253" w:lineRule="auto"/>
        <w:rPr>
          <w:rFonts w:ascii="Arial"/>
          <w:sz w:val="21"/>
        </w:rPr>
      </w:pPr>
    </w:p>
    <w:p w14:paraId="10D16D32">
      <w:pPr>
        <w:spacing w:line="253" w:lineRule="auto"/>
        <w:rPr>
          <w:rFonts w:ascii="Arial"/>
          <w:sz w:val="21"/>
        </w:rPr>
      </w:pPr>
    </w:p>
    <w:p w14:paraId="45F7119C">
      <w:pPr>
        <w:spacing w:line="253" w:lineRule="auto"/>
        <w:rPr>
          <w:rFonts w:ascii="Arial"/>
          <w:sz w:val="21"/>
        </w:rPr>
      </w:pPr>
    </w:p>
    <w:p w14:paraId="1DA251A8">
      <w:pPr>
        <w:spacing w:line="253" w:lineRule="auto"/>
        <w:rPr>
          <w:rFonts w:ascii="Arial"/>
          <w:sz w:val="21"/>
        </w:rPr>
      </w:pPr>
    </w:p>
    <w:p w14:paraId="34EF4E91">
      <w:pPr>
        <w:pStyle w:val="6"/>
        <w:spacing w:before="101" w:line="222"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2"/>
          <w:sz w:val="32"/>
          <w:szCs w:val="32"/>
        </w:rPr>
        <w:t>甲方</w:t>
      </w:r>
      <w:r>
        <w:rPr>
          <w:rFonts w:hint="eastAsia" w:ascii="仿宋_GB2312" w:hAnsi="仿宋_GB2312" w:eastAsia="仿宋_GB2312" w:cs="仿宋_GB2312"/>
          <w:spacing w:val="12"/>
          <w:sz w:val="32"/>
          <w:szCs w:val="32"/>
          <w:lang w:eastAsia="zh-CN"/>
        </w:rPr>
        <w:t>（</w:t>
      </w:r>
      <w:r>
        <w:rPr>
          <w:rFonts w:hint="eastAsia" w:ascii="仿宋_GB2312" w:hAnsi="仿宋_GB2312" w:eastAsia="仿宋_GB2312" w:cs="仿宋_GB2312"/>
          <w:spacing w:val="12"/>
          <w:sz w:val="32"/>
          <w:szCs w:val="32"/>
        </w:rPr>
        <w:t>出让人</w:t>
      </w:r>
      <w:r>
        <w:rPr>
          <w:rFonts w:hint="eastAsia" w:ascii="仿宋_GB2312" w:hAnsi="仿宋_GB2312" w:eastAsia="仿宋_GB2312" w:cs="仿宋_GB2312"/>
          <w:spacing w:val="12"/>
          <w:sz w:val="32"/>
          <w:szCs w:val="32"/>
          <w:lang w:eastAsia="zh-CN"/>
        </w:rPr>
        <w:t>）：</w:t>
      </w:r>
      <w:r>
        <w:rPr>
          <w:rFonts w:hint="eastAsia" w:ascii="仿宋_GB2312" w:hAnsi="仿宋_GB2312" w:eastAsia="仿宋_GB2312" w:cs="仿宋_GB2312"/>
          <w:spacing w:val="62"/>
          <w:sz w:val="32"/>
          <w:szCs w:val="32"/>
        </w:rPr>
        <w:t xml:space="preserve"> </w:t>
      </w:r>
      <w:r>
        <w:rPr>
          <w:rFonts w:hint="eastAsia" w:ascii="仿宋_GB2312" w:hAnsi="仿宋_GB2312" w:eastAsia="仿宋_GB2312" w:cs="仿宋_GB2312"/>
          <w:sz w:val="32"/>
          <w:szCs w:val="32"/>
          <w:u w:val="single" w:color="auto"/>
        </w:rPr>
        <w:t xml:space="preserve">                    </w:t>
      </w:r>
    </w:p>
    <w:p w14:paraId="19AF13FF">
      <w:pPr>
        <w:pStyle w:val="6"/>
        <w:spacing w:before="294" w:line="222"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住</w:t>
      </w:r>
      <w:r>
        <w:rPr>
          <w:rFonts w:hint="eastAsia" w:ascii="仿宋_GB2312" w:hAnsi="仿宋_GB2312" w:eastAsia="仿宋_GB2312" w:cs="仿宋_GB2312"/>
          <w:spacing w:val="7"/>
          <w:sz w:val="32"/>
          <w:szCs w:val="32"/>
        </w:rPr>
        <w:t xml:space="preserve">       </w:t>
      </w:r>
      <w:r>
        <w:rPr>
          <w:rFonts w:hint="eastAsia" w:ascii="仿宋_GB2312" w:hAnsi="仿宋_GB2312" w:eastAsia="仿宋_GB2312" w:cs="仿宋_GB2312"/>
          <w:spacing w:val="-6"/>
          <w:sz w:val="32"/>
          <w:szCs w:val="32"/>
        </w:rPr>
        <w:t>所：</w:t>
      </w:r>
      <w:r>
        <w:rPr>
          <w:rFonts w:hint="eastAsia" w:ascii="仿宋_GB2312" w:hAnsi="仿宋_GB2312" w:eastAsia="仿宋_GB2312" w:cs="仿宋_GB2312"/>
          <w:spacing w:val="-53"/>
          <w:sz w:val="32"/>
          <w:szCs w:val="32"/>
        </w:rPr>
        <w:t xml:space="preserve"> </w:t>
      </w:r>
      <w:r>
        <w:rPr>
          <w:rFonts w:hint="eastAsia" w:ascii="仿宋_GB2312" w:hAnsi="仿宋_GB2312" w:eastAsia="仿宋_GB2312" w:cs="仿宋_GB2312"/>
          <w:sz w:val="32"/>
          <w:szCs w:val="32"/>
          <w:u w:val="single" w:color="auto"/>
        </w:rPr>
        <w:t xml:space="preserve">                        </w:t>
      </w:r>
    </w:p>
    <w:p w14:paraId="48F302FC">
      <w:pPr>
        <w:pStyle w:val="6"/>
        <w:spacing w:before="259" w:line="223"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5"/>
          <w:sz w:val="32"/>
          <w:szCs w:val="32"/>
        </w:rPr>
        <w:t>法定代表人：</w:t>
      </w:r>
      <w:r>
        <w:rPr>
          <w:rFonts w:hint="eastAsia" w:ascii="仿宋_GB2312" w:hAnsi="仿宋_GB2312" w:eastAsia="仿宋_GB2312" w:cs="仿宋_GB2312"/>
          <w:spacing w:val="-15"/>
          <w:sz w:val="32"/>
          <w:szCs w:val="32"/>
          <w:u w:val="single" w:color="auto"/>
        </w:rPr>
        <w:t xml:space="preserve">                   </w:t>
      </w:r>
      <w:r>
        <w:rPr>
          <w:rFonts w:hint="eastAsia" w:ascii="仿宋_GB2312" w:hAnsi="仿宋_GB2312" w:eastAsia="仿宋_GB2312" w:cs="仿宋_GB2312"/>
          <w:spacing w:val="-15"/>
          <w:sz w:val="32"/>
          <w:szCs w:val="32"/>
          <w:u w:val="single" w:color="auto"/>
          <w:lang w:val="en-US" w:eastAsia="zh-CN"/>
        </w:rPr>
        <w:t xml:space="preserve"> </w:t>
      </w:r>
      <w:r>
        <w:rPr>
          <w:rFonts w:hint="eastAsia" w:ascii="仿宋_GB2312" w:hAnsi="仿宋_GB2312" w:eastAsia="仿宋_GB2312" w:cs="仿宋_GB2312"/>
          <w:spacing w:val="-15"/>
          <w:sz w:val="32"/>
          <w:szCs w:val="32"/>
          <w:u w:val="single" w:color="auto"/>
        </w:rPr>
        <w:t xml:space="preserve">     </w:t>
      </w:r>
      <w:r>
        <w:rPr>
          <w:rFonts w:hint="eastAsia" w:ascii="仿宋_GB2312" w:hAnsi="仿宋_GB2312" w:eastAsia="仿宋_GB2312" w:cs="仿宋_GB2312"/>
          <w:spacing w:val="-15"/>
          <w:sz w:val="32"/>
          <w:szCs w:val="32"/>
          <w:u w:val="single" w:color="auto"/>
          <w:lang w:val="en-US" w:eastAsia="zh-CN"/>
        </w:rPr>
        <w:t xml:space="preserve"> </w:t>
      </w:r>
      <w:r>
        <w:rPr>
          <w:rFonts w:hint="eastAsia" w:ascii="仿宋_GB2312" w:hAnsi="仿宋_GB2312" w:eastAsia="仿宋_GB2312" w:cs="仿宋_GB2312"/>
          <w:spacing w:val="-15"/>
          <w:sz w:val="32"/>
          <w:szCs w:val="32"/>
          <w:u w:val="single" w:color="auto"/>
        </w:rPr>
        <w:t xml:space="preserve"> </w:t>
      </w:r>
      <w:r>
        <w:rPr>
          <w:rFonts w:hint="eastAsia" w:ascii="仿宋_GB2312" w:hAnsi="仿宋_GB2312" w:eastAsia="仿宋_GB2312" w:cs="仿宋_GB2312"/>
          <w:spacing w:val="-16"/>
          <w:sz w:val="32"/>
          <w:szCs w:val="32"/>
          <w:u w:val="single" w:color="auto"/>
        </w:rPr>
        <w:t xml:space="preserve">  </w:t>
      </w:r>
    </w:p>
    <w:p w14:paraId="5E6862C9">
      <w:pPr>
        <w:spacing w:line="285" w:lineRule="auto"/>
        <w:jc w:val="left"/>
        <w:rPr>
          <w:rFonts w:hint="eastAsia" w:ascii="仿宋_GB2312" w:hAnsi="仿宋_GB2312" w:eastAsia="仿宋_GB2312" w:cs="仿宋_GB2312"/>
          <w:sz w:val="32"/>
          <w:szCs w:val="32"/>
        </w:rPr>
      </w:pPr>
    </w:p>
    <w:p w14:paraId="094817C1">
      <w:pPr>
        <w:spacing w:line="285" w:lineRule="auto"/>
        <w:jc w:val="left"/>
        <w:rPr>
          <w:rFonts w:hint="eastAsia" w:ascii="仿宋_GB2312" w:hAnsi="仿宋_GB2312" w:eastAsia="仿宋_GB2312" w:cs="仿宋_GB2312"/>
          <w:sz w:val="32"/>
          <w:szCs w:val="32"/>
        </w:rPr>
      </w:pPr>
    </w:p>
    <w:p w14:paraId="1782488D">
      <w:pPr>
        <w:spacing w:line="285" w:lineRule="auto"/>
        <w:jc w:val="left"/>
        <w:rPr>
          <w:rFonts w:hint="eastAsia" w:ascii="仿宋_GB2312" w:hAnsi="仿宋_GB2312" w:eastAsia="仿宋_GB2312" w:cs="仿宋_GB2312"/>
          <w:sz w:val="32"/>
          <w:szCs w:val="32"/>
        </w:rPr>
      </w:pPr>
    </w:p>
    <w:p w14:paraId="32CB127B">
      <w:pPr>
        <w:spacing w:line="286" w:lineRule="auto"/>
        <w:jc w:val="left"/>
        <w:rPr>
          <w:rFonts w:hint="eastAsia" w:ascii="仿宋_GB2312" w:hAnsi="仿宋_GB2312" w:eastAsia="仿宋_GB2312" w:cs="仿宋_GB2312"/>
          <w:sz w:val="32"/>
          <w:szCs w:val="32"/>
        </w:rPr>
      </w:pPr>
    </w:p>
    <w:p w14:paraId="49EF11B5">
      <w:pPr>
        <w:pStyle w:val="6"/>
        <w:spacing w:before="102" w:line="224"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2"/>
          <w:sz w:val="32"/>
          <w:szCs w:val="32"/>
        </w:rPr>
        <w:t>乙方</w:t>
      </w:r>
      <w:r>
        <w:rPr>
          <w:rFonts w:hint="eastAsia" w:ascii="仿宋_GB2312" w:hAnsi="仿宋_GB2312" w:eastAsia="仿宋_GB2312" w:cs="仿宋_GB2312"/>
          <w:spacing w:val="12"/>
          <w:sz w:val="32"/>
          <w:szCs w:val="32"/>
          <w:lang w:eastAsia="zh-CN"/>
        </w:rPr>
        <w:t>（竞得人）：</w:t>
      </w:r>
      <w:r>
        <w:rPr>
          <w:rFonts w:hint="eastAsia" w:ascii="仿宋_GB2312" w:hAnsi="仿宋_GB2312" w:eastAsia="仿宋_GB2312" w:cs="仿宋_GB2312"/>
          <w:spacing w:val="52"/>
          <w:sz w:val="32"/>
          <w:szCs w:val="32"/>
        </w:rPr>
        <w:t xml:space="preserve"> </w:t>
      </w:r>
      <w:r>
        <w:rPr>
          <w:rFonts w:hint="eastAsia" w:ascii="仿宋_GB2312" w:hAnsi="仿宋_GB2312" w:eastAsia="仿宋_GB2312" w:cs="仿宋_GB2312"/>
          <w:sz w:val="32"/>
          <w:szCs w:val="32"/>
          <w:u w:val="single" w:color="auto"/>
        </w:rPr>
        <w:t xml:space="preserve">                    </w:t>
      </w:r>
    </w:p>
    <w:p w14:paraId="378D1E04">
      <w:pPr>
        <w:pStyle w:val="6"/>
        <w:spacing w:before="260" w:line="222"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
          <w:sz w:val="32"/>
          <w:szCs w:val="32"/>
        </w:rPr>
        <w:t>统一社会信用代码：</w:t>
      </w:r>
      <w:r>
        <w:rPr>
          <w:rFonts w:hint="eastAsia" w:ascii="仿宋_GB2312" w:hAnsi="仿宋_GB2312" w:eastAsia="仿宋_GB2312" w:cs="仿宋_GB2312"/>
          <w:spacing w:val="-1"/>
          <w:sz w:val="32"/>
          <w:szCs w:val="32"/>
          <w:u w:val="single" w:color="auto"/>
        </w:rPr>
        <w:t xml:space="preserve">             </w:t>
      </w:r>
      <w:r>
        <w:rPr>
          <w:rFonts w:hint="eastAsia" w:ascii="仿宋_GB2312" w:hAnsi="仿宋_GB2312" w:eastAsia="仿宋_GB2312" w:cs="仿宋_GB2312"/>
          <w:spacing w:val="-1"/>
          <w:sz w:val="32"/>
          <w:szCs w:val="32"/>
          <w:u w:val="single" w:color="auto"/>
          <w:lang w:val="en-US" w:eastAsia="zh-CN"/>
        </w:rPr>
        <w:t xml:space="preserve">  </w:t>
      </w:r>
      <w:r>
        <w:rPr>
          <w:rFonts w:hint="eastAsia" w:ascii="仿宋_GB2312" w:hAnsi="仿宋_GB2312" w:eastAsia="仿宋_GB2312" w:cs="仿宋_GB2312"/>
          <w:spacing w:val="-2"/>
          <w:sz w:val="32"/>
          <w:szCs w:val="32"/>
          <w:u w:val="single" w:color="auto"/>
        </w:rPr>
        <w:t xml:space="preserve">     </w:t>
      </w:r>
    </w:p>
    <w:p w14:paraId="0060922D">
      <w:pPr>
        <w:pStyle w:val="6"/>
        <w:spacing w:before="277" w:line="222"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15"/>
          <w:sz w:val="32"/>
          <w:szCs w:val="32"/>
        </w:rPr>
        <w:t>住</w:t>
      </w:r>
      <w:r>
        <w:rPr>
          <w:rFonts w:hint="eastAsia" w:ascii="仿宋_GB2312" w:hAnsi="仿宋_GB2312" w:eastAsia="仿宋_GB2312" w:cs="仿宋_GB2312"/>
          <w:spacing w:val="5"/>
          <w:sz w:val="32"/>
          <w:szCs w:val="32"/>
        </w:rPr>
        <w:t xml:space="preserve">      </w:t>
      </w:r>
      <w:r>
        <w:rPr>
          <w:rFonts w:hint="eastAsia" w:ascii="仿宋_GB2312" w:hAnsi="仿宋_GB2312" w:eastAsia="仿宋_GB2312" w:cs="仿宋_GB2312"/>
          <w:spacing w:val="-15"/>
          <w:sz w:val="32"/>
          <w:szCs w:val="32"/>
        </w:rPr>
        <w:t>所：</w:t>
      </w:r>
      <w:r>
        <w:rPr>
          <w:rFonts w:hint="eastAsia" w:ascii="仿宋_GB2312" w:hAnsi="仿宋_GB2312" w:eastAsia="仿宋_GB2312" w:cs="仿宋_GB2312"/>
          <w:spacing w:val="-132"/>
          <w:sz w:val="32"/>
          <w:szCs w:val="32"/>
        </w:rPr>
        <w:t xml:space="preserve"> </w:t>
      </w:r>
      <w:r>
        <w:rPr>
          <w:rFonts w:hint="eastAsia" w:ascii="仿宋_GB2312" w:hAnsi="仿宋_GB2312" w:eastAsia="仿宋_GB2312" w:cs="仿宋_GB2312"/>
          <w:sz w:val="32"/>
          <w:szCs w:val="32"/>
          <w:u w:val="single" w:color="auto"/>
        </w:rPr>
        <w:t xml:space="preserve">                 </w:t>
      </w:r>
      <w:r>
        <w:rPr>
          <w:rFonts w:hint="eastAsia" w:ascii="仿宋_GB2312" w:hAnsi="仿宋_GB2312" w:eastAsia="仿宋_GB2312" w:cs="仿宋_GB2312"/>
          <w:sz w:val="32"/>
          <w:szCs w:val="32"/>
          <w:u w:val="single" w:color="auto"/>
          <w:lang w:val="en-US" w:eastAsia="zh-CN"/>
        </w:rPr>
        <w:t xml:space="preserve">  </w:t>
      </w:r>
      <w:r>
        <w:rPr>
          <w:rFonts w:hint="eastAsia" w:ascii="仿宋_GB2312" w:hAnsi="仿宋_GB2312" w:eastAsia="仿宋_GB2312" w:cs="仿宋_GB2312"/>
          <w:sz w:val="32"/>
          <w:szCs w:val="32"/>
          <w:u w:val="single" w:color="auto"/>
        </w:rPr>
        <w:t xml:space="preserve">       </w:t>
      </w:r>
    </w:p>
    <w:p w14:paraId="05AD798F">
      <w:pPr>
        <w:pStyle w:val="6"/>
        <w:spacing w:before="309" w:line="223" w:lineRule="auto"/>
        <w:ind w:left="595"/>
        <w:jc w:val="left"/>
        <w:rPr>
          <w:rFonts w:hint="eastAsia" w:ascii="仿宋_GB2312" w:hAnsi="仿宋_GB2312" w:eastAsia="仿宋_GB2312" w:cs="仿宋_GB2312"/>
          <w:sz w:val="32"/>
          <w:szCs w:val="32"/>
        </w:rPr>
      </w:pPr>
      <w:r>
        <w:rPr>
          <w:rFonts w:hint="eastAsia" w:ascii="仿宋_GB2312" w:hAnsi="仿宋_GB2312" w:eastAsia="仿宋_GB2312" w:cs="仿宋_GB2312"/>
          <w:spacing w:val="-4"/>
          <w:sz w:val="32"/>
          <w:szCs w:val="32"/>
        </w:rPr>
        <w:t>法定代表人：</w:t>
      </w:r>
      <w:r>
        <w:rPr>
          <w:rFonts w:hint="eastAsia" w:ascii="仿宋_GB2312" w:hAnsi="仿宋_GB2312" w:eastAsia="仿宋_GB2312" w:cs="仿宋_GB2312"/>
          <w:spacing w:val="127"/>
          <w:sz w:val="32"/>
          <w:szCs w:val="32"/>
        </w:rPr>
        <w:t xml:space="preserve"> </w:t>
      </w:r>
      <w:r>
        <w:rPr>
          <w:rFonts w:hint="eastAsia" w:ascii="仿宋_GB2312" w:hAnsi="仿宋_GB2312" w:eastAsia="仿宋_GB2312" w:cs="仿宋_GB2312"/>
          <w:sz w:val="32"/>
          <w:szCs w:val="32"/>
          <w:u w:val="single" w:color="auto"/>
        </w:rPr>
        <w:t xml:space="preserve">                        </w:t>
      </w:r>
    </w:p>
    <w:p w14:paraId="65A23129">
      <w:pPr>
        <w:spacing w:line="223" w:lineRule="auto"/>
        <w:rPr>
          <w:rFonts w:hint="eastAsia" w:ascii="仿宋_GB2312" w:hAnsi="仿宋_GB2312" w:eastAsia="仿宋_GB2312" w:cs="仿宋_GB2312"/>
          <w:sz w:val="32"/>
          <w:szCs w:val="32"/>
        </w:rPr>
        <w:sectPr>
          <w:footerReference r:id="rId12" w:type="default"/>
          <w:pgSz w:w="11900" w:h="16840"/>
          <w:pgMar w:top="1440" w:right="1800" w:bottom="1440" w:left="1800" w:header="0" w:footer="824" w:gutter="0"/>
          <w:pgNumType w:fmt="numberInDash"/>
          <w:cols w:space="720" w:num="1"/>
        </w:sectPr>
      </w:pPr>
    </w:p>
    <w:p w14:paraId="73F4A25C">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根据《中华人民共和国矿产资源法》《矿业权出让收益征收办法》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四川省矿业权出让收益征收管理办法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等相关规定，甲乙双方经协商一致订立本合同。</w:t>
      </w:r>
    </w:p>
    <w:p w14:paraId="492C6557">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xml:space="preserve">  采矿权基本情况</w:t>
      </w:r>
    </w:p>
    <w:p w14:paraId="37FE79A5">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矿山名称：</w:t>
      </w:r>
      <w:r>
        <w:rPr>
          <w:rFonts w:hint="eastAsia" w:ascii="仿宋_GB2312" w:hAnsi="仿宋_GB2312" w:eastAsia="仿宋_GB2312" w:cs="仿宋_GB2312"/>
          <w:sz w:val="32"/>
          <w:szCs w:val="32"/>
          <w:u w:val="single"/>
        </w:rPr>
        <w:t xml:space="preserve">                                  </w:t>
      </w:r>
    </w:p>
    <w:p w14:paraId="4A347F67">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开采矿种：</w:t>
      </w:r>
      <w:r>
        <w:rPr>
          <w:rFonts w:hint="eastAsia" w:ascii="仿宋_GB2312" w:hAnsi="仿宋_GB2312" w:eastAsia="仿宋_GB2312" w:cs="仿宋_GB2312"/>
          <w:sz w:val="32"/>
          <w:szCs w:val="32"/>
          <w:u w:val="single"/>
        </w:rPr>
        <w:t xml:space="preserve"> </w:t>
      </w:r>
      <w:r>
        <w:rPr>
          <w:rFonts w:hint="eastAsia" w:ascii="楷体" w:hAnsi="楷体" w:eastAsia="楷体" w:cs="楷体"/>
          <w:sz w:val="32"/>
          <w:szCs w:val="32"/>
          <w:u w:val="single"/>
          <w:lang w:val="en-US" w:eastAsia="zh-CN"/>
        </w:rPr>
        <w:t xml:space="preserve"> （</w:t>
      </w:r>
      <w:r>
        <w:rPr>
          <w:rFonts w:hint="eastAsia" w:ascii="楷体" w:hAnsi="楷体" w:eastAsia="楷体" w:cs="楷体"/>
          <w:sz w:val="32"/>
          <w:szCs w:val="32"/>
          <w:u w:val="single"/>
        </w:rPr>
        <w:t>主矿种 、 共伴生矿种</w:t>
      </w:r>
      <w:r>
        <w:rPr>
          <w:rFonts w:hint="eastAsia" w:ascii="楷体" w:hAnsi="楷体" w:eastAsia="楷体" w:cs="楷体"/>
          <w:sz w:val="32"/>
          <w:szCs w:val="32"/>
          <w:u w:val="single"/>
          <w:lang w:eastAsia="zh-CN"/>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5483DC48">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地理位置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所在行政区域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u w:val="single"/>
        </w:rPr>
        <w:t xml:space="preserve">                  </w:t>
      </w:r>
    </w:p>
    <w:p w14:paraId="4DF8EA93">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资源量/探明地质储量：</w:t>
      </w:r>
      <w:r>
        <w:rPr>
          <w:rFonts w:hint="eastAsia" w:ascii="仿宋_GB2312" w:hAnsi="仿宋_GB2312" w:eastAsia="仿宋_GB2312" w:cs="仿宋_GB2312"/>
          <w:sz w:val="32"/>
          <w:szCs w:val="32"/>
          <w:u w:val="single"/>
        </w:rPr>
        <w:t xml:space="preserve">                      </w:t>
      </w:r>
    </w:p>
    <w:p w14:paraId="3B3BEE83">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 ) 面    积：</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平方千米</w:t>
      </w:r>
    </w:p>
    <w:p w14:paraId="4A5216B7">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开采区域坐标：</w:t>
      </w:r>
      <w:r>
        <w:rPr>
          <w:rFonts w:hint="eastAsia" w:ascii="仿宋_GB2312" w:hAnsi="仿宋_GB2312" w:eastAsia="仿宋_GB2312" w:cs="仿宋_GB2312"/>
          <w:sz w:val="32"/>
          <w:szCs w:val="32"/>
          <w:u w:val="single"/>
        </w:rPr>
        <w:t xml:space="preserve">    </w:t>
      </w:r>
      <w:r>
        <w:rPr>
          <w:rFonts w:hint="eastAsia" w:ascii="楷体" w:hAnsi="楷体" w:eastAsia="楷体" w:cs="楷体"/>
          <w:sz w:val="32"/>
          <w:szCs w:val="32"/>
          <w:u w:val="single"/>
          <w:lang w:val="en-US" w:eastAsia="zh-CN"/>
        </w:rPr>
        <w:t>( 可另附页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14:paraId="45F9170B">
      <w:pPr>
        <w:pStyle w:val="6"/>
        <w:keepNext w:val="0"/>
        <w:keepLines w:val="0"/>
        <w:pageBreakBefore w:val="0"/>
        <w:widowControl/>
        <w:kinsoku w:val="0"/>
        <w:wordWrap/>
        <w:overflowPunct/>
        <w:topLinePunct w:val="0"/>
        <w:autoSpaceDE w:val="0"/>
        <w:autoSpaceDN w:val="0"/>
        <w:bidi w:val="0"/>
        <w:adjustRightInd/>
        <w:snapToGrid/>
        <w:spacing w:line="580" w:lineRule="exact"/>
        <w:jc w:val="both"/>
        <w:textAlignment w:val="baseline"/>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7FFCF9AE">
      <w:pPr>
        <w:pStyle w:val="6"/>
        <w:keepNext w:val="0"/>
        <w:keepLines w:val="0"/>
        <w:pageBreakBefore w:val="0"/>
        <w:widowControl/>
        <w:kinsoku w:val="0"/>
        <w:wordWrap/>
        <w:overflowPunct/>
        <w:topLinePunct w:val="0"/>
        <w:autoSpaceDE w:val="0"/>
        <w:autoSpaceDN w:val="0"/>
        <w:bidi w:val="0"/>
        <w:adjustRightInd/>
        <w:snapToGrid/>
        <w:spacing w:line="580" w:lineRule="exact"/>
        <w:jc w:val="both"/>
        <w:textAlignment w:val="baseline"/>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14:paraId="53379E7B">
      <w:pPr>
        <w:pStyle w:val="6"/>
        <w:keepNext w:val="0"/>
        <w:keepLines w:val="0"/>
        <w:pageBreakBefore w:val="0"/>
        <w:widowControl/>
        <w:kinsoku w:val="0"/>
        <w:wordWrap/>
        <w:overflowPunct/>
        <w:topLinePunct w:val="0"/>
        <w:autoSpaceDE w:val="0"/>
        <w:autoSpaceDN w:val="0"/>
        <w:bidi w:val="0"/>
        <w:adjustRightInd/>
        <w:snapToGrid/>
        <w:spacing w:line="580" w:lineRule="exact"/>
        <w:jc w:val="both"/>
        <w:textAlignment w:val="baseline"/>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 xml:space="preserve">                             （</w:t>
      </w:r>
      <w:r>
        <w:rPr>
          <w:rFonts w:hint="eastAsia" w:ascii="楷体" w:hAnsi="楷体" w:eastAsia="楷体" w:cs="楷体"/>
          <w:sz w:val="32"/>
          <w:szCs w:val="32"/>
          <w:u w:val="single"/>
          <w:lang w:val="en-US" w:eastAsia="zh-CN"/>
        </w:rPr>
        <w:t>2000国家大地坐标系）</w:t>
      </w:r>
      <w:r>
        <w:rPr>
          <w:rFonts w:hint="eastAsia" w:ascii="仿宋_GB2312" w:hAnsi="仿宋_GB2312" w:eastAsia="仿宋_GB2312" w:cs="仿宋_GB2312"/>
          <w:sz w:val="32"/>
          <w:szCs w:val="32"/>
          <w:u w:val="single"/>
          <w:lang w:val="en-US" w:eastAsia="zh-CN"/>
        </w:rPr>
        <w:t xml:space="preserve"> </w:t>
      </w:r>
    </w:p>
    <w:p w14:paraId="4D25ACD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开采标高：</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米至</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米</w:t>
      </w:r>
    </w:p>
    <w:p w14:paraId="6E4B81B8">
      <w:pPr>
        <w:pStyle w:val="6"/>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第二条</w:t>
      </w:r>
      <w:r>
        <w:rPr>
          <w:rFonts w:hint="eastAsia" w:ascii="仿宋_GB2312" w:hAnsi="仿宋_GB2312" w:eastAsia="仿宋_GB2312" w:cs="仿宋_GB2312"/>
          <w:sz w:val="32"/>
          <w:szCs w:val="32"/>
        </w:rPr>
        <w:t xml:space="preserve">  出让方式：</w:t>
      </w:r>
      <w:r>
        <w:rPr>
          <w:rFonts w:hint="eastAsia" w:ascii="仿宋_GB2312" w:hAnsi="仿宋_GB2312" w:eastAsia="仿宋_GB2312" w:cs="仿宋_GB2312"/>
          <w:sz w:val="32"/>
          <w:szCs w:val="32"/>
          <w:u w:val="single"/>
        </w:rPr>
        <w:t>□招标□拍卖□挂牌□协议</w:t>
      </w:r>
      <w:r>
        <w:rPr>
          <w:rFonts w:hint="eastAsia" w:ascii="仿宋_GB2312" w:hAnsi="仿宋_GB2312" w:eastAsia="仿宋_GB2312" w:cs="仿宋_GB2312"/>
          <w:sz w:val="32"/>
          <w:szCs w:val="32"/>
        </w:rPr>
        <w:t xml:space="preserve"> </w:t>
      </w:r>
    </w:p>
    <w:p w14:paraId="528E64B6">
      <w:pPr>
        <w:pStyle w:val="6"/>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第三条</w:t>
      </w:r>
      <w:r>
        <w:rPr>
          <w:rFonts w:hint="eastAsia" w:ascii="仿宋_GB2312" w:hAnsi="仿宋_GB2312" w:eastAsia="仿宋_GB2312" w:cs="仿宋_GB2312"/>
          <w:sz w:val="32"/>
          <w:szCs w:val="32"/>
        </w:rPr>
        <w:t xml:space="preserve">  采矿权的期限为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年，采矿权期限届满，</w:t>
      </w:r>
      <w:r>
        <w:rPr>
          <w:rFonts w:hint="eastAsia" w:ascii="仿宋_GB2312" w:hAnsi="仿宋_GB2312" w:eastAsia="仿宋_GB2312" w:cs="仿宋_GB2312"/>
          <w:spacing w:val="-6"/>
          <w:sz w:val="32"/>
          <w:szCs w:val="32"/>
        </w:rPr>
        <w:t>登记的开采区域内仍有可供开采的矿产资源的，可以续期。</w:t>
      </w:r>
      <w:r>
        <w:rPr>
          <w:rFonts w:hint="eastAsia" w:ascii="仿宋_GB2312" w:hAnsi="仿宋_GB2312" w:eastAsia="仿宋_GB2312" w:cs="仿宋_GB2312"/>
          <w:sz w:val="32"/>
          <w:szCs w:val="32"/>
        </w:rPr>
        <w:t>法律、行政法 规另有规定的除外。</w:t>
      </w:r>
    </w:p>
    <w:p w14:paraId="11D998DA">
      <w:pPr>
        <w:pStyle w:val="6"/>
        <w:keepNext w:val="0"/>
        <w:keepLines w:val="0"/>
        <w:pageBreakBefore w:val="0"/>
        <w:widowControl/>
        <w:kinsoku w:val="0"/>
        <w:wordWrap/>
        <w:overflowPunct/>
        <w:topLinePunct w:val="0"/>
        <w:autoSpaceDE w:val="0"/>
        <w:autoSpaceDN w:val="0"/>
        <w:bidi w:val="0"/>
        <w:adjustRightInd/>
        <w:snapToGrid/>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第四条</w:t>
      </w:r>
      <w:r>
        <w:rPr>
          <w:rFonts w:hint="eastAsia" w:ascii="仿宋_GB2312" w:hAnsi="仿宋_GB2312" w:eastAsia="仿宋_GB2312" w:cs="仿宋_GB2312"/>
          <w:sz w:val="32"/>
          <w:szCs w:val="32"/>
        </w:rPr>
        <w:t xml:space="preserve">  矿业权出让收益</w:t>
      </w:r>
    </w:p>
    <w:p w14:paraId="75786DA8">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sectPr>
          <w:footerReference r:id="rId13" w:type="default"/>
          <w:pgSz w:w="11906" w:h="16838"/>
          <w:pgMar w:top="1871" w:right="1474" w:bottom="1361" w:left="1587" w:header="851" w:footer="992" w:gutter="0"/>
          <w:pgNumType w:fmt="numberInDash" w:start="1"/>
          <w:cols w:space="720" w:num="1"/>
          <w:docGrid w:type="lines" w:linePitch="312" w:charSpace="0"/>
        </w:sectPr>
      </w:pPr>
    </w:p>
    <w:p w14:paraId="744740B5">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 ) 采矿权出让收益为人民币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元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249E4D4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采矿权出让收益按以下第</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种方式缴纳：</w:t>
      </w:r>
    </w:p>
    <w:p w14:paraId="758E612A">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1.一次性缴清。</w:t>
      </w:r>
    </w:p>
    <w:p w14:paraId="1686AAC0">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2.分期缴纳。首次缴纳人民币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元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大写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剩余部分在采矿权有效期内分</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年缴纳，每年</w:t>
      </w:r>
      <w:r>
        <w:rPr>
          <w:rFonts w:hint="eastAsia" w:ascii="楷体" w:hAnsi="楷体" w:eastAsia="楷体" w:cs="楷体"/>
          <w:sz w:val="32"/>
          <w:szCs w:val="32"/>
          <w:u w:val="single"/>
        </w:rPr>
        <w:t xml:space="preserve"> </w:t>
      </w:r>
      <w:r>
        <w:rPr>
          <w:rFonts w:hint="eastAsia" w:ascii="楷体" w:hAnsi="楷体" w:eastAsia="楷体" w:cs="楷体"/>
          <w:sz w:val="32"/>
          <w:szCs w:val="32"/>
          <w:u w:val="single"/>
          <w:lang w:eastAsia="zh-CN"/>
        </w:rPr>
        <w:t>（</w:t>
      </w:r>
      <w:r>
        <w:rPr>
          <w:rFonts w:hint="eastAsia" w:ascii="楷体" w:hAnsi="楷体" w:eastAsia="楷体" w:cs="楷体"/>
          <w:sz w:val="32"/>
          <w:szCs w:val="32"/>
          <w:u w:val="single"/>
        </w:rPr>
        <w:t>具体时间</w:t>
      </w:r>
      <w:r>
        <w:rPr>
          <w:rFonts w:hint="eastAsia" w:ascii="楷体" w:hAnsi="楷体" w:eastAsia="楷体" w:cs="楷体"/>
          <w:sz w:val="32"/>
          <w:szCs w:val="32"/>
          <w:u w:val="single"/>
          <w:lang w:eastAsia="zh-CN"/>
        </w:rPr>
        <w:t>）</w:t>
      </w:r>
      <w:r>
        <w:rPr>
          <w:rFonts w:hint="eastAsia" w:ascii="楷体" w:hAnsi="楷体" w:eastAsia="楷体" w:cs="楷体"/>
          <w:sz w:val="32"/>
          <w:szCs w:val="32"/>
          <w:u w:val="single"/>
        </w:rPr>
        <w:t xml:space="preserve">  </w:t>
      </w:r>
      <w:r>
        <w:rPr>
          <w:rFonts w:hint="eastAsia" w:ascii="仿宋_GB2312" w:hAnsi="仿宋_GB2312" w:eastAsia="仿宋_GB2312" w:cs="仿宋_GB2312"/>
          <w:sz w:val="32"/>
          <w:szCs w:val="32"/>
        </w:rPr>
        <w:t xml:space="preserve">缴纳人民币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元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10173F1F">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乙方在收到缴款通知书之日起30日内，应按缴款通知 及时缴纳矿业权出让收益。分期缴纳的，剩余部分按本合同约定的时间缴纳。</w:t>
      </w:r>
    </w:p>
    <w:p w14:paraId="046B13EB">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如涉及动用采矿权范围内未有偿处置的资源量的，应按规定缴纳采矿权出让收益。</w:t>
      </w:r>
    </w:p>
    <w:p w14:paraId="22973D88">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xml:space="preserve">  乙方未按时足额缴纳矿业权出让收益的，从违约之日起每日加收千分之二的违约金，加收的违约金不超过欠缴金额本金。</w:t>
      </w:r>
    </w:p>
    <w:p w14:paraId="58202803">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楷体" w:hAnsi="楷体" w:eastAsia="楷体" w:cs="楷体"/>
          <w:sz w:val="32"/>
          <w:szCs w:val="32"/>
        </w:rPr>
      </w:pPr>
      <w:r>
        <w:rPr>
          <w:rFonts w:hint="eastAsia" w:ascii="黑体" w:hAnsi="黑体" w:eastAsia="黑体" w:cs="黑体"/>
          <w:sz w:val="32"/>
          <w:szCs w:val="32"/>
        </w:rPr>
        <w:t>第六条</w:t>
      </w:r>
      <w:r>
        <w:rPr>
          <w:rFonts w:hint="eastAsia" w:ascii="仿宋_GB2312" w:hAnsi="仿宋_GB2312" w:eastAsia="仿宋_GB2312" w:cs="仿宋_GB2312"/>
          <w:sz w:val="32"/>
          <w:szCs w:val="32"/>
        </w:rPr>
        <w:t xml:space="preserve">  乙方应按规定签订互不影响和权益保护协议或出具不影响已设矿业权人权益的承诺，严格执行相关安全要求。</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仅用于招标/拍卖/挂牌/协议出让采矿权，且开采区域与已设矿业权范围重叠</w:t>
      </w:r>
      <w:r>
        <w:rPr>
          <w:rFonts w:hint="eastAsia" w:ascii="楷体" w:hAnsi="楷体" w:eastAsia="楷体" w:cs="楷体"/>
          <w:sz w:val="32"/>
          <w:szCs w:val="32"/>
          <w:lang w:eastAsia="zh-CN"/>
        </w:rPr>
        <w:t>）</w:t>
      </w:r>
    </w:p>
    <w:p w14:paraId="2FF6240F">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第七条</w:t>
      </w:r>
      <w:r>
        <w:rPr>
          <w:rFonts w:hint="eastAsia" w:ascii="仿宋_GB2312" w:hAnsi="仿宋_GB2312" w:eastAsia="仿宋_GB2312" w:cs="仿宋_GB2312"/>
          <w:sz w:val="32"/>
          <w:szCs w:val="32"/>
        </w:rPr>
        <w:t xml:space="preserve">  乙方自取得缴款凭证之日起15个工作日内，应向甲方申请办理采矿权登记。</w:t>
      </w:r>
    </w:p>
    <w:p w14:paraId="7E7E2C69">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第八条</w:t>
      </w:r>
      <w:r>
        <w:rPr>
          <w:rFonts w:hint="eastAsia" w:ascii="仿宋_GB2312" w:hAnsi="仿宋_GB2312" w:eastAsia="仿宋_GB2312" w:cs="仿宋_GB2312"/>
          <w:sz w:val="32"/>
          <w:szCs w:val="32"/>
        </w:rPr>
        <w:t xml:space="preserve">  甲方对于乙方提交申请材料符合要求的采矿权登记申请，应当自受理登记申请之日起20个工作日内办结采矿权登记手续。</w:t>
      </w:r>
    </w:p>
    <w:p w14:paraId="77CA3B0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本合同签订生效后，甲方不应将本合同约定的全部或者部分 开采区域另行向第三方出让探矿权或者采矿权，依据相关规定同一区域可以按照不同矿种分别设置探矿权、采矿权的情形除外。</w:t>
      </w:r>
    </w:p>
    <w:p w14:paraId="7A51C758">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xml:space="preserve">  乙方自本合同签订之日起12个月内，应编制开采方案、矿区生态修复方案，申请办理采矿许可。未取得采矿许可证，不得进行矿产资源开采作业。</w:t>
      </w:r>
    </w:p>
    <w:p w14:paraId="6900BD15">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pacing w:val="-6"/>
          <w:sz w:val="32"/>
          <w:szCs w:val="32"/>
        </w:rPr>
      </w:pPr>
      <w:r>
        <w:rPr>
          <w:rFonts w:hint="eastAsia" w:ascii="黑体" w:hAnsi="黑体" w:eastAsia="黑体" w:cs="黑体"/>
          <w:sz w:val="32"/>
          <w:szCs w:val="32"/>
        </w:rPr>
        <w:t>第十条</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6"/>
          <w:sz w:val="32"/>
          <w:szCs w:val="32"/>
        </w:rPr>
        <w:t xml:space="preserve"> 扩大开采区域、变更</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含增列</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开采矿种等，涉及动用未有偿处置的资源量，甲、乙双方需变更采矿权出让合同</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同时乙方应当向甲方申请采矿权变更登记。</w:t>
      </w:r>
    </w:p>
    <w:p w14:paraId="5A40CE9B">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第十一条</w:t>
      </w:r>
      <w:r>
        <w:rPr>
          <w:rFonts w:hint="eastAsia" w:ascii="仿宋_GB2312" w:hAnsi="仿宋_GB2312" w:eastAsia="仿宋_GB2312" w:cs="仿宋_GB2312"/>
          <w:sz w:val="32"/>
          <w:szCs w:val="32"/>
        </w:rPr>
        <w:t xml:space="preserve"> 乙方按规定可以依法转让采矿权，本合同约定的权利、义务依法随之转移。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出让合同另有约定不得转让的情形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不得转让。乙方转让以协议方式取得的采矿权，应当持有采矿权满5年；符合规定的特殊情形除外。</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仅用于协议方式出让的采矿权</w:t>
      </w:r>
      <w:r>
        <w:rPr>
          <w:rFonts w:hint="eastAsia" w:ascii="楷体" w:hAnsi="楷体" w:eastAsia="楷体" w:cs="楷体"/>
          <w:sz w:val="32"/>
          <w:szCs w:val="32"/>
          <w:lang w:eastAsia="zh-CN"/>
        </w:rPr>
        <w:t>）</w:t>
      </w:r>
    </w:p>
    <w:p w14:paraId="3371988E">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楷体" w:hAnsi="楷体" w:eastAsia="楷体" w:cs="楷体"/>
          <w:sz w:val="32"/>
          <w:szCs w:val="32"/>
        </w:rPr>
      </w:pPr>
      <w:r>
        <w:rPr>
          <w:rFonts w:hint="eastAsia" w:ascii="黑体" w:hAnsi="黑体" w:eastAsia="黑体" w:cs="黑体"/>
          <w:sz w:val="32"/>
          <w:szCs w:val="32"/>
        </w:rPr>
        <w:t>第十二条</w:t>
      </w:r>
      <w:r>
        <w:rPr>
          <w:rFonts w:hint="eastAsia" w:ascii="仿宋_GB2312" w:hAnsi="仿宋_GB2312" w:eastAsia="仿宋_GB2312" w:cs="仿宋_GB2312"/>
          <w:sz w:val="32"/>
          <w:szCs w:val="32"/>
        </w:rPr>
        <w:t xml:space="preserve">  乙方进行矿产资源开采作业时，应符合保护性开采的有关要求。对实行开采总量控制管理的矿种，按照自然资源主管部门下达的开采总量控制指标开采。</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仅用于特定战略性矿产资源</w:t>
      </w:r>
      <w:r>
        <w:rPr>
          <w:rFonts w:hint="eastAsia" w:ascii="楷体" w:hAnsi="楷体" w:eastAsia="楷体" w:cs="楷体"/>
          <w:sz w:val="32"/>
          <w:szCs w:val="32"/>
          <w:lang w:eastAsia="zh-CN"/>
        </w:rPr>
        <w:t>）</w:t>
      </w:r>
    </w:p>
    <w:p w14:paraId="593A42D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第十三条</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pacing w:val="-6"/>
          <w:sz w:val="32"/>
          <w:szCs w:val="32"/>
        </w:rPr>
        <w:t>乙方在持有采矿权期间，应当严格遵守矿产资源法律法规、相关矿业权管理政策，认真履行综合开采、综合利用、地质资料汇交、矿区生态修复、绿色矿山建设、合理和集约节约用地用林用草用海、临时用地恢复、采矿权占用费缴纳、矿产资源应急处置等相关义务。乙方应严格按照绿色矿山标准建设运行，正式投产后1-2年内通过绿色矿山评估核查。</w:t>
      </w:r>
    </w:p>
    <w:p w14:paraId="6773D222">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乙方应当依法履行生态修复义务，按照规定足额提取矿区生态修复费用，专门用于矿区生态修复；未依法履行矿区生态修复义务的，按照有关规定列入异常名录或严重失信主体名单。乙方的生态修复等义务不因采矿权消灭而免除</w:t>
      </w:r>
      <w:r>
        <w:rPr>
          <w:rFonts w:hint="eastAsia" w:ascii="仿宋_GB2312" w:hAnsi="仿宋_GB2312" w:eastAsia="仿宋_GB2312" w:cs="仿宋_GB2312"/>
          <w:sz w:val="32"/>
          <w:szCs w:val="32"/>
          <w:lang w:eastAsia="zh-CN"/>
        </w:rPr>
        <w:t>。</w:t>
      </w:r>
    </w:p>
    <w:p w14:paraId="72132E05">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乙方在进行作业时，须按照安全生产、生态环境、爆破作业、取水、水土保持、河道、文物、水利设施等法律法规的要求，办理相应许可和手续等。须遵守重要公路、铁路、永久基本农田、生态保护红线、林地、草原等相关规定，不占或少占耕地、林地、草原，按规定办理使用耕地、林地、草原手续</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并按要求施工。乙方未按要求施工的，按相关规定予以处理。</w:t>
      </w:r>
    </w:p>
    <w:p w14:paraId="5333BA82">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第十四条</w:t>
      </w:r>
      <w:r>
        <w:rPr>
          <w:rFonts w:hint="eastAsia" w:ascii="仿宋_GB2312" w:hAnsi="仿宋_GB2312" w:eastAsia="仿宋_GB2312" w:cs="仿宋_GB2312"/>
          <w:sz w:val="32"/>
          <w:szCs w:val="32"/>
        </w:rPr>
        <w:t xml:space="preserve">  有下列情形之一的，本合同自动解除：</w:t>
      </w:r>
    </w:p>
    <w:p w14:paraId="4F40B97F">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乙方因自身原因，逾期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日未足额缴纳采矿权出让收益的</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仅用于按出让金额形式征收且一次性缴纳</w:t>
      </w:r>
      <w:r>
        <w:rPr>
          <w:rFonts w:hint="eastAsia" w:ascii="楷体" w:hAnsi="楷体" w:eastAsia="楷体" w:cs="楷体"/>
          <w:sz w:val="32"/>
          <w:szCs w:val="32"/>
          <w:lang w:eastAsia="zh-CN"/>
        </w:rPr>
        <w:t>），</w:t>
      </w:r>
      <w:r>
        <w:rPr>
          <w:rFonts w:hint="eastAsia" w:ascii="仿宋_GB2312" w:hAnsi="仿宋_GB2312" w:eastAsia="仿宋_GB2312" w:cs="仿宋_GB2312"/>
          <w:sz w:val="32"/>
          <w:szCs w:val="32"/>
        </w:rPr>
        <w:t>首期采矿权出让收益的</w:t>
      </w:r>
      <w:r>
        <w:rPr>
          <w:rFonts w:hint="eastAsia" w:ascii="仿宋_GB2312" w:hAnsi="仿宋_GB2312" w:eastAsia="仿宋_GB2312" w:cs="仿宋_GB2312"/>
          <w:sz w:val="32"/>
          <w:szCs w:val="32"/>
          <w:lang w:eastAsia="zh-CN"/>
        </w:rPr>
        <w:t>（</w:t>
      </w:r>
      <w:r>
        <w:rPr>
          <w:rFonts w:hint="eastAsia" w:ascii="楷体" w:hAnsi="楷体" w:eastAsia="楷体" w:cs="楷体"/>
          <w:sz w:val="32"/>
          <w:szCs w:val="32"/>
        </w:rPr>
        <w:t>仅用于按出让金额形式征收且分期缴纳</w:t>
      </w:r>
      <w:r>
        <w:rPr>
          <w:rFonts w:hint="eastAsia" w:ascii="楷体" w:hAnsi="楷体" w:eastAsia="楷体" w:cs="楷体"/>
          <w:sz w:val="32"/>
          <w:szCs w:val="32"/>
          <w:lang w:eastAsia="zh-CN"/>
        </w:rPr>
        <w:t>）；</w:t>
      </w:r>
    </w:p>
    <w:p w14:paraId="78C5411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乙方因自身原因，未按照本合同约定向甲方申请办理采矿权首次登记的；</w:t>
      </w:r>
    </w:p>
    <w:p w14:paraId="7296D21D">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采矿权消灭的。</w:t>
      </w:r>
    </w:p>
    <w:p w14:paraId="1EC04517">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（四）法律、法规、规章规定可以解除合同的其他情形。</w:t>
      </w:r>
    </w:p>
    <w:p w14:paraId="2DAF50F8">
      <w:pPr>
        <w:pStyle w:val="6"/>
        <w:keepNext w:val="0"/>
        <w:keepLines w:val="0"/>
        <w:pageBreakBefore w:val="0"/>
        <w:widowControl/>
        <w:kinsoku w:val="0"/>
        <w:wordWrap/>
        <w:overflowPunct/>
        <w:topLinePunct w:val="0"/>
        <w:autoSpaceDE w:val="0"/>
        <w:autoSpaceDN w:val="0"/>
        <w:bidi w:val="0"/>
        <w:adjustRightInd/>
        <w:snapToGrid/>
        <w:spacing w:line="580" w:lineRule="exact"/>
        <w:ind w:firstLine="616" w:firstLineChars="200"/>
        <w:jc w:val="both"/>
        <w:textAlignment w:val="baseline"/>
        <w:rPr>
          <w:rFonts w:hint="eastAsia" w:ascii="仿宋_GB2312" w:hAnsi="仿宋_GB2312" w:eastAsia="仿宋_GB2312" w:cs="仿宋_GB2312"/>
          <w:color w:val="auto"/>
          <w:spacing w:val="-6"/>
          <w:sz w:val="32"/>
          <w:szCs w:val="32"/>
          <w:highlight w:val="none"/>
          <w:u w:val="none"/>
        </w:rPr>
      </w:pPr>
      <w:r>
        <w:rPr>
          <w:rFonts w:hint="eastAsia" w:ascii="仿宋_GB2312" w:hAnsi="仿宋_GB2312" w:eastAsia="仿宋_GB2312" w:cs="仿宋_GB2312"/>
          <w:color w:val="auto"/>
          <w:spacing w:val="-6"/>
          <w:sz w:val="32"/>
          <w:szCs w:val="32"/>
          <w:highlight w:val="none"/>
          <w:u w:val="none"/>
        </w:rPr>
        <w:t>合同解除后，乙方已缴纳的矿业权出让收益以及保证金不予退还，其他事项甲方应按规定处置。为了公共利益的需要，矿业权被收回的，应当依法给予公平、合理的补偿。</w:t>
      </w:r>
    </w:p>
    <w:p w14:paraId="28758545">
      <w:pPr>
        <w:pStyle w:val="6"/>
        <w:keepNext w:val="0"/>
        <w:keepLines w:val="0"/>
        <w:pageBreakBefore w:val="0"/>
        <w:widowControl/>
        <w:kinsoku w:val="0"/>
        <w:wordWrap/>
        <w:overflowPunct/>
        <w:topLinePunct w:val="0"/>
        <w:autoSpaceDE w:val="0"/>
        <w:autoSpaceDN w:val="0"/>
        <w:bidi w:val="0"/>
        <w:adjustRightInd/>
        <w:snapToGrid/>
        <w:spacing w:line="580" w:lineRule="exact"/>
        <w:ind w:firstLine="616" w:firstLineChars="200"/>
        <w:jc w:val="both"/>
        <w:textAlignment w:val="baseline"/>
        <w:rPr>
          <w:rFonts w:hint="eastAsia" w:ascii="仿宋_GB2312" w:hAnsi="仿宋_GB2312" w:eastAsia="仿宋_GB2312" w:cs="仿宋_GB2312"/>
          <w:spacing w:val="0"/>
          <w:sz w:val="32"/>
          <w:szCs w:val="32"/>
        </w:rPr>
      </w:pPr>
      <w:r>
        <w:rPr>
          <w:rFonts w:hint="eastAsia" w:ascii="黑体" w:hAnsi="黑体" w:eastAsia="黑体" w:cs="黑体"/>
          <w:spacing w:val="-6"/>
          <w:sz w:val="32"/>
          <w:szCs w:val="32"/>
        </w:rPr>
        <w:t xml:space="preserve">第十五条 </w:t>
      </w:r>
      <w:r>
        <w:rPr>
          <w:rFonts w:hint="eastAsia" w:ascii="仿宋_GB2312" w:hAnsi="仿宋_GB2312" w:eastAsia="仿宋_GB2312" w:cs="仿宋_GB2312"/>
          <w:spacing w:val="-6"/>
          <w:sz w:val="32"/>
          <w:szCs w:val="32"/>
        </w:rPr>
        <w:t xml:space="preserve"> </w:t>
      </w:r>
      <w:r>
        <w:rPr>
          <w:rFonts w:hint="eastAsia" w:ascii="仿宋_GB2312" w:hAnsi="仿宋_GB2312" w:eastAsia="仿宋_GB2312" w:cs="仿宋_GB2312"/>
          <w:spacing w:val="0"/>
          <w:sz w:val="32"/>
          <w:szCs w:val="32"/>
        </w:rPr>
        <w:t>本合同未尽事宜，双方经协商一致后，可另行签订补充协议。补充协议与本合同具有同等法律效力。本合同及补充协议没有约定的，应当按照相关法律法规和规章、政策规定执行。本合同及补充协议签订后，法律法规和规章</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政策规定发生变化的，按变化后的规定执行。</w:t>
      </w:r>
    </w:p>
    <w:p w14:paraId="4B053124">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 xml:space="preserve">第十六条 </w:t>
      </w:r>
      <w:r>
        <w:rPr>
          <w:rFonts w:hint="eastAsia" w:ascii="仿宋_GB2312" w:hAnsi="仿宋_GB2312" w:eastAsia="仿宋_GB2312" w:cs="仿宋_GB2312"/>
          <w:sz w:val="32"/>
          <w:szCs w:val="32"/>
        </w:rPr>
        <w:t xml:space="preserve"> 本合同及补充协议履行过程中双方发生争议的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应当协商解决；协商不成的，甲乙双方有权向甲方所在地有管辖权的人民法院提起行政诉讼。</w:t>
      </w:r>
    </w:p>
    <w:p w14:paraId="399BE070">
      <w:pPr>
        <w:pStyle w:val="6"/>
        <w:keepNext w:val="0"/>
        <w:keepLines w:val="0"/>
        <w:pageBreakBefore w:val="0"/>
        <w:widowControl/>
        <w:kinsoku w:val="0"/>
        <w:wordWrap/>
        <w:overflowPunct/>
        <w:topLinePunct w:val="0"/>
        <w:autoSpaceDE w:val="0"/>
        <w:autoSpaceDN w:val="0"/>
        <w:bidi w:val="0"/>
        <w:adjustRightInd/>
        <w:snapToGrid/>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黑体" w:hAnsi="黑体" w:eastAsia="黑体" w:cs="黑体"/>
          <w:sz w:val="32"/>
          <w:szCs w:val="32"/>
        </w:rPr>
        <w:t xml:space="preserve">第十七条 </w:t>
      </w:r>
      <w:r>
        <w:rPr>
          <w:rFonts w:hint="eastAsia" w:ascii="仿宋_GB2312" w:hAnsi="仿宋_GB2312" w:eastAsia="仿宋_GB2312" w:cs="仿宋_GB2312"/>
          <w:sz w:val="32"/>
          <w:szCs w:val="32"/>
        </w:rPr>
        <w:t xml:space="preserve"> 本合同一式六份，甲乙双方各持三份，自双方盖章之日起生效。</w:t>
      </w:r>
    </w:p>
    <w:p w14:paraId="0D381B15">
      <w:pPr>
        <w:pStyle w:val="6"/>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以下无正文内容。</w:t>
      </w:r>
    </w:p>
    <w:p w14:paraId="2DBC87F0">
      <w:pPr>
        <w:pStyle w:val="6"/>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z w:val="32"/>
          <w:szCs w:val="32"/>
          <w:lang w:val="en-US" w:eastAsia="zh-CN"/>
        </w:rPr>
      </w:pPr>
    </w:p>
    <w:p w14:paraId="4737C1C1">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rPr>
        <w:t>甲方（盖章）：</w:t>
      </w:r>
      <w:r>
        <w:rPr>
          <w:rFonts w:hint="eastAsia" w:ascii="Times New Roman" w:hAnsi="Times New Roman" w:eastAsia="仿宋_GB2312" w:cs="Times New Roman"/>
          <w:color w:val="auto"/>
          <w:sz w:val="32"/>
          <w:szCs w:val="32"/>
          <w:highlight w:val="none"/>
          <w:u w:val="single"/>
        </w:rPr>
        <w:t xml:space="preserve">                    </w:t>
      </w:r>
    </w:p>
    <w:p w14:paraId="21D23CE4">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rPr>
      </w:pPr>
    </w:p>
    <w:p w14:paraId="30B7ED77">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rPr>
        <w:t>法定代表人</w:t>
      </w:r>
      <w:r>
        <w:rPr>
          <w:rFonts w:ascii="Times New Roman" w:hAnsi="Times New Roman" w:eastAsia="仿宋_GB2312" w:cs="Times New Roman"/>
          <w:color w:val="auto"/>
          <w:kern w:val="0"/>
          <w:sz w:val="32"/>
          <w:szCs w:val="32"/>
          <w:highlight w:val="none"/>
        </w:rPr>
        <w:t>或授权委托人</w:t>
      </w:r>
      <w:r>
        <w:rPr>
          <w:rFonts w:hint="eastAsia" w:ascii="Times New Roman" w:hAnsi="Times New Roman" w:eastAsia="仿宋_GB2312" w:cs="Times New Roman"/>
          <w:color w:val="auto"/>
          <w:sz w:val="32"/>
          <w:szCs w:val="32"/>
          <w:highlight w:val="none"/>
        </w:rPr>
        <w:t>（签字）：</w:t>
      </w:r>
      <w:r>
        <w:rPr>
          <w:rFonts w:hint="eastAsia" w:ascii="Times New Roman" w:hAnsi="Times New Roman" w:eastAsia="仿宋_GB2312" w:cs="Times New Roman"/>
          <w:color w:val="auto"/>
          <w:sz w:val="32"/>
          <w:szCs w:val="32"/>
          <w:highlight w:val="none"/>
          <w:u w:val="single"/>
        </w:rPr>
        <w:t xml:space="preserve">            </w:t>
      </w:r>
    </w:p>
    <w:p w14:paraId="489FC33B">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时       间：</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日</w:t>
      </w:r>
    </w:p>
    <w:p w14:paraId="76BF352B">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rPr>
      </w:pPr>
    </w:p>
    <w:p w14:paraId="01A13F14">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rPr>
        <w:t>乙方（盖章）：</w:t>
      </w:r>
      <w:r>
        <w:rPr>
          <w:rFonts w:hint="eastAsia" w:ascii="Times New Roman" w:hAnsi="Times New Roman" w:eastAsia="仿宋_GB2312" w:cs="Times New Roman"/>
          <w:color w:val="auto"/>
          <w:sz w:val="32"/>
          <w:szCs w:val="32"/>
          <w:highlight w:val="none"/>
          <w:u w:val="single"/>
        </w:rPr>
        <w:t xml:space="preserve">                    </w:t>
      </w:r>
    </w:p>
    <w:p w14:paraId="46ABBF40">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rPr>
      </w:pPr>
    </w:p>
    <w:p w14:paraId="43AA1146">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rFonts w:hint="eastAsia"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rPr>
        <w:t>法定代表人</w:t>
      </w:r>
      <w:r>
        <w:rPr>
          <w:rFonts w:ascii="Times New Roman" w:hAnsi="Times New Roman" w:eastAsia="仿宋_GB2312" w:cs="Times New Roman"/>
          <w:color w:val="auto"/>
          <w:kern w:val="0"/>
          <w:sz w:val="32"/>
          <w:szCs w:val="32"/>
          <w:highlight w:val="none"/>
        </w:rPr>
        <w:t>或授权委托人</w:t>
      </w:r>
      <w:r>
        <w:rPr>
          <w:rFonts w:hint="eastAsia" w:ascii="Times New Roman" w:hAnsi="Times New Roman" w:eastAsia="仿宋_GB2312" w:cs="Times New Roman"/>
          <w:color w:val="auto"/>
          <w:sz w:val="32"/>
          <w:szCs w:val="32"/>
          <w:highlight w:val="none"/>
        </w:rPr>
        <w:t>（签字）：</w:t>
      </w:r>
      <w:r>
        <w:rPr>
          <w:rFonts w:hint="eastAsia" w:ascii="Times New Roman" w:hAnsi="Times New Roman" w:eastAsia="仿宋_GB2312" w:cs="Times New Roman"/>
          <w:color w:val="auto"/>
          <w:sz w:val="32"/>
          <w:szCs w:val="32"/>
          <w:highlight w:val="none"/>
          <w:u w:val="single"/>
        </w:rPr>
        <w:t xml:space="preserve">            </w:t>
      </w:r>
    </w:p>
    <w:p w14:paraId="5327445C">
      <w:pPr>
        <w:keepNext w:val="0"/>
        <w:keepLines w:val="0"/>
        <w:pageBreakBefore w:val="0"/>
        <w:widowControl w:val="0"/>
        <w:shd w:val="clear" w:color="auto" w:fill="auto"/>
        <w:kinsoku/>
        <w:wordWrap/>
        <w:overflowPunct/>
        <w:topLinePunct w:val="0"/>
        <w:autoSpaceDE/>
        <w:autoSpaceDN/>
        <w:bidi w:val="0"/>
        <w:adjustRightInd w:val="0"/>
        <w:spacing w:line="580" w:lineRule="exact"/>
        <w:ind w:firstLine="640" w:firstLineChars="200"/>
        <w:textAlignment w:val="auto"/>
        <w:rPr>
          <w:highlight w:val="none"/>
        </w:rPr>
      </w:pPr>
      <w:r>
        <w:rPr>
          <w:rFonts w:hint="eastAsia" w:ascii="Times New Roman" w:hAnsi="Times New Roman" w:eastAsia="仿宋_GB2312" w:cs="Times New Roman"/>
          <w:color w:val="auto"/>
          <w:sz w:val="32"/>
          <w:szCs w:val="32"/>
          <w:highlight w:val="none"/>
        </w:rPr>
        <w:t>时       间：</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u w:val="single"/>
        </w:rPr>
        <w:t xml:space="preserve">  </w:t>
      </w:r>
      <w:r>
        <w:rPr>
          <w:rFonts w:hint="eastAsia" w:ascii="Times New Roman" w:hAnsi="Times New Roman" w:eastAsia="仿宋_GB2312" w:cs="Times New Roman"/>
          <w:color w:val="auto"/>
          <w:sz w:val="32"/>
          <w:szCs w:val="32"/>
          <w:highlight w:val="none"/>
        </w:rPr>
        <w:t>日</w:t>
      </w:r>
    </w:p>
    <w:p w14:paraId="0320A6DB">
      <w:pPr>
        <w:pStyle w:val="6"/>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仿宋_GB2312" w:hAnsi="仿宋_GB2312" w:eastAsia="仿宋_GB2312" w:cs="仿宋_GB2312"/>
          <w:sz w:val="32"/>
          <w:szCs w:val="32"/>
          <w:lang w:val="en-US" w:eastAsia="zh-CN"/>
        </w:rPr>
      </w:pPr>
    </w:p>
    <w:p w14:paraId="7FE6A2B2">
      <w:pPr>
        <w:pStyle w:val="71"/>
        <w:ind w:left="0" w:leftChars="0" w:firstLine="0" w:firstLineChars="0"/>
        <w:jc w:val="both"/>
        <w:rPr>
          <w:rFonts w:hint="eastAsia" w:ascii="Times New Roman" w:hAnsi="Times New Roman" w:eastAsia="宋体"/>
          <w:lang w:val="en-US" w:eastAsia="zh-CN"/>
        </w:rPr>
      </w:pPr>
    </w:p>
    <w:p w14:paraId="3991C317">
      <w:pPr>
        <w:rPr>
          <w:rFonts w:ascii="仿宋" w:hAnsi="仿宋" w:eastAsia="仿宋"/>
          <w:szCs w:val="32"/>
        </w:rPr>
      </w:pPr>
    </w:p>
    <w:sectPr>
      <w:footerReference r:id="rId14" w:type="default"/>
      <w:footerReference r:id="rId15" w:type="even"/>
      <w:pgSz w:w="11906" w:h="16838"/>
      <w:pgMar w:top="1871" w:right="1474" w:bottom="1361" w:left="1587"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 w:name="monospace">
    <w:altName w:val="Times New Roman"/>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BAE8D">
    <w:pPr>
      <w:pStyle w:val="11"/>
    </w:pPr>
    <w:r>
      <w:rPr>
        <w:sz w:val="18"/>
      </w:rPr>
      <w:pict>
        <v:shape id="_x0000_s1030" o:spid="_x0000_s1030"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64FE94D2">
                <w:pPr>
                  <w:pStyle w:val="11"/>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A7155">
    <w:pPr>
      <w:pStyle w:val="11"/>
      <w:jc w:val="right"/>
      <w:rPr>
        <w:rFonts w:ascii="Cambria" w:hAnsi="Cambria"/>
        <w:sz w:val="28"/>
        <w:szCs w:val="28"/>
      </w:rPr>
    </w:pPr>
    <w:r>
      <w:rPr>
        <w:sz w:val="28"/>
      </w:rPr>
      <w:pict>
        <v:shape id="_x0000_s1025" o:spid="_x0000_s1025"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5B71CB31">
                <w:pPr>
                  <w:pStyle w:val="11"/>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lang w:val="zh-CN"/>
                  </w:rPr>
                  <w:t>52</w:t>
                </w:r>
                <w:r>
                  <w:rPr>
                    <w:rFonts w:hint="eastAsia" w:ascii="宋体" w:hAnsi="宋体" w:cs="宋体"/>
                    <w:sz w:val="28"/>
                    <w:szCs w:val="28"/>
                  </w:rPr>
                  <w:fldChar w:fldCharType="end"/>
                </w:r>
              </w:p>
            </w:txbxContent>
          </v:textbox>
        </v:shape>
      </w:pict>
    </w:r>
  </w:p>
  <w:p w14:paraId="2038DB2D">
    <w:pPr>
      <w:pStyle w:val="11"/>
      <w:jc w:val="both"/>
      <w:rPr>
        <w:rFonts w:ascii="宋体" w:hAnsi="宋体" w:cs="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5E99">
    <w:pPr>
      <w:pStyle w:val="11"/>
      <w:rPr>
        <w:rFonts w:ascii="宋体" w:hAnsi="宋体"/>
        <w:sz w:val="28"/>
        <w:szCs w:val="28"/>
      </w:rPr>
    </w:pPr>
    <w:r>
      <w:rPr>
        <w:sz w:val="28"/>
      </w:rPr>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1A962E04">
                <w:pPr>
                  <w:pStyle w:val="11"/>
                </w:pPr>
                <w:r>
                  <w:fldChar w:fldCharType="begin"/>
                </w:r>
                <w:r>
                  <w:instrText xml:space="preserve"> PAGE  \* MERGEFORMAT </w:instrText>
                </w:r>
                <w:r>
                  <w:fldChar w:fldCharType="separate"/>
                </w:r>
                <w:r>
                  <w:t>- 1 -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65C95">
    <w:pPr>
      <w:pStyle w:val="11"/>
      <w:jc w:val="right"/>
      <w:rPr>
        <w:rFonts w:ascii="仿宋" w:hAnsi="仿宋" w:eastAsia="仿宋"/>
        <w:sz w:val="30"/>
        <w:szCs w:val="30"/>
        <w:lang w:val="zh-CN"/>
      </w:rPr>
    </w:pPr>
  </w:p>
  <w:p w14:paraId="04CA6493">
    <w:pPr>
      <w:pStyle w:val="11"/>
      <w:jc w:val="right"/>
      <w:rPr>
        <w:rFonts w:ascii="宋体" w:hAnsi="宋体" w:cs="宋体"/>
        <w:sz w:val="28"/>
        <w:szCs w:val="28"/>
      </w:rPr>
    </w:pPr>
    <w:r>
      <w:rPr>
        <w:sz w:val="28"/>
      </w:rPr>
      <w:pict>
        <v:shape id="文本框 4" o:spid="_x0000_s1027" o:spt="202" type="#_x0000_t202" style="position:absolute;left:0pt;margin-top:0pt;height:18.15pt;width:35.05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6F1C816E">
                <w:pPr>
                  <w:pStyle w:val="11"/>
                  <w:jc w:val="right"/>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37 -</w:t>
                </w:r>
                <w:r>
                  <w:rPr>
                    <w:rFonts w:hint="eastAsia" w:ascii="宋体" w:hAnsi="宋体" w:cs="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9DE5B">
    <w:pPr>
      <w:pStyle w:val="11"/>
      <w:jc w:val="right"/>
      <w:rPr>
        <w:rFonts w:ascii="Cambria" w:hAnsi="Cambria"/>
        <w:sz w:val="28"/>
        <w:szCs w:val="28"/>
      </w:rPr>
    </w:pPr>
    <w:r>
      <w:rPr>
        <w:sz w:val="28"/>
      </w:rPr>
      <w:pict>
        <v:shape id="_x0000_s1031" o:spid="_x0000_s1031"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19AEC946">
                <w:pPr>
                  <w:pStyle w:val="11"/>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txbxContent>
          </v:textbox>
        </v:shape>
      </w:pict>
    </w:r>
  </w:p>
  <w:p w14:paraId="6ECC78FF">
    <w:pPr>
      <w:pStyle w:val="11"/>
      <w:jc w:val="both"/>
      <w:rPr>
        <w:rFonts w:ascii="宋体" w:hAnsi="宋体" w:cs="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4DE8">
    <w:pPr>
      <w:spacing w:line="233" w:lineRule="auto"/>
      <w:ind w:left="7085"/>
      <w:rPr>
        <w:rFonts w:ascii="宋体" w:hAnsi="宋体" w:eastAsia="宋体" w:cs="宋体"/>
        <w:sz w:val="31"/>
        <w:szCs w:val="31"/>
      </w:rPr>
    </w:pPr>
    <w:r>
      <w:rPr>
        <w:sz w:val="31"/>
      </w:rPr>
      <w:pict>
        <v:shape id="_x0000_s1032" o:spid="_x0000_s1032"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06AF4D98">
                <w:pPr>
                  <w:pStyle w:val="11"/>
                </w:pPr>
                <w:r>
                  <w:fldChar w:fldCharType="begin"/>
                </w:r>
                <w:r>
                  <w:instrText xml:space="preserve"> PAGE  \* MERGEFORMAT </w:instrText>
                </w:r>
                <w:r>
                  <w:fldChar w:fldCharType="separate"/>
                </w:r>
                <w:r>
                  <w:t>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2E0B">
    <w:pPr>
      <w:pStyle w:val="11"/>
    </w:pPr>
    <w:r>
      <w:rPr>
        <w:sz w:val="18"/>
      </w:rPr>
      <w:pict>
        <v:shape id="_x0000_s1033" o:spid="_x0000_s1033"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3E84DB87">
                <w:pPr>
                  <w:pStyle w:val="11"/>
                </w:pPr>
                <w:r>
                  <w:fldChar w:fldCharType="begin"/>
                </w:r>
                <w:r>
                  <w:instrText xml:space="preserve"> PAGE  \* MERGEFORMAT </w:instrText>
                </w:r>
                <w:r>
                  <w:fldChar w:fldCharType="separate"/>
                </w:r>
                <w:r>
                  <w:t>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CF753">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E1D4B">
    <w:pPr>
      <w:pStyle w:val="11"/>
      <w:jc w:val="right"/>
      <w:rPr>
        <w:rFonts w:ascii="Cambria" w:hAnsi="Cambria"/>
        <w:sz w:val="28"/>
        <w:szCs w:val="28"/>
      </w:rPr>
    </w:pPr>
  </w:p>
  <w:p w14:paraId="2B5E3469">
    <w:pPr>
      <w:pStyle w:val="11"/>
      <w:jc w:val="both"/>
      <w:rPr>
        <w:rFonts w:ascii="宋体" w:hAnsi="宋体" w:cs="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DE15E">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5ACD8">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6681E">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8170F">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7D5B0"/>
    <w:multiLevelType w:val="singleLevel"/>
    <w:tmpl w:val="9F87D5B0"/>
    <w:lvl w:ilvl="0" w:tentative="0">
      <w:start w:val="3"/>
      <w:numFmt w:val="chineseCounting"/>
      <w:suff w:val="nothing"/>
      <w:lvlText w:val="%1、"/>
      <w:lvlJc w:val="left"/>
      <w:rPr>
        <w:rFonts w:hint="eastAsia"/>
      </w:rPr>
    </w:lvl>
  </w:abstractNum>
  <w:abstractNum w:abstractNumId="1">
    <w:nsid w:val="FFC50EE7"/>
    <w:multiLevelType w:val="singleLevel"/>
    <w:tmpl w:val="FFC50EE7"/>
    <w:lvl w:ilvl="0" w:tentative="0">
      <w:start w:val="8"/>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System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WQ3MWE5YWI4OWZkNWYwM2EwNmU2NDFhNjJjNWVhNmQifQ=="/>
  </w:docVars>
  <w:rsids>
    <w:rsidRoot w:val="3E4F00B8"/>
    <w:rsid w:val="00000345"/>
    <w:rsid w:val="00016A62"/>
    <w:rsid w:val="00034E8C"/>
    <w:rsid w:val="00037B9E"/>
    <w:rsid w:val="000514E4"/>
    <w:rsid w:val="00064173"/>
    <w:rsid w:val="00081B99"/>
    <w:rsid w:val="00094FF2"/>
    <w:rsid w:val="000C4578"/>
    <w:rsid w:val="000F19BA"/>
    <w:rsid w:val="00100553"/>
    <w:rsid w:val="001278CF"/>
    <w:rsid w:val="00156993"/>
    <w:rsid w:val="00160858"/>
    <w:rsid w:val="00174478"/>
    <w:rsid w:val="001A1519"/>
    <w:rsid w:val="001A36C3"/>
    <w:rsid w:val="001A501E"/>
    <w:rsid w:val="001D7DAA"/>
    <w:rsid w:val="001F4B95"/>
    <w:rsid w:val="00222AE8"/>
    <w:rsid w:val="00225038"/>
    <w:rsid w:val="0025060C"/>
    <w:rsid w:val="00252CEF"/>
    <w:rsid w:val="00273A16"/>
    <w:rsid w:val="002A23B1"/>
    <w:rsid w:val="002B5DF3"/>
    <w:rsid w:val="002B616F"/>
    <w:rsid w:val="002C2152"/>
    <w:rsid w:val="002D6FAD"/>
    <w:rsid w:val="002D771F"/>
    <w:rsid w:val="002E1A07"/>
    <w:rsid w:val="002E6E12"/>
    <w:rsid w:val="002F41F1"/>
    <w:rsid w:val="00323637"/>
    <w:rsid w:val="00323B48"/>
    <w:rsid w:val="00331879"/>
    <w:rsid w:val="00333ABA"/>
    <w:rsid w:val="00346CF0"/>
    <w:rsid w:val="00351727"/>
    <w:rsid w:val="00367CA7"/>
    <w:rsid w:val="00381A5B"/>
    <w:rsid w:val="00384051"/>
    <w:rsid w:val="00384460"/>
    <w:rsid w:val="003977E6"/>
    <w:rsid w:val="003C3F24"/>
    <w:rsid w:val="003C7E8B"/>
    <w:rsid w:val="003F1DB2"/>
    <w:rsid w:val="00426082"/>
    <w:rsid w:val="00437B3E"/>
    <w:rsid w:val="00442681"/>
    <w:rsid w:val="004625DE"/>
    <w:rsid w:val="0046506E"/>
    <w:rsid w:val="00465FD2"/>
    <w:rsid w:val="004704A0"/>
    <w:rsid w:val="004803EA"/>
    <w:rsid w:val="004860EC"/>
    <w:rsid w:val="00487C14"/>
    <w:rsid w:val="004A5471"/>
    <w:rsid w:val="004A66E9"/>
    <w:rsid w:val="004B3B12"/>
    <w:rsid w:val="004F6127"/>
    <w:rsid w:val="00502ECC"/>
    <w:rsid w:val="00503838"/>
    <w:rsid w:val="0051354C"/>
    <w:rsid w:val="00537446"/>
    <w:rsid w:val="00550B66"/>
    <w:rsid w:val="00561E4B"/>
    <w:rsid w:val="00583027"/>
    <w:rsid w:val="005A083F"/>
    <w:rsid w:val="005C183C"/>
    <w:rsid w:val="005C7676"/>
    <w:rsid w:val="005D4131"/>
    <w:rsid w:val="005E14D2"/>
    <w:rsid w:val="005E5C2C"/>
    <w:rsid w:val="0060235C"/>
    <w:rsid w:val="0061662B"/>
    <w:rsid w:val="00621C02"/>
    <w:rsid w:val="0062413E"/>
    <w:rsid w:val="00632AA7"/>
    <w:rsid w:val="00634D54"/>
    <w:rsid w:val="00644AF6"/>
    <w:rsid w:val="00647409"/>
    <w:rsid w:val="006A42D4"/>
    <w:rsid w:val="006B394D"/>
    <w:rsid w:val="006B7076"/>
    <w:rsid w:val="006E77DF"/>
    <w:rsid w:val="00710DA6"/>
    <w:rsid w:val="00723591"/>
    <w:rsid w:val="00754D3F"/>
    <w:rsid w:val="00754DAF"/>
    <w:rsid w:val="0076369B"/>
    <w:rsid w:val="00773EFA"/>
    <w:rsid w:val="00783857"/>
    <w:rsid w:val="00793296"/>
    <w:rsid w:val="00796DED"/>
    <w:rsid w:val="007A4AC2"/>
    <w:rsid w:val="007B5CC4"/>
    <w:rsid w:val="007B6917"/>
    <w:rsid w:val="007B717A"/>
    <w:rsid w:val="007E70FE"/>
    <w:rsid w:val="007E7480"/>
    <w:rsid w:val="00804F67"/>
    <w:rsid w:val="00807EC6"/>
    <w:rsid w:val="008530B6"/>
    <w:rsid w:val="0088247D"/>
    <w:rsid w:val="00885648"/>
    <w:rsid w:val="00887D2A"/>
    <w:rsid w:val="008A61BC"/>
    <w:rsid w:val="008B3399"/>
    <w:rsid w:val="008E5C6F"/>
    <w:rsid w:val="008F02E0"/>
    <w:rsid w:val="00904A85"/>
    <w:rsid w:val="00914082"/>
    <w:rsid w:val="0092085E"/>
    <w:rsid w:val="00934750"/>
    <w:rsid w:val="00943EC7"/>
    <w:rsid w:val="00953C64"/>
    <w:rsid w:val="009A4F41"/>
    <w:rsid w:val="009D3E13"/>
    <w:rsid w:val="009E7EDB"/>
    <w:rsid w:val="009F04F1"/>
    <w:rsid w:val="009F546B"/>
    <w:rsid w:val="00A07A75"/>
    <w:rsid w:val="00A1688D"/>
    <w:rsid w:val="00A244BB"/>
    <w:rsid w:val="00A439E1"/>
    <w:rsid w:val="00A50607"/>
    <w:rsid w:val="00A75466"/>
    <w:rsid w:val="00A92171"/>
    <w:rsid w:val="00AC0B31"/>
    <w:rsid w:val="00AC4021"/>
    <w:rsid w:val="00AD0AA7"/>
    <w:rsid w:val="00AF59A7"/>
    <w:rsid w:val="00B067AE"/>
    <w:rsid w:val="00B31876"/>
    <w:rsid w:val="00B406BF"/>
    <w:rsid w:val="00B461F3"/>
    <w:rsid w:val="00B46271"/>
    <w:rsid w:val="00B539BA"/>
    <w:rsid w:val="00B55916"/>
    <w:rsid w:val="00B5777D"/>
    <w:rsid w:val="00B6389D"/>
    <w:rsid w:val="00B64F56"/>
    <w:rsid w:val="00B815A5"/>
    <w:rsid w:val="00B94A30"/>
    <w:rsid w:val="00BA21D6"/>
    <w:rsid w:val="00BC4D60"/>
    <w:rsid w:val="00BE0988"/>
    <w:rsid w:val="00BE5570"/>
    <w:rsid w:val="00C00CBE"/>
    <w:rsid w:val="00C06823"/>
    <w:rsid w:val="00C110D4"/>
    <w:rsid w:val="00C54282"/>
    <w:rsid w:val="00C6291C"/>
    <w:rsid w:val="00C915A4"/>
    <w:rsid w:val="00CB0D46"/>
    <w:rsid w:val="00CC5DCF"/>
    <w:rsid w:val="00CD069A"/>
    <w:rsid w:val="00CF2F77"/>
    <w:rsid w:val="00D22202"/>
    <w:rsid w:val="00D419BF"/>
    <w:rsid w:val="00D45563"/>
    <w:rsid w:val="00D71E89"/>
    <w:rsid w:val="00D950B9"/>
    <w:rsid w:val="00DB2285"/>
    <w:rsid w:val="00DB4425"/>
    <w:rsid w:val="00DF25A9"/>
    <w:rsid w:val="00DF6E6E"/>
    <w:rsid w:val="00E01D49"/>
    <w:rsid w:val="00E14931"/>
    <w:rsid w:val="00E15003"/>
    <w:rsid w:val="00E16472"/>
    <w:rsid w:val="00E35D81"/>
    <w:rsid w:val="00E74EF6"/>
    <w:rsid w:val="00E93CD7"/>
    <w:rsid w:val="00EA57ED"/>
    <w:rsid w:val="00EB3C9F"/>
    <w:rsid w:val="00EB3EEC"/>
    <w:rsid w:val="00EB4697"/>
    <w:rsid w:val="00EB6AF4"/>
    <w:rsid w:val="00EC1FB1"/>
    <w:rsid w:val="00ED6CA3"/>
    <w:rsid w:val="00EE026B"/>
    <w:rsid w:val="00EE4D2C"/>
    <w:rsid w:val="00EE576A"/>
    <w:rsid w:val="00F0400D"/>
    <w:rsid w:val="00F06ABF"/>
    <w:rsid w:val="00F2109A"/>
    <w:rsid w:val="00F2533B"/>
    <w:rsid w:val="00F31190"/>
    <w:rsid w:val="00F51489"/>
    <w:rsid w:val="00F62319"/>
    <w:rsid w:val="00F66FBB"/>
    <w:rsid w:val="00F7221A"/>
    <w:rsid w:val="00F72D30"/>
    <w:rsid w:val="00F92B74"/>
    <w:rsid w:val="00FA58A8"/>
    <w:rsid w:val="00FB7A8C"/>
    <w:rsid w:val="00FC13E7"/>
    <w:rsid w:val="00FC3A2B"/>
    <w:rsid w:val="00FD0553"/>
    <w:rsid w:val="00FD4F00"/>
    <w:rsid w:val="00FF6FE1"/>
    <w:rsid w:val="016330E7"/>
    <w:rsid w:val="03F15591"/>
    <w:rsid w:val="060A00C1"/>
    <w:rsid w:val="0778092A"/>
    <w:rsid w:val="08FD4D95"/>
    <w:rsid w:val="09E638BB"/>
    <w:rsid w:val="0C191D25"/>
    <w:rsid w:val="0C5E3BDC"/>
    <w:rsid w:val="0F041D3A"/>
    <w:rsid w:val="0F32075E"/>
    <w:rsid w:val="108F0808"/>
    <w:rsid w:val="109D43C2"/>
    <w:rsid w:val="11BB7773"/>
    <w:rsid w:val="12941C1C"/>
    <w:rsid w:val="148C031B"/>
    <w:rsid w:val="17211C42"/>
    <w:rsid w:val="1934019F"/>
    <w:rsid w:val="1AD2170B"/>
    <w:rsid w:val="1B2518D6"/>
    <w:rsid w:val="1FC3227C"/>
    <w:rsid w:val="1FDF1EE9"/>
    <w:rsid w:val="24F617F9"/>
    <w:rsid w:val="25492DCD"/>
    <w:rsid w:val="2648140F"/>
    <w:rsid w:val="29C33FCE"/>
    <w:rsid w:val="29E940EF"/>
    <w:rsid w:val="2B814455"/>
    <w:rsid w:val="2C721A09"/>
    <w:rsid w:val="2D8E736F"/>
    <w:rsid w:val="30CA0BCE"/>
    <w:rsid w:val="31E90020"/>
    <w:rsid w:val="377D1455"/>
    <w:rsid w:val="3AFD25BE"/>
    <w:rsid w:val="3B9A71D7"/>
    <w:rsid w:val="3BA90120"/>
    <w:rsid w:val="3E43485C"/>
    <w:rsid w:val="3E4F00B8"/>
    <w:rsid w:val="4162480B"/>
    <w:rsid w:val="43FD725B"/>
    <w:rsid w:val="459E4A6E"/>
    <w:rsid w:val="46121033"/>
    <w:rsid w:val="474C2E99"/>
    <w:rsid w:val="49522931"/>
    <w:rsid w:val="4A38723F"/>
    <w:rsid w:val="4AE553A4"/>
    <w:rsid w:val="4EE31744"/>
    <w:rsid w:val="4F4A3571"/>
    <w:rsid w:val="55013CBD"/>
    <w:rsid w:val="55EC07CA"/>
    <w:rsid w:val="560315B0"/>
    <w:rsid w:val="594209E0"/>
    <w:rsid w:val="594B519A"/>
    <w:rsid w:val="5C345E97"/>
    <w:rsid w:val="5C5D7292"/>
    <w:rsid w:val="5CA17C44"/>
    <w:rsid w:val="5CA42512"/>
    <w:rsid w:val="5E4C4C10"/>
    <w:rsid w:val="62CA7F83"/>
    <w:rsid w:val="64EA5182"/>
    <w:rsid w:val="65FA6FA7"/>
    <w:rsid w:val="66E55C01"/>
    <w:rsid w:val="6A3518FF"/>
    <w:rsid w:val="6D5522B0"/>
    <w:rsid w:val="6F7A6736"/>
    <w:rsid w:val="761515DB"/>
    <w:rsid w:val="78F700B9"/>
    <w:rsid w:val="79EC6943"/>
    <w:rsid w:val="7CE5340B"/>
    <w:rsid w:val="7EE36A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qFormat="1" w:uiPriority="99" w:semiHidden="0" w:name="HTML Acronym"/>
    <w:lsdException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68"/>
    <w:qFormat/>
    <w:uiPriority w:val="0"/>
    <w:pPr>
      <w:keepNext/>
      <w:keepLines/>
      <w:adjustRightInd w:val="0"/>
      <w:snapToGrid w:val="0"/>
      <w:spacing w:before="240" w:after="240" w:line="360" w:lineRule="auto"/>
      <w:ind w:firstLine="723" w:firstLineChars="200"/>
      <w:jc w:val="center"/>
      <w:outlineLvl w:val="0"/>
    </w:pPr>
    <w:rPr>
      <w:rFonts w:eastAsia="黑体"/>
      <w:b/>
      <w:bCs/>
      <w:kern w:val="44"/>
      <w:sz w:val="36"/>
      <w:szCs w:val="36"/>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szCs w:val="20"/>
    </w:rPr>
  </w:style>
  <w:style w:type="paragraph" w:styleId="4">
    <w:name w:val="annotation text"/>
    <w:basedOn w:val="1"/>
    <w:link w:val="50"/>
    <w:qFormat/>
    <w:uiPriority w:val="99"/>
    <w:pPr>
      <w:jc w:val="left"/>
    </w:pPr>
  </w:style>
  <w:style w:type="paragraph" w:styleId="5">
    <w:name w:val="Salutation"/>
    <w:basedOn w:val="1"/>
    <w:next w:val="1"/>
    <w:qFormat/>
    <w:uiPriority w:val="0"/>
    <w:rPr>
      <w:rFonts w:eastAsia="宋体"/>
      <w:sz w:val="21"/>
      <w:szCs w:val="24"/>
    </w:rPr>
  </w:style>
  <w:style w:type="paragraph" w:styleId="6">
    <w:name w:val="Body Text"/>
    <w:basedOn w:val="1"/>
    <w:link w:val="42"/>
    <w:unhideWhenUsed/>
    <w:qFormat/>
    <w:uiPriority w:val="0"/>
    <w:pPr>
      <w:spacing w:after="120"/>
    </w:pPr>
    <w:rPr>
      <w:rFonts w:ascii="Times New Roman" w:hAnsi="Times New Roman"/>
    </w:rPr>
  </w:style>
  <w:style w:type="paragraph" w:styleId="7">
    <w:name w:val="Body Text Indent"/>
    <w:basedOn w:val="1"/>
    <w:link w:val="46"/>
    <w:qFormat/>
    <w:uiPriority w:val="99"/>
    <w:pPr>
      <w:ind w:firstLine="280" w:firstLineChars="100"/>
    </w:pPr>
    <w:rPr>
      <w:rFonts w:ascii="Times New Roman" w:hAnsi="Times New Roman"/>
      <w:sz w:val="28"/>
      <w:szCs w:val="20"/>
    </w:rPr>
  </w:style>
  <w:style w:type="paragraph" w:styleId="8">
    <w:name w:val="Plain Text"/>
    <w:basedOn w:val="1"/>
    <w:link w:val="47"/>
    <w:qFormat/>
    <w:uiPriority w:val="99"/>
    <w:rPr>
      <w:rFonts w:ascii="宋体" w:hAnsi="Courier New"/>
      <w:sz w:val="32"/>
      <w:szCs w:val="32"/>
    </w:rPr>
  </w:style>
  <w:style w:type="paragraph" w:styleId="9">
    <w:name w:val="Date"/>
    <w:basedOn w:val="1"/>
    <w:next w:val="1"/>
    <w:link w:val="48"/>
    <w:unhideWhenUsed/>
    <w:qFormat/>
    <w:uiPriority w:val="99"/>
    <w:pPr>
      <w:ind w:left="100" w:leftChars="2500"/>
    </w:pPr>
    <w:rPr>
      <w:rFonts w:ascii="Times New Roman" w:hAnsi="Times New Roman"/>
    </w:rPr>
  </w:style>
  <w:style w:type="paragraph" w:styleId="10">
    <w:name w:val="Balloon Text"/>
    <w:basedOn w:val="1"/>
    <w:link w:val="49"/>
    <w:qFormat/>
    <w:uiPriority w:val="99"/>
    <w:rPr>
      <w:rFonts w:ascii="Times New Roman" w:hAnsi="Times New Roman"/>
      <w:sz w:val="18"/>
      <w:szCs w:val="18"/>
    </w:rPr>
  </w:style>
  <w:style w:type="paragraph" w:styleId="11">
    <w:name w:val="footer"/>
    <w:basedOn w:val="1"/>
    <w:next w:val="1"/>
    <w:link w:val="40"/>
    <w:qFormat/>
    <w:uiPriority w:val="99"/>
    <w:pPr>
      <w:tabs>
        <w:tab w:val="center" w:pos="4153"/>
        <w:tab w:val="right" w:pos="8306"/>
      </w:tabs>
      <w:snapToGrid w:val="0"/>
      <w:jc w:val="left"/>
    </w:pPr>
    <w:rPr>
      <w:sz w:val="18"/>
      <w:szCs w:val="18"/>
    </w:rPr>
  </w:style>
  <w:style w:type="paragraph" w:styleId="12">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43"/>
    <w:qFormat/>
    <w:uiPriority w:val="99"/>
    <w:pPr>
      <w:spacing w:before="240" w:after="60"/>
      <w:jc w:val="center"/>
      <w:outlineLvl w:val="0"/>
    </w:pPr>
    <w:rPr>
      <w:rFonts w:ascii="Cambria" w:hAnsi="Cambria"/>
      <w:b/>
      <w:kern w:val="0"/>
      <w:sz w:val="32"/>
      <w:szCs w:val="20"/>
    </w:rPr>
  </w:style>
  <w:style w:type="paragraph" w:styleId="16">
    <w:name w:val="annotation subject"/>
    <w:basedOn w:val="4"/>
    <w:next w:val="4"/>
    <w:link w:val="51"/>
    <w:qFormat/>
    <w:uiPriority w:val="99"/>
    <w:rPr>
      <w:rFonts w:ascii="Times New Roman" w:hAnsi="Times New Roman"/>
      <w:b/>
      <w:bCs/>
    </w:rPr>
  </w:style>
  <w:style w:type="paragraph" w:styleId="17">
    <w:name w:val="Body Text First Indent"/>
    <w:basedOn w:val="6"/>
    <w:next w:val="18"/>
    <w:unhideWhenUsed/>
    <w:qFormat/>
    <w:uiPriority w:val="99"/>
    <w:pPr>
      <w:adjustRightInd/>
      <w:snapToGrid/>
      <w:spacing w:after="120" w:line="240" w:lineRule="auto"/>
      <w:ind w:firstLine="420" w:firstLineChars="100"/>
      <w:jc w:val="left"/>
    </w:pPr>
    <w:rPr>
      <w:rFonts w:ascii="Calibri" w:hAnsi="Calibri" w:eastAsia="宋体" w:cs="宋体"/>
      <w:sz w:val="21"/>
      <w:szCs w:val="22"/>
      <w:lang w:eastAsia="zh-CN"/>
    </w:rPr>
  </w:style>
  <w:style w:type="paragraph" w:styleId="18">
    <w:name w:val="Body Text First Indent 2"/>
    <w:basedOn w:val="7"/>
    <w:qFormat/>
    <w:uiPriority w:val="0"/>
    <w:pPr>
      <w:ind w:firstLine="420" w:firstLineChars="200"/>
    </w:pPr>
  </w:style>
  <w:style w:type="table" w:styleId="20">
    <w:name w:val="Table Grid"/>
    <w:basedOn w:val="1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shd w:val="clear" w:color="auto" w:fill="FFFFFF"/>
    </w:rPr>
  </w:style>
  <w:style w:type="character" w:styleId="23">
    <w:name w:val="page number"/>
    <w:basedOn w:val="21"/>
    <w:qFormat/>
    <w:uiPriority w:val="0"/>
    <w:rPr>
      <w:rFonts w:cs="Times New Roman"/>
    </w:rPr>
  </w:style>
  <w:style w:type="character" w:styleId="24">
    <w:name w:val="FollowedHyperlink"/>
    <w:basedOn w:val="21"/>
    <w:qFormat/>
    <w:uiPriority w:val="99"/>
    <w:rPr>
      <w:rFonts w:cs="Times New Roman"/>
      <w:color w:val="333333"/>
      <w:u w:val="none"/>
    </w:rPr>
  </w:style>
  <w:style w:type="character" w:styleId="25">
    <w:name w:val="Emphasis"/>
    <w:basedOn w:val="21"/>
    <w:qFormat/>
    <w:uiPriority w:val="0"/>
    <w:rPr>
      <w:i/>
    </w:rPr>
  </w:style>
  <w:style w:type="character" w:styleId="26">
    <w:name w:val="HTML Definition"/>
    <w:basedOn w:val="21"/>
    <w:unhideWhenUsed/>
    <w:qFormat/>
    <w:uiPriority w:val="99"/>
    <w:rPr>
      <w:color w:val="4E5463"/>
      <w:sz w:val="21"/>
      <w:szCs w:val="21"/>
    </w:rPr>
  </w:style>
  <w:style w:type="character" w:styleId="27">
    <w:name w:val="HTML Typewriter"/>
    <w:basedOn w:val="21"/>
    <w:unhideWhenUsed/>
    <w:qFormat/>
    <w:uiPriority w:val="99"/>
    <w:rPr>
      <w:rFonts w:ascii="monospace" w:hAnsi="monospace" w:eastAsia="monospace" w:cs="monospace"/>
      <w:sz w:val="20"/>
    </w:rPr>
  </w:style>
  <w:style w:type="character" w:styleId="28">
    <w:name w:val="HTML Acronym"/>
    <w:basedOn w:val="21"/>
    <w:unhideWhenUsed/>
    <w:qFormat/>
    <w:uiPriority w:val="99"/>
  </w:style>
  <w:style w:type="character" w:styleId="29">
    <w:name w:val="HTML Variable"/>
    <w:basedOn w:val="21"/>
    <w:unhideWhenUsed/>
    <w:qFormat/>
    <w:uiPriority w:val="99"/>
  </w:style>
  <w:style w:type="character" w:styleId="30">
    <w:name w:val="Hyperlink"/>
    <w:basedOn w:val="21"/>
    <w:qFormat/>
    <w:uiPriority w:val="99"/>
    <w:rPr>
      <w:color w:val="0563C1" w:themeColor="hyperlink"/>
      <w:u w:val="single"/>
    </w:rPr>
  </w:style>
  <w:style w:type="character" w:styleId="31">
    <w:name w:val="HTML Code"/>
    <w:basedOn w:val="21"/>
    <w:unhideWhenUsed/>
    <w:qFormat/>
    <w:uiPriority w:val="99"/>
    <w:rPr>
      <w:rFonts w:hint="default" w:ascii="monospace" w:hAnsi="monospace" w:eastAsia="monospace" w:cs="monospace"/>
      <w:sz w:val="20"/>
    </w:rPr>
  </w:style>
  <w:style w:type="character" w:styleId="32">
    <w:name w:val="annotation reference"/>
    <w:basedOn w:val="21"/>
    <w:qFormat/>
    <w:uiPriority w:val="99"/>
    <w:rPr>
      <w:rFonts w:cs="Times New Roman"/>
      <w:sz w:val="21"/>
      <w:szCs w:val="21"/>
    </w:rPr>
  </w:style>
  <w:style w:type="character" w:styleId="33">
    <w:name w:val="HTML Cite"/>
    <w:basedOn w:val="21"/>
    <w:unhideWhenUsed/>
    <w:qFormat/>
    <w:uiPriority w:val="99"/>
  </w:style>
  <w:style w:type="character" w:styleId="34">
    <w:name w:val="HTML Keyboard"/>
    <w:basedOn w:val="21"/>
    <w:unhideWhenUsed/>
    <w:qFormat/>
    <w:uiPriority w:val="99"/>
    <w:rPr>
      <w:rFonts w:hint="default" w:ascii="monospace" w:hAnsi="monospace" w:eastAsia="monospace" w:cs="monospace"/>
      <w:sz w:val="20"/>
    </w:rPr>
  </w:style>
  <w:style w:type="character" w:styleId="35">
    <w:name w:val="HTML Sample"/>
    <w:basedOn w:val="21"/>
    <w:unhideWhenUsed/>
    <w:qFormat/>
    <w:uiPriority w:val="99"/>
    <w:rPr>
      <w:rFonts w:hint="default" w:ascii="monospace" w:hAnsi="monospace" w:eastAsia="monospace" w:cs="monospace"/>
    </w:rPr>
  </w:style>
  <w:style w:type="paragraph" w:styleId="36">
    <w:name w:val="List Paragraph"/>
    <w:basedOn w:val="1"/>
    <w:unhideWhenUsed/>
    <w:qFormat/>
    <w:uiPriority w:val="99"/>
    <w:pPr>
      <w:ind w:firstLine="420" w:firstLineChars="200"/>
    </w:pPr>
  </w:style>
  <w:style w:type="character" w:customStyle="1" w:styleId="37">
    <w:name w:val="页眉 Char"/>
    <w:basedOn w:val="21"/>
    <w:link w:val="12"/>
    <w:qFormat/>
    <w:uiPriority w:val="99"/>
    <w:rPr>
      <w:rFonts w:ascii="Calibri" w:hAnsi="Calibri" w:eastAsia="宋体" w:cs="Times New Roman"/>
      <w:kern w:val="2"/>
      <w:sz w:val="18"/>
      <w:szCs w:val="18"/>
    </w:rPr>
  </w:style>
  <w:style w:type="paragraph" w:customStyle="1" w:styleId="38">
    <w:name w:val="null3"/>
    <w:hidden/>
    <w:qFormat/>
    <w:uiPriority w:val="0"/>
    <w:rPr>
      <w:rFonts w:hint="eastAsia" w:asciiTheme="minorHAnsi" w:hAnsiTheme="minorHAnsi" w:eastAsiaTheme="minorEastAsia" w:cstheme="minorBidi"/>
      <w:lang w:val="en-US" w:eastAsia="zh-CN" w:bidi="ar-SA"/>
    </w:rPr>
  </w:style>
  <w:style w:type="paragraph" w:customStyle="1" w:styleId="39">
    <w:name w:val="正文2"/>
    <w:basedOn w:val="1"/>
    <w:qFormat/>
    <w:uiPriority w:val="0"/>
    <w:pPr>
      <w:spacing w:line="480" w:lineRule="exact"/>
      <w:ind w:firstLine="200" w:firstLineChars="200"/>
      <w:contextualSpacing/>
    </w:pPr>
    <w:rPr>
      <w:rFonts w:ascii="宋体" w:hAnsi="宋体" w:cs="宋体"/>
      <w:bCs/>
      <w:sz w:val="24"/>
    </w:rPr>
  </w:style>
  <w:style w:type="character" w:customStyle="1" w:styleId="40">
    <w:name w:val="页脚 Char"/>
    <w:basedOn w:val="21"/>
    <w:link w:val="11"/>
    <w:qFormat/>
    <w:uiPriority w:val="99"/>
    <w:rPr>
      <w:rFonts w:ascii="Calibri" w:hAnsi="Calibri" w:eastAsia="宋体" w:cs="Times New Roman"/>
      <w:kern w:val="2"/>
      <w:sz w:val="18"/>
      <w:szCs w:val="18"/>
    </w:rPr>
  </w:style>
  <w:style w:type="character" w:customStyle="1" w:styleId="41">
    <w:name w:val="font11"/>
    <w:basedOn w:val="21"/>
    <w:qFormat/>
    <w:uiPriority w:val="0"/>
    <w:rPr>
      <w:rFonts w:hint="eastAsia" w:ascii="宋体" w:hAnsi="宋体" w:eastAsia="宋体" w:cs="宋体"/>
      <w:color w:val="000000"/>
      <w:sz w:val="24"/>
      <w:szCs w:val="24"/>
      <w:u w:val="none"/>
    </w:rPr>
  </w:style>
  <w:style w:type="character" w:customStyle="1" w:styleId="42">
    <w:name w:val="正文文本 Char"/>
    <w:basedOn w:val="21"/>
    <w:link w:val="6"/>
    <w:qFormat/>
    <w:uiPriority w:val="99"/>
    <w:rPr>
      <w:rFonts w:ascii="Times New Roman" w:hAnsi="Times New Roman" w:eastAsia="宋体" w:cs="Times New Roman"/>
      <w:kern w:val="2"/>
      <w:sz w:val="21"/>
      <w:szCs w:val="24"/>
    </w:rPr>
  </w:style>
  <w:style w:type="character" w:customStyle="1" w:styleId="43">
    <w:name w:val="标题 Char"/>
    <w:basedOn w:val="21"/>
    <w:link w:val="15"/>
    <w:qFormat/>
    <w:uiPriority w:val="99"/>
    <w:rPr>
      <w:rFonts w:ascii="Cambria" w:hAnsi="Cambria" w:eastAsia="宋体" w:cs="Times New Roman"/>
      <w:b/>
      <w:sz w:val="32"/>
    </w:rPr>
  </w:style>
  <w:style w:type="character" w:customStyle="1" w:styleId="44">
    <w:name w:val="fontstyle01"/>
    <w:basedOn w:val="21"/>
    <w:qFormat/>
    <w:uiPriority w:val="0"/>
    <w:rPr>
      <w:color w:val="000000"/>
      <w:sz w:val="22"/>
      <w:szCs w:val="22"/>
    </w:rPr>
  </w:style>
  <w:style w:type="character" w:customStyle="1" w:styleId="45">
    <w:name w:val="fontstyle21"/>
    <w:basedOn w:val="21"/>
    <w:qFormat/>
    <w:uiPriority w:val="0"/>
    <w:rPr>
      <w:rFonts w:hint="default" w:ascii="Times New Roman" w:hAnsi="Times New Roman" w:cs="Times New Roman"/>
      <w:color w:val="000000"/>
      <w:sz w:val="22"/>
      <w:szCs w:val="22"/>
    </w:rPr>
  </w:style>
  <w:style w:type="character" w:customStyle="1" w:styleId="46">
    <w:name w:val="正文文本缩进 Char"/>
    <w:basedOn w:val="21"/>
    <w:link w:val="7"/>
    <w:qFormat/>
    <w:uiPriority w:val="99"/>
    <w:rPr>
      <w:rFonts w:ascii="Times New Roman" w:hAnsi="Times New Roman" w:eastAsia="宋体" w:cs="Times New Roman"/>
      <w:kern w:val="2"/>
      <w:sz w:val="28"/>
    </w:rPr>
  </w:style>
  <w:style w:type="character" w:customStyle="1" w:styleId="47">
    <w:name w:val="纯文本 Char"/>
    <w:basedOn w:val="21"/>
    <w:link w:val="8"/>
    <w:qFormat/>
    <w:uiPriority w:val="99"/>
    <w:rPr>
      <w:rFonts w:ascii="宋体" w:hAnsi="Courier New" w:eastAsia="宋体" w:cs="Times New Roman"/>
      <w:kern w:val="2"/>
      <w:sz w:val="32"/>
      <w:szCs w:val="32"/>
    </w:rPr>
  </w:style>
  <w:style w:type="character" w:customStyle="1" w:styleId="48">
    <w:name w:val="日期 Char"/>
    <w:basedOn w:val="21"/>
    <w:link w:val="9"/>
    <w:qFormat/>
    <w:uiPriority w:val="99"/>
    <w:rPr>
      <w:rFonts w:ascii="Times New Roman" w:hAnsi="Times New Roman" w:eastAsia="宋体" w:cs="Times New Roman"/>
      <w:kern w:val="2"/>
      <w:sz w:val="21"/>
      <w:szCs w:val="24"/>
    </w:rPr>
  </w:style>
  <w:style w:type="character" w:customStyle="1" w:styleId="49">
    <w:name w:val="批注框文本 Char"/>
    <w:basedOn w:val="21"/>
    <w:link w:val="10"/>
    <w:qFormat/>
    <w:uiPriority w:val="99"/>
    <w:rPr>
      <w:rFonts w:ascii="Times New Roman" w:hAnsi="Times New Roman" w:eastAsia="宋体" w:cs="Times New Roman"/>
      <w:kern w:val="2"/>
      <w:sz w:val="18"/>
      <w:szCs w:val="18"/>
    </w:rPr>
  </w:style>
  <w:style w:type="character" w:customStyle="1" w:styleId="50">
    <w:name w:val="批注文字 Char"/>
    <w:basedOn w:val="21"/>
    <w:link w:val="4"/>
    <w:qFormat/>
    <w:uiPriority w:val="99"/>
    <w:rPr>
      <w:rFonts w:ascii="Calibri" w:hAnsi="Calibri" w:eastAsia="宋体" w:cs="Times New Roman"/>
      <w:kern w:val="2"/>
      <w:sz w:val="21"/>
      <w:szCs w:val="24"/>
    </w:rPr>
  </w:style>
  <w:style w:type="character" w:customStyle="1" w:styleId="51">
    <w:name w:val="批注主题 Char"/>
    <w:basedOn w:val="50"/>
    <w:link w:val="16"/>
    <w:qFormat/>
    <w:uiPriority w:val="99"/>
    <w:rPr>
      <w:rFonts w:ascii="Times New Roman" w:hAnsi="Times New Roman"/>
      <w:b/>
      <w:bCs/>
    </w:rPr>
  </w:style>
  <w:style w:type="paragraph" w:customStyle="1" w:styleId="52">
    <w:name w:val="WPS Plain"/>
    <w:qFormat/>
    <w:uiPriority w:val="99"/>
    <w:rPr>
      <w:rFonts w:ascii="Times New Roman" w:hAnsi="Times New Roman" w:eastAsia="宋体" w:cs="Times New Roman"/>
      <w:lang w:val="en-US" w:eastAsia="zh-CN" w:bidi="ar-SA"/>
    </w:rPr>
  </w:style>
  <w:style w:type="paragraph" w:customStyle="1" w:styleId="53">
    <w:name w:val="p0"/>
    <w:basedOn w:val="1"/>
    <w:qFormat/>
    <w:uiPriority w:val="99"/>
    <w:pPr>
      <w:widowControl/>
      <w:spacing w:line="365" w:lineRule="atLeast"/>
      <w:ind w:left="1"/>
    </w:pPr>
    <w:rPr>
      <w:rFonts w:ascii="Times New Roman" w:hAnsi="Times New Roman"/>
      <w:kern w:val="0"/>
      <w:sz w:val="20"/>
      <w:szCs w:val="20"/>
    </w:rPr>
  </w:style>
  <w:style w:type="paragraph" w:customStyle="1" w:styleId="54">
    <w:name w:val="正文首行缩进两字符"/>
    <w:basedOn w:val="1"/>
    <w:qFormat/>
    <w:uiPriority w:val="99"/>
    <w:pPr>
      <w:spacing w:line="360" w:lineRule="auto"/>
      <w:ind w:firstLine="200" w:firstLineChars="200"/>
    </w:pPr>
    <w:rPr>
      <w:rFonts w:ascii="Times New Roman" w:hAnsi="Times New Roman"/>
    </w:rPr>
  </w:style>
  <w:style w:type="paragraph" w:customStyle="1" w:styleId="55">
    <w:name w:val="p15"/>
    <w:basedOn w:val="1"/>
    <w:qFormat/>
    <w:uiPriority w:val="99"/>
    <w:pPr>
      <w:widowControl/>
      <w:jc w:val="left"/>
    </w:pPr>
    <w:rPr>
      <w:rFonts w:ascii="Times New Roman" w:hAnsi="Times New Roman"/>
      <w:kern w:val="0"/>
      <w:sz w:val="20"/>
      <w:szCs w:val="20"/>
    </w:rPr>
  </w:style>
  <w:style w:type="paragraph" w:styleId="56">
    <w:name w:val="No Spacing"/>
    <w:link w:val="57"/>
    <w:qFormat/>
    <w:uiPriority w:val="99"/>
    <w:rPr>
      <w:rFonts w:ascii="Calibri" w:hAnsi="Calibri" w:eastAsia="宋体" w:cs="Times New Roman"/>
      <w:sz w:val="22"/>
      <w:szCs w:val="22"/>
      <w:lang w:val="en-US" w:eastAsia="zh-CN" w:bidi="ar-SA"/>
    </w:rPr>
  </w:style>
  <w:style w:type="character" w:customStyle="1" w:styleId="57">
    <w:name w:val="无间隔 Char"/>
    <w:basedOn w:val="21"/>
    <w:link w:val="56"/>
    <w:qFormat/>
    <w:locked/>
    <w:uiPriority w:val="99"/>
    <w:rPr>
      <w:rFonts w:ascii="Calibri" w:hAnsi="Calibri" w:eastAsia="宋体" w:cs="Times New Roman"/>
      <w:sz w:val="22"/>
      <w:szCs w:val="22"/>
    </w:rPr>
  </w:style>
  <w:style w:type="table" w:customStyle="1" w:styleId="58">
    <w:name w:val="Table Normal1"/>
    <w:semiHidden/>
    <w:qFormat/>
    <w:uiPriority w:val="99"/>
    <w:pPr>
      <w:widowControl w:val="0"/>
      <w:autoSpaceDE w:val="0"/>
      <w:autoSpaceDN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59">
    <w:name w:val="Table Paragraph"/>
    <w:basedOn w:val="1"/>
    <w:qFormat/>
    <w:uiPriority w:val="99"/>
    <w:pPr>
      <w:autoSpaceDE w:val="0"/>
      <w:autoSpaceDN w:val="0"/>
      <w:jc w:val="left"/>
    </w:pPr>
    <w:rPr>
      <w:rFonts w:ascii="宋体" w:hAnsi="宋体" w:cs="宋体"/>
      <w:kern w:val="0"/>
      <w:sz w:val="22"/>
      <w:szCs w:val="22"/>
      <w:lang w:val="zh-CN"/>
    </w:rPr>
  </w:style>
  <w:style w:type="character" w:customStyle="1" w:styleId="60">
    <w:name w:val="hover"/>
    <w:basedOn w:val="21"/>
    <w:qFormat/>
    <w:uiPriority w:val="0"/>
    <w:rPr>
      <w:color w:val="3472D7"/>
    </w:rPr>
  </w:style>
  <w:style w:type="character" w:customStyle="1" w:styleId="61">
    <w:name w:val="hover1"/>
    <w:basedOn w:val="21"/>
    <w:qFormat/>
    <w:uiPriority w:val="0"/>
    <w:rPr>
      <w:color w:val="3472D7"/>
    </w:rPr>
  </w:style>
  <w:style w:type="character" w:customStyle="1" w:styleId="62">
    <w:name w:val="hover2"/>
    <w:basedOn w:val="21"/>
    <w:qFormat/>
    <w:uiPriority w:val="0"/>
    <w:rPr>
      <w:shd w:val="clear" w:color="auto" w:fill="EBF1FB"/>
    </w:rPr>
  </w:style>
  <w:style w:type="character" w:customStyle="1" w:styleId="63">
    <w:name w:val="hover3"/>
    <w:basedOn w:val="21"/>
    <w:qFormat/>
    <w:uiPriority w:val="0"/>
    <w:rPr>
      <w:color w:val="3472D7"/>
      <w:shd w:val="clear" w:color="auto" w:fill="EBF1FB"/>
    </w:rPr>
  </w:style>
  <w:style w:type="character" w:customStyle="1" w:styleId="64">
    <w:name w:val="layui-layer-tabnow"/>
    <w:basedOn w:val="21"/>
    <w:qFormat/>
    <w:uiPriority w:val="0"/>
    <w:rPr>
      <w:bdr w:val="single" w:color="CCCCCC" w:sz="6" w:space="0"/>
      <w:shd w:val="clear" w:color="auto" w:fill="FFFFFF"/>
    </w:rPr>
  </w:style>
  <w:style w:type="character" w:customStyle="1" w:styleId="65">
    <w:name w:val="first-child"/>
    <w:basedOn w:val="21"/>
    <w:qFormat/>
    <w:uiPriority w:val="0"/>
  </w:style>
  <w:style w:type="character" w:customStyle="1" w:styleId="66">
    <w:name w:val="laydate-disabled"/>
    <w:basedOn w:val="21"/>
    <w:qFormat/>
    <w:uiPriority w:val="0"/>
    <w:rPr>
      <w:color w:val="3472D7"/>
    </w:rPr>
  </w:style>
  <w:style w:type="paragraph" w:customStyle="1" w:styleId="67">
    <w:name w:val="表格内容"/>
    <w:basedOn w:val="1"/>
    <w:qFormat/>
    <w:uiPriority w:val="0"/>
    <w:pPr>
      <w:widowControl/>
      <w:jc w:val="center"/>
    </w:pPr>
    <w:rPr>
      <w:rFonts w:ascii="等线" w:hAnsi="等线" w:eastAsia="等线" w:cs="宋体"/>
      <w:color w:val="FF0000"/>
      <w:kern w:val="0"/>
      <w:szCs w:val="21"/>
    </w:rPr>
  </w:style>
  <w:style w:type="character" w:customStyle="1" w:styleId="68">
    <w:name w:val="标题 1 Char"/>
    <w:basedOn w:val="21"/>
    <w:link w:val="2"/>
    <w:qFormat/>
    <w:uiPriority w:val="0"/>
    <w:rPr>
      <w:rFonts w:ascii="Calibri" w:hAnsi="Calibri" w:eastAsia="黑体" w:cs="Times New Roman"/>
      <w:b/>
      <w:bCs/>
      <w:kern w:val="44"/>
      <w:sz w:val="36"/>
      <w:szCs w:val="36"/>
    </w:rPr>
  </w:style>
  <w:style w:type="character" w:customStyle="1" w:styleId="69">
    <w:name w:val="hover4"/>
    <w:basedOn w:val="21"/>
    <w:qFormat/>
    <w:uiPriority w:val="0"/>
    <w:rPr>
      <w:shd w:val="clear" w:fill="EBF1FB"/>
    </w:rPr>
  </w:style>
  <w:style w:type="character" w:customStyle="1" w:styleId="70">
    <w:name w:val="hover5"/>
    <w:basedOn w:val="21"/>
    <w:qFormat/>
    <w:uiPriority w:val="0"/>
    <w:rPr>
      <w:color w:val="3472D7"/>
    </w:rPr>
  </w:style>
  <w:style w:type="paragraph" w:customStyle="1" w:styleId="71">
    <w:name w:val="正文缩进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30" textRotate="1"/>
    <customShpInfo spid="_x0000_s1025"/>
    <customShpInfo spid="_x0000_s1026"/>
    <customShpInfo spid="_x0000_s1027"/>
    <customShpInfo spid="_x0000_s1031" textRotate="1"/>
    <customShpInfo spid="_x0000_s1032" textRotate="1"/>
    <customShpInfo spid="_x0000_s1033"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1DFDCA-0055-4F19-BAA5-56AD72D3D6B6}">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49</Pages>
  <Words>12189</Words>
  <Characters>13070</Characters>
  <Lines>159</Lines>
  <Paragraphs>44</Paragraphs>
  <TotalTime>3</TotalTime>
  <ScaleCrop>false</ScaleCrop>
  <LinksUpToDate>false</LinksUpToDate>
  <CharactersWithSpaces>13147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2023-05-11T08:45:00Z</dcterms:created>
  <dc:creator>wayfarer</dc:creator>
  <cp:lastModifiedBy>NTKO</cp:lastModifiedBy>
  <cp:lastPrinted>2025-12-30T09:13:00Z</cp:lastPrinted>
  <dcterms:modified xsi:type="dcterms:W3CDTF">2025-12-30T09:42:30Z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D331325A53424CC5B5DC9DE22AC3E7E9_13</vt:lpwstr>
  </property>
  <property fmtid="{D5CDD505-2E9C-101B-9397-08002B2CF9AE}" pid="4" name="KSOTemplateDocerSaveRecord">
    <vt:lpwstr>eyJoZGlkIjoiM2IwYzFhYmMyMjAwY2UwMzRiZDQ1Y2FiYzcyOGMzNDciLCJ1c2VySWQiOiIzMjI4MTg1OTcifQ==</vt:lpwstr>
  </property>
</Properties>
</file>