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sz w:val="44"/>
          <w:szCs w:val="44"/>
          <w:lang w:val="en-US" w:eastAsia="zh-CN"/>
        </w:rPr>
        <w:t>通川区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sz w:val="44"/>
          <w:szCs w:val="44"/>
          <w:lang w:eastAsia="zh-CN"/>
        </w:rPr>
        <w:t>退役军人职业技能培训机构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sz w:val="44"/>
          <w:szCs w:val="44"/>
          <w:lang w:val="en-US" w:eastAsia="zh-CN"/>
        </w:rPr>
        <w:t>职业技能培训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sz w:val="44"/>
          <w:szCs w:val="44"/>
          <w:lang w:eastAsia="zh-CN"/>
        </w:rPr>
        <w:t>申报表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textAlignment w:val="auto"/>
        <w:rPr>
          <w:rFonts w:hint="default" w:ascii="Times New Roman" w:hAnsi="Times New Roman" w:cs="Times New Roman"/>
          <w:sz w:val="58"/>
          <w:lang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textAlignment w:val="auto"/>
        <w:rPr>
          <w:rFonts w:hint="default" w:ascii="Times New Roman" w:hAnsi="Times New Roman" w:cs="Times New Roman"/>
          <w:sz w:val="58"/>
          <w:lang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1" w:afterAutospacing="0" w:line="578" w:lineRule="exact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tabs>
          <w:tab w:val="left" w:pos="9038"/>
        </w:tabs>
        <w:kinsoku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1029" w:firstLineChars="301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6"/>
          <w:szCs w:val="36"/>
          <w:u w:val="singl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w w:val="95"/>
          <w:sz w:val="36"/>
          <w:szCs w:val="36"/>
          <w:u w:val="none"/>
          <w:lang w:eastAsia="zh-CN"/>
        </w:rPr>
        <w:t>申报单位（盖章）</w:t>
      </w:r>
      <w:r>
        <w:rPr>
          <w:rFonts w:hint="default" w:ascii="Times New Roman" w:hAnsi="Times New Roman" w:eastAsia="仿宋_GB2312" w:cs="Times New Roman"/>
          <w:w w:val="95"/>
          <w:sz w:val="36"/>
          <w:szCs w:val="36"/>
          <w:u w:val="single"/>
          <w:lang w:eastAsia="zh-CN"/>
        </w:rPr>
        <w:t xml:space="preserve">                     </w:t>
      </w:r>
    </w:p>
    <w:p>
      <w:pPr>
        <w:pStyle w:val="2"/>
        <w:keepNext w:val="0"/>
        <w:keepLines w:val="0"/>
        <w:pageBreakBefore w:val="0"/>
        <w:tabs>
          <w:tab w:val="left" w:pos="9038"/>
        </w:tabs>
        <w:kinsoku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1026" w:firstLineChars="3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w w:val="95"/>
          <w:sz w:val="36"/>
          <w:szCs w:val="36"/>
          <w:u w:val="none"/>
          <w:lang w:eastAsia="zh-CN"/>
        </w:rPr>
        <w:t>主  管  部  门</w:t>
      </w:r>
      <w:r>
        <w:rPr>
          <w:rFonts w:hint="default" w:ascii="Times New Roman" w:hAnsi="Times New Roman" w:eastAsia="仿宋_GB2312" w:cs="Times New Roman"/>
          <w:w w:val="95"/>
          <w:sz w:val="36"/>
          <w:szCs w:val="36"/>
          <w:u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w w:val="95"/>
          <w:sz w:val="36"/>
          <w:szCs w:val="36"/>
          <w:u w:val="none"/>
          <w:lang w:eastAsia="zh-CN"/>
        </w:rPr>
        <w:tab/>
      </w:r>
    </w:p>
    <w:p>
      <w:pPr>
        <w:pStyle w:val="2"/>
        <w:keepNext w:val="0"/>
        <w:keepLines w:val="0"/>
        <w:pageBreakBefore w:val="0"/>
        <w:tabs>
          <w:tab w:val="left" w:pos="9038"/>
        </w:tabs>
        <w:kinsoku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1029" w:firstLineChars="301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w w:val="95"/>
          <w:sz w:val="36"/>
          <w:szCs w:val="36"/>
          <w:u w:val="none"/>
          <w:lang w:eastAsia="zh-CN"/>
        </w:rPr>
        <w:t>填  报  时  间</w:t>
      </w:r>
      <w:r>
        <w:rPr>
          <w:rFonts w:hint="default" w:ascii="Times New Roman" w:hAnsi="Times New Roman" w:eastAsia="楷体_GB2312" w:cs="Times New Roman"/>
          <w:b w:val="0"/>
          <w:bCs w:val="0"/>
          <w:w w:val="95"/>
          <w:sz w:val="36"/>
          <w:szCs w:val="36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textAlignment w:val="auto"/>
        <w:rPr>
          <w:rFonts w:hint="default" w:ascii="Times New Roman" w:hAnsi="Times New Roman" w:cs="Times New Roman"/>
          <w:sz w:val="4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" w:afterAutospacing="0" w:line="578" w:lineRule="exact"/>
        <w:ind w:right="3037"/>
        <w:jc w:val="both"/>
        <w:textAlignment w:val="auto"/>
        <w:rPr>
          <w:rFonts w:hint="default" w:ascii="Times New Roman" w:hAnsi="Times New Roman" w:eastAsia="楷体" w:cs="Times New Roman"/>
          <w:color w:val="424242"/>
          <w:w w:val="11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" w:afterAutospacing="0" w:line="578" w:lineRule="exact"/>
        <w:ind w:right="3037"/>
        <w:jc w:val="both"/>
        <w:textAlignment w:val="auto"/>
        <w:rPr>
          <w:rFonts w:hint="default" w:ascii="Times New Roman" w:hAnsi="Times New Roman" w:eastAsia="楷体" w:cs="Times New Roman"/>
          <w:color w:val="424242"/>
          <w:w w:val="110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1" w:afterAutospacing="0" w:line="578" w:lineRule="exact"/>
        <w:jc w:val="center"/>
        <w:textAlignment w:val="auto"/>
        <w:rPr>
          <w:rFonts w:hint="default" w:ascii="Times New Roman" w:hAnsi="Times New Roman" w:eastAsia="楷体" w:cs="Times New Roman"/>
          <w:sz w:val="36"/>
          <w:szCs w:val="36"/>
          <w:lang w:eastAsia="zh-C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154" w:right="1587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_GB2312" w:cs="Times New Roman"/>
          <w:b w:val="0"/>
          <w:bCs w:val="0"/>
          <w:w w:val="95"/>
          <w:kern w:val="2"/>
          <w:sz w:val="36"/>
          <w:szCs w:val="36"/>
          <w:u w:val="none"/>
          <w:lang w:val="en-US" w:eastAsia="zh-CN" w:bidi="ar-SA"/>
        </w:rPr>
        <w:t>通川区</w:t>
      </w:r>
      <w:r>
        <w:rPr>
          <w:rFonts w:hint="default" w:ascii="Times New Roman" w:hAnsi="Times New Roman" w:eastAsia="楷体_GB2312" w:cs="Times New Roman"/>
          <w:b w:val="0"/>
          <w:bCs w:val="0"/>
          <w:w w:val="95"/>
          <w:kern w:val="2"/>
          <w:sz w:val="36"/>
          <w:szCs w:val="36"/>
          <w:u w:val="none"/>
          <w:lang w:val="en-US" w:eastAsia="zh-CN" w:bidi="ar-SA"/>
        </w:rPr>
        <w:t>退役军人事务局  制</w:t>
      </w:r>
    </w:p>
    <w:tbl>
      <w:tblPr>
        <w:tblStyle w:val="8"/>
        <w:tblW w:w="9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84"/>
        <w:gridCol w:w="160"/>
        <w:gridCol w:w="1317"/>
        <w:gridCol w:w="115"/>
        <w:gridCol w:w="305"/>
        <w:gridCol w:w="458"/>
        <w:gridCol w:w="627"/>
        <w:gridCol w:w="220"/>
        <w:gridCol w:w="67"/>
        <w:gridCol w:w="991"/>
        <w:gridCol w:w="570"/>
        <w:gridCol w:w="70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568" w:type="dxa"/>
            <w:gridSpan w:val="1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568" w:type="dxa"/>
            <w:gridSpan w:val="1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单位通讯地址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可同时容纳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培训人数</w:t>
            </w:r>
          </w:p>
        </w:tc>
        <w:tc>
          <w:tcPr>
            <w:tcW w:w="7568" w:type="dxa"/>
            <w:gridSpan w:val="1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40" w:type="dxa"/>
            <w:vMerge w:val="restart"/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教 学 场 地 及 设 施 </w:t>
            </w:r>
          </w:p>
        </w:tc>
        <w:tc>
          <w:tcPr>
            <w:tcW w:w="2581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占地面积      ㎡</w:t>
            </w:r>
          </w:p>
        </w:tc>
        <w:tc>
          <w:tcPr>
            <w:tcW w:w="2933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建筑面积      ㎡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实训场地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66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普通教室    （间）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㎡</w:t>
            </w:r>
          </w:p>
        </w:tc>
        <w:tc>
          <w:tcPr>
            <w:tcW w:w="4586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多功能教室     （间）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电教室（计算机室）配置情况</w:t>
            </w:r>
          </w:p>
        </w:tc>
        <w:tc>
          <w:tcPr>
            <w:tcW w:w="597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每间电教室计算机  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2" w:type="dxa"/>
            <w:gridSpan w:val="1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礼堂（会议室）       （间）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86" w:type="dxa"/>
            <w:gridSpan w:val="8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餐厅容纳       （人）</w:t>
            </w:r>
          </w:p>
        </w:tc>
        <w:tc>
          <w:tcPr>
            <w:tcW w:w="4366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宿舍容纳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其它教学设施设备</w:t>
            </w:r>
          </w:p>
        </w:tc>
        <w:tc>
          <w:tcPr>
            <w:tcW w:w="567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人员情况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定编人数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现有人数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2783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管理人员（人）</w:t>
            </w:r>
          </w:p>
        </w:tc>
        <w:tc>
          <w:tcPr>
            <w:tcW w:w="33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专职教师（人）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高级职称</w:t>
            </w:r>
          </w:p>
        </w:tc>
        <w:tc>
          <w:tcPr>
            <w:tcW w:w="20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4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中级职称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4" w:type="dxa"/>
            <w:gridSpan w:val="2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兼职教师（人）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高级职称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4" w:type="dxa"/>
            <w:gridSpan w:val="2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中级职称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0" w:type="dxa"/>
            <w:vMerge w:val="restart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职业培训工作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管理人员情况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分管工作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职业培训专职教师情况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毕业学校、时间及专业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职业培训兼职教师情况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毕业学校、时间及专业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现任课专业、年限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拟申报的培训专业</w:t>
            </w:r>
          </w:p>
        </w:tc>
        <w:tc>
          <w:tcPr>
            <w:tcW w:w="2161" w:type="dxa"/>
            <w:gridSpan w:val="3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6091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培训层次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高级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9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申报单位在本地区、本行业培训管理体系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中的地位、作用、特色优势</w:t>
            </w:r>
          </w:p>
        </w:tc>
        <w:tc>
          <w:tcPr>
            <w:tcW w:w="8252" w:type="dxa"/>
            <w:gridSpan w:val="1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申报单位以前承担培训及就业情况</w:t>
            </w:r>
          </w:p>
        </w:tc>
        <w:tc>
          <w:tcPr>
            <w:tcW w:w="8252" w:type="dxa"/>
            <w:gridSpan w:val="1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未来三年拟开展培训工作的整体规划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（制度建设、培训领域、培训专业及人数、就业推荐等）</w:t>
            </w:r>
          </w:p>
        </w:tc>
        <w:tc>
          <w:tcPr>
            <w:tcW w:w="8252" w:type="dxa"/>
            <w:gridSpan w:val="1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单位主管部门意见</w:t>
            </w:r>
          </w:p>
        </w:tc>
        <w:tc>
          <w:tcPr>
            <w:tcW w:w="8252" w:type="dxa"/>
            <w:gridSpan w:val="1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（公章）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1240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5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w w:val="105"/>
                <w:sz w:val="24"/>
                <w:szCs w:val="24"/>
                <w:lang w:eastAsia="zh-CN"/>
              </w:rPr>
              <w:t>退役军人事务局意见</w:t>
            </w:r>
          </w:p>
        </w:tc>
        <w:tc>
          <w:tcPr>
            <w:tcW w:w="8252" w:type="dxa"/>
            <w:gridSpan w:val="1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（公章）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年    月     日</w:t>
            </w: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1" w:afterAutospacing="0" w:line="578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说明：表格空间不足可附页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instrText xml:space="preserve"> HYPERLINK "https://www.shaodong.gov.cn/shaodong/gsgg/202008/9610343179be489d9dfd57b05417476b/files/54d3ea517eda4de6ac9c67c7b0ad4498.docx" </w:instrTex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关于申请承办</w:t>
      </w: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通川区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退役军人职业技能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培训机构</w:t>
      </w: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的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培训报告（提纲）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一、机构基本情况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成立情况，专业设置、师资力量等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二、近三年培训及就业情况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培训情况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培训取得的成就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三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就业情况及渠道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四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其他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三、针对退役军人培训计划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培训计划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1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推荐就业计划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通川区职业技能培训机构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参加本次政府采购活动前三年内，在经营活动中没有重大违法记录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声明书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 w:firstLine="64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通川区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退役军人事务局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本学校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机构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郑重声明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在近三年来的经营活动中严格遵守中华人民共和国各项法律、法规，无任何违法、违规记录。如有虚假，愿承担所有法律责任。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特此声明。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声明单位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盖章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                      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法定代表人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                 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578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附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 xml:space="preserve"> 通川区职业技能培训机构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安全承诺书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通川区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退役军人事务局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我单位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，根据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谁承训，谁负责安全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的原则，我们将认真做好安全管理工作，确保退役士兵在承训期间的安全。为此，特承诺如下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一、认真贯彻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谁承训，谁负责安全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的原则，本单位对承训期间的退役士兵承担安全责任。本单位的法定代表人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或主要负责人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是第一安全责任人。我们将成立安保组织机构，建立健全安全责任制，保证安全工作责任明确、部署严密、落实到位。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二、我们将组织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聘请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足够保安力量，制定安全保卫工作方案和应急预案，细化分工，责任到人。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三、为参训退役士兵学员全员购买意外伤害保险。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四、郑重承诺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对在我单位参加培训的学员在培训期间发生相关安全事故，均由我单位负责。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承诺单位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盖单位章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法定代表人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签名或盖章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 xml:space="preserve"> 通川区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职业</w:t>
      </w: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技能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培训</w:t>
      </w:r>
      <w:r>
        <w:rPr>
          <w:rFonts w:hint="eastAsia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机构</w:t>
      </w:r>
      <w:r>
        <w:rPr>
          <w:rFonts w:hint="default" w:ascii="Times New Roman" w:hAnsi="Times New Roman" w:eastAsia="方正小标宋简体" w:cs="Times New Roman"/>
          <w:b w:val="0"/>
          <w:bCs/>
          <w:color w:val="424242"/>
          <w:w w:val="105"/>
          <w:kern w:val="2"/>
          <w:sz w:val="44"/>
          <w:szCs w:val="44"/>
          <w:lang w:val="en-US" w:eastAsia="zh-CN" w:bidi="ar-SA"/>
        </w:rPr>
        <w:t>合格率承诺书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通川区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退役军人事务局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我单位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              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承诺，在参加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通川区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退役军人职业技能培训中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一、根据学员素质特点、市场需求，改进教育大纲，提高教育培训质量。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二、挑选配备实际操作经验丰富的教师任教，加强技能实践训练，加强顶岗实习锻炼。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三、积极引导广大学员尽可能选择有条件的、可拿中级以上职业资格证书的专业，做到高起点、高质量培养。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四、我单位承诺教育培训职业资格证书合格率达到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五、我单位承诺学员培训合格后开展就业推荐，就业率达90%以上。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承诺单位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盖单位章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                   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法定代表人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签名或盖章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       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        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1440" w:right="1304" w:bottom="1440" w:left="181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>    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/>
    <w:sectPr>
      <w:pgSz w:w="16838" w:h="11906" w:orient="landscape"/>
      <w:pgMar w:top="134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Batang" w:hAnsi="Batang" w:eastAsia="Batang" w:cs="Batang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ZGRhNWYzYTFkMjcyNzdjMWM2Mjg1ZDFkZDdlNWIifQ=="/>
  </w:docVars>
  <w:rsids>
    <w:rsidRoot w:val="14DF42DE"/>
    <w:rsid w:val="10BE247B"/>
    <w:rsid w:val="14DF42DE"/>
    <w:rsid w:val="1F450276"/>
    <w:rsid w:val="36CD3FAE"/>
    <w:rsid w:val="659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6"/>
      <w:szCs w:val="2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2023-03-17T01:19:00Z</dcterms:created>
  <dc:creator>Ｌ</dc:creator>
  <cp:lastModifiedBy>Administrator</cp:lastModifiedBy>
  <dcterms:modified xsi:type="dcterms:W3CDTF">2024-03-20T01:23:39Z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3033861844E24A7CB5EAF057088C6F62_13</vt:lpwstr>
  </property>
</Properties>
</file>