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E5" w:rsidRDefault="00B70E84">
      <w:pPr>
        <w:spacing w:line="578" w:lineRule="exact"/>
        <w:jc w:val="center"/>
        <w:rPr>
          <w:rFonts w:ascii="方正小标宋简体" w:eastAsia="方正小标宋简体" w:hAnsi="Times New Roman" w:cs="Times New Roman"/>
          <w:kern w:val="0"/>
          <w:sz w:val="44"/>
          <w:szCs w:val="44"/>
          <w14:ligatures w14:val="none"/>
        </w:rPr>
      </w:pP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14:ligatures w14:val="none"/>
        </w:rPr>
        <w:t>关于</w:t>
      </w:r>
      <w:proofErr w:type="gramStart"/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14:ligatures w14:val="none"/>
        </w:rPr>
        <w:t>202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14:ligatures w14:val="none"/>
        </w:rPr>
        <w:t>4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14:ligatures w14:val="none"/>
        </w:rPr>
        <w:t>年达州市</w:t>
      </w:r>
      <w:proofErr w:type="gramEnd"/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  <w14:ligatures w14:val="none"/>
        </w:rPr>
        <w:t>通川区政府性基金预算支出决算情况的说明</w:t>
      </w:r>
    </w:p>
    <w:p w:rsidR="00522CE5" w:rsidRDefault="00522CE5">
      <w:pPr>
        <w:spacing w:before="9" w:line="578" w:lineRule="exact"/>
        <w:jc w:val="left"/>
        <w:rPr>
          <w:rFonts w:ascii="Times New Roman" w:eastAsia="宋体" w:hAnsi="Times New Roman" w:cs="Times New Roman"/>
          <w:kern w:val="0"/>
          <w:sz w:val="17"/>
          <w:szCs w:val="17"/>
          <w14:ligatures w14:val="none"/>
        </w:rPr>
      </w:pPr>
    </w:p>
    <w:p w:rsidR="00522CE5" w:rsidRDefault="00B70E84">
      <w:pPr>
        <w:spacing w:line="578" w:lineRule="exact"/>
        <w:ind w:left="106" w:right="75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2024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年通川区政府性基金预算支出决算数为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398133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97.55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（同口径，下同）。其</w:t>
      </w:r>
      <w:r>
        <w:rPr>
          <w:rFonts w:ascii="Times New Roman" w:eastAsia="方正仿宋简体" w:hAnsi="Times New Roman" w:cs="Times New Roman" w:hint="eastAsia"/>
          <w:spacing w:val="-3"/>
          <w:kern w:val="0"/>
          <w:sz w:val="32"/>
          <w:szCs w:val="32"/>
          <w14:ligatures w14:val="none"/>
        </w:rPr>
        <w:t>中：</w:t>
      </w:r>
    </w:p>
    <w:p w:rsidR="00522CE5" w:rsidRDefault="00B70E84">
      <w:pPr>
        <w:spacing w:before="37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一、文化旅游体育与传媒支出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16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8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二、城乡社区支出决算</w:t>
      </w:r>
      <w:bookmarkStart w:id="0" w:name="_GoBack"/>
      <w:bookmarkEnd w:id="0"/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214318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93.57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7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三、农林水支出决算数为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1385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4775.86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7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四、交通运输支出决算为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4350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109.02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9" w:line="578" w:lineRule="exact"/>
        <w:ind w:left="106" w:right="75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五、其他支出决算数为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149053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96.88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8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六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、债务付息支出决算数为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24850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118.52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B70E84">
      <w:pPr>
        <w:spacing w:before="37" w:line="578" w:lineRule="exact"/>
        <w:ind w:left="106" w:firstLine="631"/>
        <w:jc w:val="left"/>
        <w:rPr>
          <w:rFonts w:ascii="Times New Roman" w:eastAsia="方正仿宋简体" w:hAnsi="Times New Roman" w:cs="Times New Roman"/>
          <w:kern w:val="0"/>
          <w:sz w:val="32"/>
          <w:szCs w:val="32"/>
          <w14:ligatures w14:val="none"/>
        </w:rPr>
      </w:pP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七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、债务发行费用支出决算数为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140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万元，为当年预算的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，为上年决算的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97.9</w:t>
      </w:r>
      <w:r>
        <w:rPr>
          <w:rFonts w:ascii="Times New Roman" w:eastAsia="方正仿宋简体" w:hAnsi="Times New Roman" w:cs="Times New Roman"/>
          <w:spacing w:val="-5"/>
          <w:kern w:val="0"/>
          <w:sz w:val="32"/>
          <w:szCs w:val="32"/>
          <w14:ligatures w14:val="none"/>
        </w:rPr>
        <w:t>%</w:t>
      </w:r>
      <w:r>
        <w:rPr>
          <w:rFonts w:ascii="Times New Roman" w:eastAsia="方正仿宋简体" w:hAnsi="Times New Roman" w:cs="Times New Roman" w:hint="eastAsia"/>
          <w:spacing w:val="-5"/>
          <w:kern w:val="0"/>
          <w:sz w:val="32"/>
          <w:szCs w:val="32"/>
          <w14:ligatures w14:val="none"/>
        </w:rPr>
        <w:t>。</w:t>
      </w:r>
    </w:p>
    <w:p w:rsidR="00522CE5" w:rsidRDefault="00522CE5"/>
    <w:sectPr w:rsidR="00522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144"/>
    <w:rsid w:val="00027BCE"/>
    <w:rsid w:val="00061484"/>
    <w:rsid w:val="000B0E07"/>
    <w:rsid w:val="00522CE5"/>
    <w:rsid w:val="006B59B6"/>
    <w:rsid w:val="00846DBF"/>
    <w:rsid w:val="00936144"/>
    <w:rsid w:val="00B2715E"/>
    <w:rsid w:val="00B466C2"/>
    <w:rsid w:val="00B70E84"/>
    <w:rsid w:val="00BA4236"/>
    <w:rsid w:val="00D709CE"/>
    <w:rsid w:val="00F014D3"/>
    <w:rsid w:val="00FD174D"/>
    <w:rsid w:val="14E94A18"/>
    <w:rsid w:val="279F3468"/>
    <w:rsid w:val="46A8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794181940@qq.com</dc:creator>
  <cp:lastModifiedBy>dell</cp:lastModifiedBy>
  <cp:revision>4</cp:revision>
  <dcterms:created xsi:type="dcterms:W3CDTF">2023-10-23T08:29:00Z</dcterms:created>
  <dcterms:modified xsi:type="dcterms:W3CDTF">2025-08-14T02:21:00Z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727551003CF849F3B983CF3E1A571ECC</vt:lpwstr>
  </property>
</Properties>
</file>