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777B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72"/>
          <w:szCs w:val="52"/>
        </w:rPr>
      </w:pPr>
      <w:bookmarkStart w:id="0" w:name="_Toc1297"/>
      <w:bookmarkStart w:id="1" w:name="_Toc11266"/>
    </w:p>
    <w:p w14:paraId="443112F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72"/>
          <w:szCs w:val="52"/>
        </w:rPr>
      </w:pPr>
      <w:r>
        <w:rPr>
          <w:b/>
          <w:bCs/>
          <w:sz w:val="72"/>
          <w:szCs w:val="52"/>
        </w:rPr>
        <w:t>建设项目环境影响报告表</w:t>
      </w:r>
      <w:bookmarkEnd w:id="0"/>
      <w:bookmarkEnd w:id="1"/>
    </w:p>
    <w:p w14:paraId="7444C468">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eastAsia" w:ascii="华文楷体" w:hAnsi="华文楷体" w:eastAsia="华文楷体" w:cs="华文楷体"/>
          <w:color w:val="auto"/>
          <w:sz w:val="48"/>
          <w:szCs w:val="48"/>
        </w:rPr>
      </w:pPr>
    </w:p>
    <w:p w14:paraId="29B17193">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eastAsia" w:ascii="华文楷体" w:hAnsi="华文楷体" w:eastAsia="华文楷体" w:cs="华文楷体"/>
          <w:color w:val="auto"/>
          <w:sz w:val="48"/>
          <w:szCs w:val="48"/>
        </w:rPr>
      </w:pPr>
      <w:r>
        <w:rPr>
          <w:rFonts w:hint="eastAsia" w:ascii="华文楷体" w:hAnsi="华文楷体" w:eastAsia="华文楷体" w:cs="华文楷体"/>
          <w:color w:val="auto"/>
          <w:sz w:val="48"/>
          <w:szCs w:val="48"/>
        </w:rPr>
        <w:t>（污染影响类）</w:t>
      </w:r>
    </w:p>
    <w:p w14:paraId="175EDC7C">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eastAsia" w:ascii="华文楷体" w:hAnsi="华文楷体" w:eastAsia="华文楷体" w:cs="华文楷体"/>
          <w:color w:val="auto"/>
          <w:sz w:val="48"/>
          <w:szCs w:val="48"/>
        </w:rPr>
      </w:pPr>
      <w:bookmarkStart w:id="2" w:name="_Toc31243"/>
      <w:bookmarkStart w:id="3" w:name="_Toc19137"/>
      <w:r>
        <w:rPr>
          <w:rFonts w:hint="eastAsia" w:ascii="华文楷体" w:hAnsi="华文楷体" w:eastAsia="华文楷体" w:cs="华文楷体"/>
          <w:color w:val="auto"/>
          <w:sz w:val="48"/>
          <w:szCs w:val="48"/>
        </w:rPr>
        <w:t>（</w:t>
      </w:r>
      <w:r>
        <w:rPr>
          <w:rFonts w:hint="eastAsia" w:ascii="华文楷体" w:hAnsi="华文楷体" w:eastAsia="华文楷体" w:cs="华文楷体"/>
          <w:color w:val="auto"/>
          <w:sz w:val="48"/>
          <w:szCs w:val="48"/>
          <w:lang w:eastAsia="zh-CN"/>
        </w:rPr>
        <w:t>公示本</w:t>
      </w:r>
      <w:r>
        <w:rPr>
          <w:rFonts w:hint="eastAsia" w:ascii="华文楷体" w:hAnsi="华文楷体" w:eastAsia="华文楷体" w:cs="华文楷体"/>
          <w:color w:val="auto"/>
          <w:sz w:val="48"/>
          <w:szCs w:val="48"/>
        </w:rPr>
        <w:t>）</w:t>
      </w:r>
      <w:bookmarkEnd w:id="2"/>
      <w:bookmarkEnd w:id="3"/>
    </w:p>
    <w:p w14:paraId="2D3D50D9">
      <w:pPr>
        <w:keepNext w:val="0"/>
        <w:keepLines w:val="0"/>
        <w:pageBreakBefore w:val="0"/>
        <w:widowControl w:val="0"/>
        <w:kinsoku/>
        <w:overflowPunct/>
        <w:topLinePunct w:val="0"/>
        <w:autoSpaceDE/>
        <w:autoSpaceDN/>
        <w:bidi w:val="0"/>
        <w:ind w:firstLine="0" w:firstLineChars="0"/>
        <w:textAlignment w:val="auto"/>
        <w:rPr>
          <w:color w:val="auto"/>
          <w:sz w:val="32"/>
        </w:rPr>
      </w:pPr>
    </w:p>
    <w:p w14:paraId="24535978">
      <w:pPr>
        <w:keepNext w:val="0"/>
        <w:keepLines w:val="0"/>
        <w:pageBreakBefore w:val="0"/>
        <w:widowControl w:val="0"/>
        <w:kinsoku/>
        <w:overflowPunct/>
        <w:topLinePunct w:val="0"/>
        <w:autoSpaceDE/>
        <w:autoSpaceDN/>
        <w:bidi w:val="0"/>
        <w:ind w:firstLine="0" w:firstLineChars="0"/>
        <w:textAlignment w:val="auto"/>
        <w:rPr>
          <w:color w:val="auto"/>
          <w:sz w:val="32"/>
        </w:rPr>
      </w:pPr>
    </w:p>
    <w:p w14:paraId="2C9C12C2">
      <w:pPr>
        <w:keepNext w:val="0"/>
        <w:keepLines w:val="0"/>
        <w:pageBreakBefore w:val="0"/>
        <w:widowControl w:val="0"/>
        <w:kinsoku/>
        <w:overflowPunct/>
        <w:topLinePunct w:val="0"/>
        <w:autoSpaceDE/>
        <w:autoSpaceDN/>
        <w:bidi w:val="0"/>
        <w:ind w:firstLine="0" w:firstLineChars="0"/>
        <w:textAlignment w:val="auto"/>
        <w:rPr>
          <w:color w:val="auto"/>
          <w:sz w:val="32"/>
        </w:rPr>
      </w:pPr>
    </w:p>
    <w:p w14:paraId="7A885EDC">
      <w:pPr>
        <w:keepNext w:val="0"/>
        <w:keepLines w:val="0"/>
        <w:pageBreakBefore w:val="0"/>
        <w:widowControl w:val="0"/>
        <w:kinsoku/>
        <w:overflowPunct/>
        <w:topLinePunct w:val="0"/>
        <w:autoSpaceDE/>
        <w:autoSpaceDN/>
        <w:bidi w:val="0"/>
        <w:ind w:firstLine="0" w:firstLineChars="0"/>
        <w:textAlignment w:val="auto"/>
        <w:rPr>
          <w:color w:val="auto"/>
          <w:w w:val="80"/>
          <w:sz w:val="32"/>
        </w:rPr>
      </w:pPr>
    </w:p>
    <w:p w14:paraId="2AA56255">
      <w:pPr>
        <w:spacing w:line="240" w:lineRule="auto"/>
        <w:ind w:firstLine="0" w:firstLineChars="0"/>
        <w:jc w:val="both"/>
        <w:rPr>
          <w:rFonts w:hint="default" w:eastAsia="仿宋_GB2312"/>
          <w:color w:val="auto"/>
          <w:sz w:val="32"/>
          <w:szCs w:val="32"/>
          <w:u w:val="single"/>
        </w:rPr>
      </w:pPr>
      <w:r>
        <w:rPr>
          <w:rFonts w:hint="eastAsia" w:eastAsia="仿宋_GB2312"/>
          <w:color w:val="auto"/>
          <w:sz w:val="32"/>
          <w:szCs w:val="32"/>
          <w:u w:val="single"/>
        </w:rPr>
        <w:t>项目名称：</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氢能</w:t>
      </w:r>
      <w:r>
        <w:rPr>
          <w:rFonts w:hint="eastAsia" w:eastAsia="仿宋_GB2312"/>
          <w:color w:val="auto"/>
          <w:sz w:val="32"/>
          <w:szCs w:val="32"/>
          <w:u w:val="single"/>
          <w:lang w:val="en-US" w:eastAsia="zh-CN"/>
        </w:rPr>
        <w:t xml:space="preserve">动力系统改建项目         </w:t>
      </w:r>
    </w:p>
    <w:p w14:paraId="46A742E6">
      <w:pPr>
        <w:spacing w:line="240" w:lineRule="auto"/>
        <w:ind w:firstLine="0" w:firstLineChars="0"/>
        <w:jc w:val="both"/>
        <w:rPr>
          <w:rFonts w:hint="eastAsia" w:eastAsia="仿宋_GB2312"/>
          <w:color w:val="auto"/>
          <w:sz w:val="32"/>
          <w:szCs w:val="32"/>
          <w:u w:val="single"/>
        </w:rPr>
      </w:pPr>
      <w:r>
        <w:rPr>
          <w:rFonts w:hint="eastAsia" w:eastAsia="仿宋_GB2312"/>
          <w:color w:val="auto"/>
          <w:sz w:val="32"/>
          <w:szCs w:val="32"/>
          <w:u w:val="single"/>
        </w:rPr>
        <w:t>建设单位（盖章）：</w:t>
      </w:r>
      <w:r>
        <w:rPr>
          <w:rFonts w:hint="eastAsia" w:eastAsia="仿宋_GB2312"/>
          <w:color w:val="auto"/>
          <w:sz w:val="32"/>
          <w:szCs w:val="32"/>
          <w:u w:val="single"/>
          <w:lang w:val="en-US" w:eastAsia="zh-CN"/>
        </w:rPr>
        <w:t>聚智（达州）氢能科技有限公司</w:t>
      </w:r>
    </w:p>
    <w:p w14:paraId="7EE77C7A">
      <w:pPr>
        <w:spacing w:line="240" w:lineRule="auto"/>
        <w:ind w:firstLine="0" w:firstLineChars="0"/>
        <w:jc w:val="both"/>
        <w:rPr>
          <w:rFonts w:hint="default" w:eastAsia="仿宋_GB2312"/>
          <w:color w:val="auto"/>
          <w:sz w:val="32"/>
          <w:szCs w:val="32"/>
          <w:u w:val="single"/>
        </w:rPr>
      </w:pPr>
      <w:r>
        <w:rPr>
          <w:rFonts w:hint="eastAsia" w:eastAsia="仿宋_GB2312"/>
          <w:color w:val="auto"/>
          <w:sz w:val="32"/>
          <w:szCs w:val="32"/>
          <w:u w:val="single"/>
        </w:rPr>
        <w:t>编制日期：         二〇二五年</w:t>
      </w:r>
      <w:r>
        <w:rPr>
          <w:rFonts w:hint="eastAsia" w:eastAsia="仿宋_GB2312"/>
          <w:color w:val="auto"/>
          <w:sz w:val="32"/>
          <w:szCs w:val="32"/>
          <w:u w:val="single"/>
          <w:lang w:val="en-US" w:eastAsia="zh-CN"/>
        </w:rPr>
        <w:t>十一</w:t>
      </w:r>
      <w:r>
        <w:rPr>
          <w:rFonts w:hint="eastAsia" w:eastAsia="仿宋_GB2312"/>
          <w:color w:val="auto"/>
          <w:sz w:val="32"/>
          <w:szCs w:val="32"/>
          <w:u w:val="single"/>
        </w:rPr>
        <w:t>月</w:t>
      </w:r>
      <w:r>
        <w:rPr>
          <w:rFonts w:hint="eastAsia" w:eastAsia="仿宋_GB2312"/>
          <w:color w:val="auto"/>
          <w:sz w:val="32"/>
          <w:szCs w:val="32"/>
          <w:u w:val="single"/>
          <w:lang w:val="en-US" w:eastAsia="zh-CN"/>
        </w:rPr>
        <w:t xml:space="preserve">             </w:t>
      </w:r>
    </w:p>
    <w:p w14:paraId="119F4D55">
      <w:pPr>
        <w:keepNext w:val="0"/>
        <w:keepLines w:val="0"/>
        <w:pageBreakBefore w:val="0"/>
        <w:widowControl w:val="0"/>
        <w:kinsoku/>
        <w:overflowPunct/>
        <w:topLinePunct w:val="0"/>
        <w:autoSpaceDE/>
        <w:autoSpaceDN/>
        <w:bidi w:val="0"/>
        <w:ind w:firstLine="0" w:firstLineChars="0"/>
        <w:textAlignment w:val="auto"/>
        <w:rPr>
          <w:color w:val="auto"/>
          <w:sz w:val="32"/>
          <w:szCs w:val="32"/>
        </w:rPr>
      </w:pPr>
    </w:p>
    <w:p w14:paraId="276676D8">
      <w:pPr>
        <w:keepNext w:val="0"/>
        <w:keepLines w:val="0"/>
        <w:pageBreakBefore w:val="0"/>
        <w:widowControl w:val="0"/>
        <w:kinsoku/>
        <w:overflowPunct/>
        <w:topLinePunct w:val="0"/>
        <w:autoSpaceDE/>
        <w:autoSpaceDN/>
        <w:bidi w:val="0"/>
        <w:ind w:firstLine="0" w:firstLineChars="0"/>
        <w:textAlignment w:val="auto"/>
        <w:rPr>
          <w:color w:val="auto"/>
          <w:sz w:val="32"/>
          <w:szCs w:val="32"/>
        </w:rPr>
      </w:pPr>
    </w:p>
    <w:p w14:paraId="0925C6E1">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方正楷体_GB2312" w:hAnsi="方正楷体_GB2312" w:eastAsia="方正楷体_GB2312" w:cs="方正楷体_GB2312"/>
          <w:sz w:val="36"/>
          <w:szCs w:val="36"/>
        </w:rPr>
        <w:sectPr>
          <w:headerReference r:id="rId6" w:type="first"/>
          <w:footerReference r:id="rId9" w:type="first"/>
          <w:headerReference r:id="rId5" w:type="default"/>
          <w:footerReference r:id="rId7" w:type="default"/>
          <w:footerReference r:id="rId8" w:type="even"/>
          <w:pgSz w:w="11906" w:h="16838"/>
          <w:pgMar w:top="1440" w:right="1803" w:bottom="1440" w:left="1803" w:header="1191" w:footer="1134" w:gutter="0"/>
          <w:pgBorders>
            <w:top w:val="none" w:sz="0" w:space="0"/>
            <w:left w:val="none" w:sz="0" w:space="0"/>
            <w:bottom w:val="none" w:sz="0" w:space="0"/>
            <w:right w:val="none" w:sz="0" w:space="0"/>
          </w:pgBorders>
          <w:pgNumType w:fmt="decimal"/>
          <w:cols w:space="720" w:num="1"/>
          <w:titlePg/>
          <w:docGrid w:type="linesAndChars" w:linePitch="312" w:charSpace="0"/>
        </w:sectPr>
      </w:pPr>
      <w:bookmarkStart w:id="4" w:name="_Toc15323"/>
      <w:bookmarkStart w:id="5" w:name="_Toc13805"/>
      <w:r>
        <w:rPr>
          <w:rFonts w:hint="eastAsia" w:ascii="方正楷体_GB2312" w:hAnsi="方正楷体_GB2312" w:eastAsia="方正楷体_GB2312" w:cs="方正楷体_GB2312"/>
          <w:sz w:val="36"/>
          <w:szCs w:val="36"/>
        </w:rPr>
        <w:t>中华人民共和国生态环境部制</w:t>
      </w:r>
      <w:bookmarkEnd w:id="4"/>
      <w:bookmarkEnd w:id="5"/>
    </w:p>
    <w:sdt>
      <w:sdtPr>
        <w:rPr>
          <w:rFonts w:ascii="宋体" w:hAnsi="宋体" w:eastAsia="宋体" w:cs="Times New Roman"/>
          <w:kern w:val="2"/>
          <w:sz w:val="48"/>
          <w:szCs w:val="44"/>
          <w:lang w:val="en-US" w:eastAsia="zh-CN" w:bidi="ar-SA"/>
        </w:rPr>
        <w:id w:val="147483164"/>
        <w15:color w:val="DBDBDB"/>
        <w:docPartObj>
          <w:docPartGallery w:val="Table of Contents"/>
          <w:docPartUnique/>
        </w:docPartObj>
      </w:sdtPr>
      <w:sdtEndPr>
        <w:rPr>
          <w:rFonts w:ascii="宋体" w:hAnsi="宋体" w:eastAsia="宋体" w:cs="Times New Roman"/>
          <w:kern w:val="2"/>
          <w:sz w:val="48"/>
          <w:szCs w:val="44"/>
          <w:lang w:val="en-US" w:eastAsia="zh-CN" w:bidi="ar-SA"/>
        </w:rPr>
      </w:sdtEndPr>
      <w:sdtContent>
        <w:p w14:paraId="089FE74B">
          <w:pPr>
            <w:keepNext w:val="0"/>
            <w:keepLines w:val="0"/>
            <w:pageBreakBefore w:val="0"/>
            <w:widowControl w:val="0"/>
            <w:kinsoku/>
            <w:wordWrap w:val="0"/>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sz w:val="48"/>
              <w:szCs w:val="36"/>
            </w:rPr>
          </w:pPr>
          <w:r>
            <w:rPr>
              <w:rFonts w:ascii="宋体" w:hAnsi="宋体" w:eastAsia="宋体"/>
              <w:sz w:val="40"/>
              <w:szCs w:val="36"/>
            </w:rPr>
            <w:t>目</w:t>
          </w:r>
          <w:r>
            <w:rPr>
              <w:rFonts w:hint="eastAsia" w:ascii="宋体" w:hAnsi="宋体" w:eastAsia="宋体"/>
              <w:sz w:val="40"/>
              <w:szCs w:val="36"/>
              <w:lang w:val="en-US" w:eastAsia="zh-CN"/>
            </w:rPr>
            <w:t xml:space="preserve">  </w:t>
          </w:r>
          <w:r>
            <w:rPr>
              <w:rFonts w:ascii="宋体" w:hAnsi="宋体" w:eastAsia="宋体"/>
              <w:sz w:val="40"/>
              <w:szCs w:val="36"/>
            </w:rPr>
            <w:t>录</w:t>
          </w:r>
        </w:p>
        <w:p w14:paraId="6E8D0EB8">
          <w:pPr>
            <w:pStyle w:val="25"/>
            <w:tabs>
              <w:tab w:val="right" w:leader="dot" w:pos="8306"/>
            </w:tabs>
            <w:ind w:firstLine="0" w:firstLineChars="0"/>
            <w:rPr>
              <w:sz w:val="28"/>
              <w:szCs w:val="21"/>
            </w:rPr>
          </w:pPr>
          <w:r>
            <w:fldChar w:fldCharType="begin"/>
          </w:r>
          <w:r>
            <w:instrText xml:space="preserve">TOC \o "1-2" \h \u </w:instrText>
          </w:r>
          <w:r>
            <w:fldChar w:fldCharType="separate"/>
          </w:r>
          <w:r>
            <w:rPr>
              <w:sz w:val="28"/>
              <w:szCs w:val="21"/>
            </w:rPr>
            <w:fldChar w:fldCharType="begin"/>
          </w:r>
          <w:r>
            <w:rPr>
              <w:sz w:val="28"/>
              <w:szCs w:val="21"/>
            </w:rPr>
            <w:instrText xml:space="preserve"> HYPERLINK \l _Toc30934 </w:instrText>
          </w:r>
          <w:r>
            <w:rPr>
              <w:sz w:val="28"/>
              <w:szCs w:val="21"/>
            </w:rPr>
            <w:fldChar w:fldCharType="separate"/>
          </w:r>
          <w:r>
            <w:rPr>
              <w:rFonts w:hint="eastAsia" w:ascii="Times New Roman" w:hAnsi="Times New Roman" w:eastAsia="宋体" w:cs="Times New Roman"/>
              <w:kern w:val="2"/>
              <w:sz w:val="28"/>
              <w:szCs w:val="21"/>
              <w:lang w:val="en-US" w:eastAsia="zh-CN" w:bidi="ar-SA"/>
            </w:rPr>
            <w:t>一、建设项目基本情况</w:t>
          </w:r>
          <w:r>
            <w:rPr>
              <w:sz w:val="28"/>
              <w:szCs w:val="21"/>
            </w:rPr>
            <w:tab/>
          </w:r>
          <w:r>
            <w:rPr>
              <w:sz w:val="28"/>
              <w:szCs w:val="21"/>
            </w:rPr>
            <w:fldChar w:fldCharType="begin"/>
          </w:r>
          <w:r>
            <w:rPr>
              <w:sz w:val="28"/>
              <w:szCs w:val="21"/>
            </w:rPr>
            <w:instrText xml:space="preserve"> PAGEREF _Toc30934 \h </w:instrText>
          </w:r>
          <w:r>
            <w:rPr>
              <w:sz w:val="28"/>
              <w:szCs w:val="21"/>
            </w:rPr>
            <w:fldChar w:fldCharType="separate"/>
          </w:r>
          <w:r>
            <w:rPr>
              <w:sz w:val="28"/>
              <w:szCs w:val="21"/>
            </w:rPr>
            <w:t>1</w:t>
          </w:r>
          <w:r>
            <w:rPr>
              <w:sz w:val="28"/>
              <w:szCs w:val="21"/>
            </w:rPr>
            <w:fldChar w:fldCharType="end"/>
          </w:r>
          <w:r>
            <w:rPr>
              <w:sz w:val="28"/>
              <w:szCs w:val="21"/>
            </w:rPr>
            <w:fldChar w:fldCharType="end"/>
          </w:r>
        </w:p>
        <w:p w14:paraId="700A84B9">
          <w:pPr>
            <w:pStyle w:val="25"/>
            <w:tabs>
              <w:tab w:val="right" w:leader="dot" w:pos="8306"/>
            </w:tabs>
            <w:ind w:firstLine="0" w:firstLineChars="0"/>
            <w:rPr>
              <w:sz w:val="28"/>
              <w:szCs w:val="21"/>
            </w:rPr>
          </w:pPr>
          <w:r>
            <w:rPr>
              <w:sz w:val="28"/>
              <w:szCs w:val="21"/>
            </w:rPr>
            <w:fldChar w:fldCharType="begin"/>
          </w:r>
          <w:r>
            <w:rPr>
              <w:sz w:val="28"/>
              <w:szCs w:val="21"/>
            </w:rPr>
            <w:instrText xml:space="preserve"> HYPERLINK \l _Toc14572 </w:instrText>
          </w:r>
          <w:r>
            <w:rPr>
              <w:sz w:val="28"/>
              <w:szCs w:val="21"/>
            </w:rPr>
            <w:fldChar w:fldCharType="separate"/>
          </w:r>
          <w:r>
            <w:rPr>
              <w:rFonts w:hint="eastAsia"/>
              <w:sz w:val="28"/>
              <w:szCs w:val="21"/>
            </w:rPr>
            <w:t>二、建设项目工程分析</w:t>
          </w:r>
          <w:r>
            <w:rPr>
              <w:sz w:val="28"/>
              <w:szCs w:val="21"/>
            </w:rPr>
            <w:tab/>
          </w:r>
          <w:r>
            <w:rPr>
              <w:sz w:val="28"/>
              <w:szCs w:val="21"/>
            </w:rPr>
            <w:fldChar w:fldCharType="begin"/>
          </w:r>
          <w:r>
            <w:rPr>
              <w:sz w:val="28"/>
              <w:szCs w:val="21"/>
            </w:rPr>
            <w:instrText xml:space="preserve"> PAGEREF _Toc14572 \h </w:instrText>
          </w:r>
          <w:r>
            <w:rPr>
              <w:sz w:val="28"/>
              <w:szCs w:val="21"/>
            </w:rPr>
            <w:fldChar w:fldCharType="separate"/>
          </w:r>
          <w:r>
            <w:rPr>
              <w:sz w:val="28"/>
              <w:szCs w:val="21"/>
            </w:rPr>
            <w:t>36</w:t>
          </w:r>
          <w:r>
            <w:rPr>
              <w:sz w:val="28"/>
              <w:szCs w:val="21"/>
            </w:rPr>
            <w:fldChar w:fldCharType="end"/>
          </w:r>
          <w:r>
            <w:rPr>
              <w:sz w:val="28"/>
              <w:szCs w:val="21"/>
            </w:rPr>
            <w:fldChar w:fldCharType="end"/>
          </w:r>
        </w:p>
        <w:p w14:paraId="3CCE5150">
          <w:pPr>
            <w:pStyle w:val="25"/>
            <w:tabs>
              <w:tab w:val="right" w:leader="dot" w:pos="8306"/>
            </w:tabs>
            <w:ind w:firstLine="0" w:firstLineChars="0"/>
            <w:rPr>
              <w:sz w:val="28"/>
              <w:szCs w:val="21"/>
            </w:rPr>
          </w:pPr>
          <w:r>
            <w:rPr>
              <w:sz w:val="28"/>
              <w:szCs w:val="21"/>
            </w:rPr>
            <w:fldChar w:fldCharType="begin"/>
          </w:r>
          <w:r>
            <w:rPr>
              <w:sz w:val="28"/>
              <w:szCs w:val="21"/>
            </w:rPr>
            <w:instrText xml:space="preserve"> HYPERLINK \l _Toc3431 </w:instrText>
          </w:r>
          <w:r>
            <w:rPr>
              <w:sz w:val="28"/>
              <w:szCs w:val="21"/>
            </w:rPr>
            <w:fldChar w:fldCharType="separate"/>
          </w:r>
          <w:r>
            <w:rPr>
              <w:sz w:val="28"/>
              <w:szCs w:val="21"/>
            </w:rPr>
            <w:t>三、区域环境质量现状、环境保护目标及评价标准</w:t>
          </w:r>
          <w:r>
            <w:rPr>
              <w:sz w:val="28"/>
              <w:szCs w:val="21"/>
            </w:rPr>
            <w:tab/>
          </w:r>
          <w:r>
            <w:rPr>
              <w:sz w:val="28"/>
              <w:szCs w:val="21"/>
            </w:rPr>
            <w:fldChar w:fldCharType="begin"/>
          </w:r>
          <w:r>
            <w:rPr>
              <w:sz w:val="28"/>
              <w:szCs w:val="21"/>
            </w:rPr>
            <w:instrText xml:space="preserve"> PAGEREF _Toc3431 \h </w:instrText>
          </w:r>
          <w:r>
            <w:rPr>
              <w:sz w:val="28"/>
              <w:szCs w:val="21"/>
            </w:rPr>
            <w:fldChar w:fldCharType="separate"/>
          </w:r>
          <w:r>
            <w:rPr>
              <w:sz w:val="28"/>
              <w:szCs w:val="21"/>
            </w:rPr>
            <w:t>58</w:t>
          </w:r>
          <w:r>
            <w:rPr>
              <w:sz w:val="28"/>
              <w:szCs w:val="21"/>
            </w:rPr>
            <w:fldChar w:fldCharType="end"/>
          </w:r>
          <w:r>
            <w:rPr>
              <w:sz w:val="28"/>
              <w:szCs w:val="21"/>
            </w:rPr>
            <w:fldChar w:fldCharType="end"/>
          </w:r>
        </w:p>
        <w:p w14:paraId="17A3C45D">
          <w:pPr>
            <w:pStyle w:val="25"/>
            <w:tabs>
              <w:tab w:val="right" w:leader="dot" w:pos="8306"/>
            </w:tabs>
            <w:ind w:firstLine="0" w:firstLineChars="0"/>
            <w:rPr>
              <w:sz w:val="28"/>
              <w:szCs w:val="21"/>
            </w:rPr>
          </w:pPr>
          <w:r>
            <w:rPr>
              <w:sz w:val="28"/>
              <w:szCs w:val="21"/>
            </w:rPr>
            <w:fldChar w:fldCharType="begin"/>
          </w:r>
          <w:r>
            <w:rPr>
              <w:sz w:val="28"/>
              <w:szCs w:val="21"/>
            </w:rPr>
            <w:instrText xml:space="preserve"> HYPERLINK \l _Toc28210 </w:instrText>
          </w:r>
          <w:r>
            <w:rPr>
              <w:sz w:val="28"/>
              <w:szCs w:val="21"/>
            </w:rPr>
            <w:fldChar w:fldCharType="separate"/>
          </w:r>
          <w:r>
            <w:rPr>
              <w:rFonts w:hint="eastAsia"/>
              <w:sz w:val="28"/>
              <w:szCs w:val="21"/>
            </w:rPr>
            <w:t>四、主要环境影响和保护措施</w:t>
          </w:r>
          <w:r>
            <w:rPr>
              <w:sz w:val="28"/>
              <w:szCs w:val="21"/>
            </w:rPr>
            <w:tab/>
          </w:r>
          <w:r>
            <w:rPr>
              <w:sz w:val="28"/>
              <w:szCs w:val="21"/>
            </w:rPr>
            <w:fldChar w:fldCharType="begin"/>
          </w:r>
          <w:r>
            <w:rPr>
              <w:sz w:val="28"/>
              <w:szCs w:val="21"/>
            </w:rPr>
            <w:instrText xml:space="preserve"> PAGEREF _Toc28210 \h </w:instrText>
          </w:r>
          <w:r>
            <w:rPr>
              <w:sz w:val="28"/>
              <w:szCs w:val="21"/>
            </w:rPr>
            <w:fldChar w:fldCharType="separate"/>
          </w:r>
          <w:r>
            <w:rPr>
              <w:sz w:val="28"/>
              <w:szCs w:val="21"/>
            </w:rPr>
            <w:t>64</w:t>
          </w:r>
          <w:r>
            <w:rPr>
              <w:sz w:val="28"/>
              <w:szCs w:val="21"/>
            </w:rPr>
            <w:fldChar w:fldCharType="end"/>
          </w:r>
          <w:r>
            <w:rPr>
              <w:sz w:val="28"/>
              <w:szCs w:val="21"/>
            </w:rPr>
            <w:fldChar w:fldCharType="end"/>
          </w:r>
        </w:p>
        <w:p w14:paraId="1DAB36F1">
          <w:pPr>
            <w:pStyle w:val="25"/>
            <w:tabs>
              <w:tab w:val="right" w:leader="dot" w:pos="8306"/>
            </w:tabs>
            <w:ind w:firstLine="0" w:firstLineChars="0"/>
            <w:rPr>
              <w:sz w:val="28"/>
              <w:szCs w:val="21"/>
            </w:rPr>
          </w:pPr>
          <w:r>
            <w:rPr>
              <w:sz w:val="28"/>
              <w:szCs w:val="21"/>
            </w:rPr>
            <w:fldChar w:fldCharType="begin"/>
          </w:r>
          <w:r>
            <w:rPr>
              <w:sz w:val="28"/>
              <w:szCs w:val="21"/>
            </w:rPr>
            <w:instrText xml:space="preserve"> HYPERLINK \l _Toc7120 </w:instrText>
          </w:r>
          <w:r>
            <w:rPr>
              <w:sz w:val="28"/>
              <w:szCs w:val="21"/>
            </w:rPr>
            <w:fldChar w:fldCharType="separate"/>
          </w:r>
          <w:r>
            <w:rPr>
              <w:rFonts w:hint="eastAsia"/>
              <w:sz w:val="28"/>
              <w:szCs w:val="21"/>
            </w:rPr>
            <w:t>五、环境保护措施监督检查清单</w:t>
          </w:r>
          <w:r>
            <w:rPr>
              <w:sz w:val="28"/>
              <w:szCs w:val="21"/>
            </w:rPr>
            <w:tab/>
          </w:r>
          <w:r>
            <w:rPr>
              <w:sz w:val="28"/>
              <w:szCs w:val="21"/>
            </w:rPr>
            <w:fldChar w:fldCharType="begin"/>
          </w:r>
          <w:r>
            <w:rPr>
              <w:sz w:val="28"/>
              <w:szCs w:val="21"/>
            </w:rPr>
            <w:instrText xml:space="preserve"> PAGEREF _Toc7120 \h </w:instrText>
          </w:r>
          <w:r>
            <w:rPr>
              <w:sz w:val="28"/>
              <w:szCs w:val="21"/>
            </w:rPr>
            <w:fldChar w:fldCharType="separate"/>
          </w:r>
          <w:r>
            <w:rPr>
              <w:sz w:val="28"/>
              <w:szCs w:val="21"/>
            </w:rPr>
            <w:t>86</w:t>
          </w:r>
          <w:r>
            <w:rPr>
              <w:sz w:val="28"/>
              <w:szCs w:val="21"/>
            </w:rPr>
            <w:fldChar w:fldCharType="end"/>
          </w:r>
          <w:r>
            <w:rPr>
              <w:sz w:val="28"/>
              <w:szCs w:val="21"/>
            </w:rPr>
            <w:fldChar w:fldCharType="end"/>
          </w:r>
        </w:p>
        <w:p w14:paraId="016FBDD0">
          <w:pPr>
            <w:pStyle w:val="25"/>
            <w:tabs>
              <w:tab w:val="right" w:leader="dot" w:pos="8306"/>
            </w:tabs>
            <w:ind w:firstLine="0" w:firstLineChars="0"/>
            <w:rPr>
              <w:sz w:val="28"/>
              <w:szCs w:val="21"/>
            </w:rPr>
          </w:pPr>
          <w:r>
            <w:rPr>
              <w:sz w:val="28"/>
              <w:szCs w:val="21"/>
            </w:rPr>
            <w:fldChar w:fldCharType="begin"/>
          </w:r>
          <w:r>
            <w:rPr>
              <w:sz w:val="28"/>
              <w:szCs w:val="21"/>
            </w:rPr>
            <w:instrText xml:space="preserve"> HYPERLINK \l _Toc8936 </w:instrText>
          </w:r>
          <w:r>
            <w:rPr>
              <w:sz w:val="28"/>
              <w:szCs w:val="21"/>
            </w:rPr>
            <w:fldChar w:fldCharType="separate"/>
          </w:r>
          <w:r>
            <w:rPr>
              <w:rFonts w:hint="eastAsia"/>
              <w:sz w:val="28"/>
              <w:szCs w:val="21"/>
            </w:rPr>
            <w:t>六、结论</w:t>
          </w:r>
          <w:r>
            <w:rPr>
              <w:sz w:val="28"/>
              <w:szCs w:val="21"/>
            </w:rPr>
            <w:tab/>
          </w:r>
          <w:r>
            <w:rPr>
              <w:sz w:val="28"/>
              <w:szCs w:val="21"/>
            </w:rPr>
            <w:fldChar w:fldCharType="begin"/>
          </w:r>
          <w:r>
            <w:rPr>
              <w:sz w:val="28"/>
              <w:szCs w:val="21"/>
            </w:rPr>
            <w:instrText xml:space="preserve"> PAGEREF _Toc8936 \h </w:instrText>
          </w:r>
          <w:r>
            <w:rPr>
              <w:sz w:val="28"/>
              <w:szCs w:val="21"/>
            </w:rPr>
            <w:fldChar w:fldCharType="separate"/>
          </w:r>
          <w:r>
            <w:rPr>
              <w:sz w:val="28"/>
              <w:szCs w:val="21"/>
            </w:rPr>
            <w:t>88</w:t>
          </w:r>
          <w:r>
            <w:rPr>
              <w:sz w:val="28"/>
              <w:szCs w:val="21"/>
            </w:rPr>
            <w:fldChar w:fldCharType="end"/>
          </w:r>
          <w:r>
            <w:rPr>
              <w:sz w:val="28"/>
              <w:szCs w:val="21"/>
            </w:rPr>
            <w:fldChar w:fldCharType="end"/>
          </w:r>
        </w:p>
        <w:p w14:paraId="5FBBDB24">
          <w:pPr>
            <w:pStyle w:val="25"/>
            <w:tabs>
              <w:tab w:val="right" w:leader="dot" w:pos="8306"/>
            </w:tabs>
            <w:ind w:firstLine="0" w:firstLineChars="0"/>
          </w:pPr>
          <w:r>
            <w:rPr>
              <w:sz w:val="28"/>
              <w:szCs w:val="21"/>
            </w:rPr>
            <w:fldChar w:fldCharType="begin"/>
          </w:r>
          <w:r>
            <w:rPr>
              <w:sz w:val="28"/>
              <w:szCs w:val="21"/>
            </w:rPr>
            <w:instrText xml:space="preserve"> HYPERLINK \l _Toc7671 </w:instrText>
          </w:r>
          <w:r>
            <w:rPr>
              <w:sz w:val="28"/>
              <w:szCs w:val="21"/>
            </w:rPr>
            <w:fldChar w:fldCharType="separate"/>
          </w:r>
          <w:r>
            <w:rPr>
              <w:sz w:val="28"/>
              <w:szCs w:val="21"/>
            </w:rPr>
            <w:t>建设项目污染物排放量汇总表</w:t>
          </w:r>
          <w:r>
            <w:rPr>
              <w:sz w:val="28"/>
              <w:szCs w:val="21"/>
            </w:rPr>
            <w:tab/>
          </w:r>
          <w:r>
            <w:rPr>
              <w:sz w:val="28"/>
              <w:szCs w:val="21"/>
            </w:rPr>
            <w:fldChar w:fldCharType="begin"/>
          </w:r>
          <w:r>
            <w:rPr>
              <w:sz w:val="28"/>
              <w:szCs w:val="21"/>
            </w:rPr>
            <w:instrText xml:space="preserve"> PAGEREF _Toc7671 \h </w:instrText>
          </w:r>
          <w:r>
            <w:rPr>
              <w:sz w:val="28"/>
              <w:szCs w:val="21"/>
            </w:rPr>
            <w:fldChar w:fldCharType="separate"/>
          </w:r>
          <w:r>
            <w:rPr>
              <w:sz w:val="28"/>
              <w:szCs w:val="21"/>
            </w:rPr>
            <w:t>89</w:t>
          </w:r>
          <w:r>
            <w:rPr>
              <w:sz w:val="28"/>
              <w:szCs w:val="21"/>
            </w:rPr>
            <w:fldChar w:fldCharType="end"/>
          </w:r>
          <w:r>
            <w:rPr>
              <w:sz w:val="28"/>
              <w:szCs w:val="21"/>
            </w:rPr>
            <w:fldChar w:fldCharType="end"/>
          </w:r>
        </w:p>
        <w:p w14:paraId="396C99EB">
          <w:r>
            <w:fldChar w:fldCharType="end"/>
          </w:r>
        </w:p>
      </w:sdtContent>
    </w:sdt>
    <w:p w14:paraId="48D413A6"/>
    <w:p w14:paraId="4242972A">
      <w:pPr>
        <w:rPr>
          <w:rFonts w:hint="eastAsia" w:ascii="Times New Roman" w:hAnsi="Times New Roman" w:eastAsia="宋体" w:cs="Times New Roman"/>
          <w:b/>
          <w:color w:val="auto"/>
          <w:kern w:val="2"/>
          <w:sz w:val="28"/>
          <w:lang w:val="en-US" w:eastAsia="zh-CN" w:bidi="ar-SA"/>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F4530E6">
      <w:pPr>
        <w:bidi w:val="0"/>
        <w:jc w:val="center"/>
        <w:rPr>
          <w:rFonts w:hint="eastAsia" w:eastAsia="宋体"/>
          <w:b/>
          <w:bCs/>
          <w:sz w:val="28"/>
          <w:szCs w:val="21"/>
          <w:lang w:eastAsia="zh-CN"/>
        </w:rPr>
      </w:pPr>
      <w:bookmarkStart w:id="6" w:name="_Toc9122"/>
      <w:bookmarkStart w:id="7" w:name="_Toc31327"/>
      <w:bookmarkStart w:id="8" w:name="_Toc11519"/>
      <w:r>
        <w:rPr>
          <w:b/>
          <w:bCs/>
          <w:sz w:val="28"/>
          <w:szCs w:val="21"/>
        </w:rPr>
        <w:t>附图及附件</w:t>
      </w:r>
      <w:bookmarkEnd w:id="6"/>
      <w:bookmarkEnd w:id="7"/>
    </w:p>
    <w:p w14:paraId="4D731A81">
      <w:pPr>
        <w:keepNext w:val="0"/>
        <w:keepLines w:val="0"/>
        <w:pageBreakBefore w:val="0"/>
        <w:widowControl w:val="0"/>
        <w:tabs>
          <w:tab w:val="left" w:pos="5217"/>
        </w:tabs>
        <w:kinsoku/>
        <w:overflowPunct/>
        <w:topLinePunct w:val="0"/>
        <w:autoSpaceDE/>
        <w:autoSpaceDN/>
        <w:bidi w:val="0"/>
        <w:adjustRightInd/>
        <w:snapToGrid/>
        <w:spacing w:line="360" w:lineRule="auto"/>
        <w:ind w:left="480" w:hanging="482" w:hangingChars="200"/>
        <w:jc w:val="left"/>
        <w:textAlignment w:val="auto"/>
        <w:rPr>
          <w:b/>
          <w:bCs/>
          <w:color w:val="auto"/>
          <w:sz w:val="24"/>
          <w:szCs w:val="24"/>
          <w:lang w:val="zh-CN"/>
        </w:rPr>
      </w:pPr>
      <w:r>
        <w:rPr>
          <w:b/>
          <w:bCs/>
          <w:color w:val="auto"/>
          <w:sz w:val="24"/>
          <w:szCs w:val="24"/>
          <w:lang w:val="zh-CN"/>
        </w:rPr>
        <w:t>附图：</w:t>
      </w:r>
    </w:p>
    <w:p w14:paraId="393E6336">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附图1</w:t>
      </w:r>
      <w:r>
        <w:rPr>
          <w:rFonts w:hint="eastAsia"/>
          <w:b w:val="0"/>
          <w:bCs w:val="0"/>
          <w:color w:val="auto"/>
          <w:sz w:val="24"/>
          <w:szCs w:val="24"/>
          <w:lang w:val="en-US" w:eastAsia="zh-CN"/>
        </w:rPr>
        <w:t xml:space="preserve"> </w:t>
      </w:r>
      <w:r>
        <w:rPr>
          <w:rFonts w:hint="eastAsia"/>
          <w:b w:val="0"/>
          <w:bCs w:val="0"/>
          <w:color w:val="auto"/>
          <w:sz w:val="24"/>
          <w:szCs w:val="24"/>
          <w:lang w:val="zh-CN"/>
        </w:rPr>
        <w:t>项目地理位置图</w:t>
      </w:r>
    </w:p>
    <w:p w14:paraId="245F32DC">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en-US" w:eastAsia="zh-CN"/>
        </w:rPr>
      </w:pPr>
      <w:r>
        <w:rPr>
          <w:rFonts w:hint="eastAsia"/>
          <w:b w:val="0"/>
          <w:bCs w:val="0"/>
          <w:color w:val="auto"/>
          <w:sz w:val="24"/>
          <w:szCs w:val="24"/>
          <w:lang w:val="zh-CN"/>
        </w:rPr>
        <w:t xml:space="preserve">附图2 </w:t>
      </w:r>
      <w:r>
        <w:rPr>
          <w:rFonts w:hint="eastAsia"/>
          <w:b w:val="0"/>
          <w:bCs w:val="0"/>
          <w:color w:val="auto"/>
          <w:sz w:val="24"/>
          <w:szCs w:val="24"/>
          <w:lang w:val="en-US" w:eastAsia="zh-CN"/>
        </w:rPr>
        <w:t>园区控制性详细规划用地布局规划图</w:t>
      </w:r>
    </w:p>
    <w:p w14:paraId="5B935ACC">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en-US" w:eastAsia="zh-CN"/>
        </w:rPr>
        <w:t xml:space="preserve">附件3 </w:t>
      </w:r>
      <w:r>
        <w:rPr>
          <w:rFonts w:hint="eastAsia"/>
          <w:b w:val="0"/>
          <w:bCs w:val="0"/>
          <w:color w:val="auto"/>
          <w:sz w:val="24"/>
          <w:szCs w:val="24"/>
          <w:lang w:val="zh-CN"/>
        </w:rPr>
        <w:t>项目所在区域国土空间用地规划图</w:t>
      </w:r>
    </w:p>
    <w:p w14:paraId="739DAF15">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pPr>
      <w:r>
        <w:rPr>
          <w:rFonts w:hint="eastAsia"/>
          <w:b w:val="0"/>
          <w:bCs w:val="0"/>
          <w:color w:val="auto"/>
          <w:sz w:val="24"/>
          <w:szCs w:val="24"/>
          <w:lang w:val="zh-CN"/>
        </w:rPr>
        <w:t>附图</w:t>
      </w:r>
      <w:r>
        <w:rPr>
          <w:rFonts w:hint="eastAsia"/>
          <w:b w:val="0"/>
          <w:bCs w:val="0"/>
          <w:color w:val="auto"/>
          <w:sz w:val="24"/>
          <w:szCs w:val="24"/>
          <w:lang w:val="en-US" w:eastAsia="zh-CN"/>
        </w:rPr>
        <w:t>4</w:t>
      </w:r>
      <w:r>
        <w:rPr>
          <w:rFonts w:hint="eastAsia"/>
          <w:b w:val="0"/>
          <w:bCs w:val="0"/>
          <w:color w:val="auto"/>
          <w:sz w:val="24"/>
          <w:szCs w:val="24"/>
          <w:lang w:val="zh-CN"/>
        </w:rPr>
        <w:t xml:space="preserve"> 项目外环境关系图</w:t>
      </w:r>
    </w:p>
    <w:p w14:paraId="3A7DE182">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default" w:eastAsia="宋体"/>
          <w:b w:val="0"/>
          <w:bCs w:val="0"/>
          <w:color w:val="auto"/>
          <w:sz w:val="24"/>
          <w:szCs w:val="24"/>
          <w:lang w:val="en-US" w:eastAsia="zh-CN"/>
        </w:rPr>
      </w:pPr>
      <w:r>
        <w:rPr>
          <w:rFonts w:hint="eastAsia"/>
          <w:lang w:val="en-US" w:eastAsia="zh-CN"/>
        </w:rPr>
        <w:t xml:space="preserve">附图5 </w:t>
      </w:r>
      <w:r>
        <w:rPr>
          <w:rFonts w:hint="eastAsia"/>
          <w:b w:val="0"/>
          <w:bCs w:val="0"/>
          <w:color w:val="auto"/>
          <w:sz w:val="24"/>
          <w:szCs w:val="24"/>
          <w:lang w:val="zh-CN"/>
        </w:rPr>
        <w:t>项目</w:t>
      </w:r>
      <w:r>
        <w:rPr>
          <w:rFonts w:hint="eastAsia"/>
          <w:b w:val="0"/>
          <w:bCs w:val="0"/>
          <w:color w:val="auto"/>
          <w:sz w:val="24"/>
          <w:szCs w:val="24"/>
          <w:lang w:val="en-US" w:eastAsia="zh-CN"/>
        </w:rPr>
        <w:t>车间</w:t>
      </w:r>
      <w:r>
        <w:rPr>
          <w:rFonts w:hint="eastAsia"/>
          <w:b w:val="0"/>
          <w:bCs w:val="0"/>
          <w:color w:val="auto"/>
          <w:sz w:val="24"/>
          <w:szCs w:val="24"/>
          <w:lang w:val="zh-CN"/>
        </w:rPr>
        <w:t>平面布置图</w:t>
      </w:r>
    </w:p>
    <w:p w14:paraId="78AD7702">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附图6 项目现状监测布点图</w:t>
      </w:r>
    </w:p>
    <w:p w14:paraId="6A765230">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default" w:eastAsia="宋体"/>
          <w:b w:val="0"/>
          <w:bCs w:val="0"/>
          <w:color w:val="auto"/>
          <w:sz w:val="24"/>
          <w:szCs w:val="24"/>
          <w:lang w:val="en-US" w:eastAsia="zh-CN"/>
        </w:rPr>
      </w:pPr>
      <w:r>
        <w:rPr>
          <w:rFonts w:hint="eastAsia"/>
          <w:b w:val="0"/>
          <w:bCs w:val="0"/>
          <w:color w:val="auto"/>
          <w:sz w:val="24"/>
          <w:szCs w:val="24"/>
          <w:lang w:val="zh-CN"/>
        </w:rPr>
        <w:t>附图</w:t>
      </w:r>
      <w:r>
        <w:rPr>
          <w:rFonts w:hint="eastAsia"/>
          <w:b w:val="0"/>
          <w:bCs w:val="0"/>
          <w:color w:val="auto"/>
          <w:sz w:val="24"/>
          <w:szCs w:val="24"/>
          <w:lang w:val="en-US" w:eastAsia="zh-CN"/>
        </w:rPr>
        <w:t>7</w:t>
      </w:r>
      <w:r>
        <w:rPr>
          <w:rFonts w:hint="eastAsia"/>
          <w:b w:val="0"/>
          <w:bCs w:val="0"/>
          <w:color w:val="auto"/>
          <w:sz w:val="24"/>
          <w:szCs w:val="24"/>
          <w:lang w:val="zh-CN"/>
        </w:rPr>
        <w:t xml:space="preserve"> </w:t>
      </w:r>
      <w:r>
        <w:rPr>
          <w:rFonts w:hint="eastAsia"/>
          <w:b w:val="0"/>
          <w:bCs w:val="0"/>
          <w:color w:val="auto"/>
          <w:sz w:val="24"/>
          <w:szCs w:val="24"/>
          <w:lang w:val="en-US" w:eastAsia="zh-CN"/>
        </w:rPr>
        <w:t>项目跟踪监测布点图</w:t>
      </w:r>
    </w:p>
    <w:p w14:paraId="2C5F3B24">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000000" w:themeColor="text1"/>
          <w:sz w:val="24"/>
          <w:szCs w:val="24"/>
          <w:lang w:val="zh-CN"/>
          <w14:textFill>
            <w14:solidFill>
              <w14:schemeClr w14:val="tx1"/>
            </w14:solidFill>
          </w14:textFill>
        </w:rPr>
      </w:pPr>
      <w:r>
        <w:rPr>
          <w:rFonts w:hint="eastAsia"/>
          <w:b w:val="0"/>
          <w:bCs w:val="0"/>
          <w:color w:val="auto"/>
          <w:sz w:val="24"/>
          <w:szCs w:val="24"/>
          <w:lang w:val="en-US" w:eastAsia="zh-CN"/>
        </w:rPr>
        <w:t>附图8</w:t>
      </w:r>
      <w:r>
        <w:rPr>
          <w:rFonts w:hint="eastAsia"/>
          <w:lang w:val="en-US" w:eastAsia="zh-CN"/>
        </w:rPr>
        <w:t xml:space="preserve"> </w:t>
      </w:r>
      <w:r>
        <w:rPr>
          <w:rFonts w:hint="eastAsia"/>
          <w:b w:val="0"/>
          <w:bCs w:val="0"/>
          <w:color w:val="000000" w:themeColor="text1"/>
          <w:sz w:val="24"/>
          <w:szCs w:val="24"/>
          <w:lang w:val="zh-CN"/>
          <w14:textFill>
            <w14:solidFill>
              <w14:schemeClr w14:val="tx1"/>
            </w14:solidFill>
          </w14:textFill>
        </w:rPr>
        <w:t>项目生态环境管控单元分布图</w:t>
      </w:r>
    </w:p>
    <w:p w14:paraId="5FD70120">
      <w:pPr>
        <w:pStyle w:val="38"/>
        <w:keepNext w:val="0"/>
        <w:keepLines w:val="0"/>
        <w:pageBreakBefore w:val="0"/>
        <w:widowControl w:val="0"/>
        <w:kinsoku/>
        <w:wordWrap/>
        <w:overflowPunct/>
        <w:topLinePunct w:val="0"/>
        <w:autoSpaceDE/>
        <w:autoSpaceDN/>
        <w:bidi w:val="0"/>
        <w:adjustRightInd/>
        <w:snapToGrid/>
        <w:spacing w:line="240" w:lineRule="auto"/>
        <w:ind w:left="480" w:leftChars="0" w:hanging="480" w:hangingChars="200"/>
        <w:jc w:val="left"/>
        <w:textAlignment w:val="auto"/>
        <w:rPr>
          <w:color w:val="auto"/>
          <w:lang w:val="zh-CN"/>
        </w:rPr>
      </w:pPr>
    </w:p>
    <w:p w14:paraId="13BA33A7">
      <w:pPr>
        <w:pStyle w:val="38"/>
        <w:keepNext w:val="0"/>
        <w:keepLines w:val="0"/>
        <w:pageBreakBefore w:val="0"/>
        <w:widowControl w:val="0"/>
        <w:kinsoku/>
        <w:wordWrap/>
        <w:overflowPunct/>
        <w:topLinePunct w:val="0"/>
        <w:autoSpaceDE/>
        <w:autoSpaceDN/>
        <w:bidi w:val="0"/>
        <w:adjustRightInd/>
        <w:snapToGrid/>
        <w:spacing w:line="360" w:lineRule="auto"/>
        <w:ind w:left="482" w:leftChars="0" w:hanging="482" w:hangingChars="200"/>
        <w:jc w:val="left"/>
        <w:textAlignment w:val="auto"/>
        <w:rPr>
          <w:b/>
          <w:bCs/>
          <w:color w:val="auto"/>
          <w:lang w:val="zh-CN"/>
        </w:rPr>
      </w:pPr>
      <w:r>
        <w:rPr>
          <w:b/>
          <w:bCs/>
          <w:color w:val="auto"/>
          <w:lang w:val="zh-CN"/>
        </w:rPr>
        <w:t>附件：</w:t>
      </w:r>
    </w:p>
    <w:p w14:paraId="08CBD065">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附件1 委托书</w:t>
      </w:r>
    </w:p>
    <w:p w14:paraId="37188554">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pPr>
      <w:r>
        <w:rPr>
          <w:rFonts w:hint="eastAsia"/>
          <w:b w:val="0"/>
          <w:bCs w:val="0"/>
          <w:color w:val="auto"/>
          <w:sz w:val="24"/>
          <w:szCs w:val="24"/>
          <w:lang w:val="zh-CN"/>
        </w:rPr>
        <w:t>附件2</w:t>
      </w:r>
      <w:r>
        <w:rPr>
          <w:rFonts w:hint="eastAsia"/>
          <w:b w:val="0"/>
          <w:bCs w:val="0"/>
          <w:color w:val="auto"/>
          <w:sz w:val="24"/>
          <w:szCs w:val="24"/>
          <w:lang w:val="en-US" w:eastAsia="zh-CN"/>
        </w:rPr>
        <w:t xml:space="preserve"> </w:t>
      </w:r>
      <w:r>
        <w:rPr>
          <w:rFonts w:hint="eastAsia"/>
          <w:b w:val="0"/>
          <w:bCs w:val="0"/>
          <w:color w:val="auto"/>
          <w:sz w:val="24"/>
          <w:szCs w:val="24"/>
          <w:lang w:val="zh-CN"/>
        </w:rPr>
        <w:t>备案表</w:t>
      </w:r>
    </w:p>
    <w:p w14:paraId="27017A48">
      <w:pPr>
        <w:pStyle w:val="12"/>
        <w:ind w:left="0" w:leftChars="0" w:firstLine="0" w:firstLineChars="0"/>
        <w:rPr>
          <w:rFonts w:hint="eastAsia"/>
          <w:color w:val="auto"/>
          <w:szCs w:val="24"/>
          <w:lang w:val="zh-CN" w:eastAsia="zh-CN"/>
        </w:rPr>
      </w:pPr>
      <w:r>
        <w:rPr>
          <w:rFonts w:hint="eastAsia"/>
          <w:color w:val="auto"/>
          <w:szCs w:val="24"/>
          <w:lang w:val="zh-CN" w:eastAsia="zh-CN"/>
        </w:rPr>
        <w:t>附件3 入园证明</w:t>
      </w:r>
    </w:p>
    <w:p w14:paraId="0D1055C7">
      <w:pPr>
        <w:pStyle w:val="12"/>
        <w:ind w:left="0" w:leftChars="0" w:firstLine="0" w:firstLineChars="0"/>
        <w:rPr>
          <w:rFonts w:hint="eastAsia"/>
          <w:color w:val="auto"/>
          <w:szCs w:val="24"/>
          <w:lang w:val="zh-CN" w:eastAsia="zh-CN"/>
        </w:rPr>
      </w:pPr>
      <w:r>
        <w:rPr>
          <w:rFonts w:hint="eastAsia"/>
          <w:color w:val="auto"/>
          <w:szCs w:val="24"/>
          <w:lang w:val="zh-CN" w:eastAsia="zh-CN"/>
        </w:rPr>
        <w:t>附件4 污水纳管</w:t>
      </w:r>
      <w:r>
        <w:rPr>
          <w:rFonts w:hint="eastAsia"/>
          <w:color w:val="auto"/>
          <w:szCs w:val="24"/>
          <w:lang w:val="en-US" w:eastAsia="zh-CN"/>
        </w:rPr>
        <w:t>证明</w:t>
      </w:r>
    </w:p>
    <w:p w14:paraId="20CF564D">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附件</w:t>
      </w:r>
      <w:r>
        <w:rPr>
          <w:rFonts w:hint="eastAsia"/>
          <w:b w:val="0"/>
          <w:bCs w:val="0"/>
          <w:color w:val="auto"/>
          <w:sz w:val="24"/>
          <w:szCs w:val="24"/>
          <w:lang w:val="en-US" w:eastAsia="zh-CN"/>
        </w:rPr>
        <w:t>5</w:t>
      </w:r>
      <w:r>
        <w:rPr>
          <w:rFonts w:hint="eastAsia"/>
          <w:b w:val="0"/>
          <w:bCs w:val="0"/>
          <w:color w:val="auto"/>
          <w:sz w:val="24"/>
          <w:szCs w:val="24"/>
          <w:lang w:val="zh-CN"/>
        </w:rPr>
        <w:t xml:space="preserve"> </w:t>
      </w:r>
      <w:r>
        <w:rPr>
          <w:rFonts w:hint="eastAsia"/>
          <w:b w:val="0"/>
          <w:bCs w:val="0"/>
          <w:color w:val="auto"/>
          <w:sz w:val="24"/>
          <w:szCs w:val="24"/>
          <w:lang w:val="en-US" w:eastAsia="zh-CN"/>
        </w:rPr>
        <w:t>项目厂房</w:t>
      </w:r>
      <w:r>
        <w:rPr>
          <w:rFonts w:hint="eastAsia"/>
          <w:b w:val="0"/>
          <w:bCs w:val="0"/>
          <w:color w:val="auto"/>
          <w:sz w:val="24"/>
          <w:szCs w:val="24"/>
          <w:lang w:val="zh-CN"/>
        </w:rPr>
        <w:t>租赁</w:t>
      </w:r>
      <w:r>
        <w:rPr>
          <w:rFonts w:hint="eastAsia"/>
          <w:b w:val="0"/>
          <w:bCs w:val="0"/>
          <w:color w:val="auto"/>
          <w:sz w:val="24"/>
          <w:szCs w:val="24"/>
          <w:lang w:val="en-US" w:eastAsia="zh-CN"/>
        </w:rPr>
        <w:t>协议</w:t>
      </w:r>
    </w:p>
    <w:p w14:paraId="7E43AD63">
      <w:pPr>
        <w:tabs>
          <w:tab w:val="left" w:pos="5217"/>
        </w:tabs>
        <w:ind w:left="480" w:leftChars="0" w:hanging="480" w:hangingChars="200"/>
        <w:jc w:val="left"/>
        <w:rPr>
          <w:rFonts w:hint="eastAsia" w:ascii="Times New Roman" w:hAnsi="Times New Roman" w:eastAsia="宋体" w:cs="Times New Roman"/>
          <w:color w:val="auto"/>
          <w:szCs w:val="24"/>
          <w:lang w:val="en-US" w:eastAsia="zh-CN"/>
        </w:rPr>
      </w:pPr>
      <w:r>
        <w:rPr>
          <w:rFonts w:hint="eastAsia"/>
          <w:b w:val="0"/>
          <w:bCs w:val="0"/>
          <w:color w:val="auto"/>
          <w:sz w:val="24"/>
          <w:szCs w:val="24"/>
          <w:lang w:val="zh-CN"/>
        </w:rPr>
        <w:t>附件</w:t>
      </w:r>
      <w:r>
        <w:rPr>
          <w:rFonts w:hint="eastAsia"/>
          <w:b w:val="0"/>
          <w:bCs w:val="0"/>
          <w:color w:val="auto"/>
          <w:sz w:val="24"/>
          <w:szCs w:val="24"/>
          <w:lang w:val="en-US" w:eastAsia="zh-CN"/>
        </w:rPr>
        <w:t>6</w:t>
      </w:r>
      <w:r>
        <w:rPr>
          <w:rFonts w:hint="eastAsia"/>
          <w:b w:val="0"/>
          <w:bCs w:val="0"/>
          <w:color w:val="auto"/>
          <w:sz w:val="24"/>
          <w:szCs w:val="24"/>
          <w:lang w:val="zh-CN"/>
        </w:rPr>
        <w:t xml:space="preserve"> </w:t>
      </w:r>
      <w:r>
        <w:rPr>
          <w:rFonts w:hint="eastAsia" w:ascii="Times New Roman" w:hAnsi="Times New Roman" w:cs="Times New Roman"/>
          <w:color w:val="auto"/>
          <w:szCs w:val="24"/>
          <w:lang w:val="en-US" w:eastAsia="zh-CN"/>
        </w:rPr>
        <w:t>四川省环境保护厅关于印发《达州市农产品加工集中区规划环境影响报告书》审查意见的函（川环建函</w:t>
      </w:r>
      <w:r>
        <w:rPr>
          <w:rFonts w:hint="eastAsia"/>
          <w:b w:val="0"/>
          <w:bCs w:val="0"/>
          <w:color w:val="auto"/>
          <w:sz w:val="24"/>
          <w:szCs w:val="24"/>
          <w:lang w:val="zh-CN" w:eastAsia="zh-CN"/>
        </w:rPr>
        <w:t>〔20</w:t>
      </w:r>
      <w:r>
        <w:rPr>
          <w:rFonts w:hint="eastAsia"/>
          <w:b w:val="0"/>
          <w:bCs w:val="0"/>
          <w:color w:val="auto"/>
          <w:sz w:val="24"/>
          <w:szCs w:val="24"/>
          <w:lang w:val="en-US" w:eastAsia="zh-CN"/>
        </w:rPr>
        <w:t>13</w:t>
      </w:r>
      <w:r>
        <w:rPr>
          <w:rFonts w:hint="eastAsia"/>
          <w:b w:val="0"/>
          <w:bCs w:val="0"/>
          <w:color w:val="auto"/>
          <w:sz w:val="24"/>
          <w:szCs w:val="24"/>
          <w:lang w:val="zh-CN" w:eastAsia="zh-CN"/>
        </w:rPr>
        <w:t>〕</w:t>
      </w:r>
      <w:r>
        <w:rPr>
          <w:rFonts w:hint="eastAsia" w:ascii="Times New Roman" w:hAnsi="Times New Roman" w:cs="Times New Roman"/>
          <w:color w:val="auto"/>
          <w:szCs w:val="24"/>
          <w:lang w:val="en-US" w:eastAsia="zh-CN"/>
        </w:rPr>
        <w:t>66号）</w:t>
      </w:r>
    </w:p>
    <w:p w14:paraId="23EED4AA">
      <w:pPr>
        <w:tabs>
          <w:tab w:val="left" w:pos="5217"/>
        </w:tabs>
        <w:ind w:left="480" w:leftChars="0" w:hanging="480" w:hangingChars="200"/>
        <w:jc w:val="left"/>
        <w:rPr>
          <w:rFonts w:hint="eastAsia"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 xml:space="preserve">附件7 </w:t>
      </w:r>
      <w:r>
        <w:rPr>
          <w:rFonts w:hint="eastAsia"/>
          <w:b w:val="0"/>
          <w:bCs w:val="0"/>
          <w:color w:val="auto"/>
          <w:sz w:val="24"/>
          <w:szCs w:val="24"/>
          <w:lang w:val="zh-CN"/>
        </w:rPr>
        <w:t>《达州市人民政府关于达州市通川区工业集中区总体规划的批复</w:t>
      </w:r>
      <w:r>
        <w:rPr>
          <w:rFonts w:hint="eastAsia"/>
          <w:b w:val="0"/>
          <w:bCs w:val="0"/>
          <w:color w:val="auto"/>
          <w:sz w:val="24"/>
          <w:szCs w:val="24"/>
          <w:lang w:val="zh-CN" w:eastAsia="zh-CN"/>
        </w:rPr>
        <w:t>》（达市府函〔20</w:t>
      </w:r>
      <w:r>
        <w:rPr>
          <w:rFonts w:hint="eastAsia"/>
          <w:b w:val="0"/>
          <w:bCs w:val="0"/>
          <w:color w:val="auto"/>
          <w:sz w:val="24"/>
          <w:szCs w:val="24"/>
          <w:lang w:val="en-US" w:eastAsia="zh-CN"/>
        </w:rPr>
        <w:t>14</w:t>
      </w:r>
      <w:r>
        <w:rPr>
          <w:rFonts w:hint="eastAsia"/>
          <w:b w:val="0"/>
          <w:bCs w:val="0"/>
          <w:color w:val="auto"/>
          <w:sz w:val="24"/>
          <w:szCs w:val="24"/>
          <w:lang w:val="zh-CN" w:eastAsia="zh-CN"/>
        </w:rPr>
        <w:t>〕251号）</w:t>
      </w:r>
    </w:p>
    <w:p w14:paraId="39A8C933">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hanging="480" w:hangingChars="200"/>
        <w:jc w:val="left"/>
        <w:textAlignment w:val="auto"/>
        <w:rPr>
          <w:rFonts w:hint="eastAsia" w:ascii="Times New Roman" w:hAnsi="Times New Roman" w:eastAsia="宋体" w:cs="Times New Roman"/>
          <w:b w:val="0"/>
          <w:bCs w:val="0"/>
          <w:color w:val="auto"/>
          <w:sz w:val="24"/>
          <w:szCs w:val="24"/>
          <w:lang w:val="zh-CN" w:eastAsia="zh-CN"/>
        </w:rPr>
      </w:pPr>
      <w:r>
        <w:rPr>
          <w:rFonts w:hint="eastAsia"/>
          <w:color w:val="auto"/>
          <w:szCs w:val="24"/>
          <w:lang w:val="zh-CN" w:eastAsia="zh-CN"/>
        </w:rPr>
        <w:t>附件</w:t>
      </w:r>
      <w:r>
        <w:rPr>
          <w:rFonts w:hint="eastAsia" w:ascii="Times New Roman" w:hAnsi="Times New Roman" w:cs="Times New Roman"/>
          <w:color w:val="auto"/>
          <w:szCs w:val="24"/>
          <w:lang w:val="en-US" w:eastAsia="zh-CN"/>
        </w:rPr>
        <w:t>8</w:t>
      </w:r>
      <w:r>
        <w:rPr>
          <w:rFonts w:hint="eastAsia"/>
          <w:color w:val="auto"/>
          <w:szCs w:val="24"/>
          <w:lang w:val="zh-CN" w:eastAsia="zh-CN"/>
        </w:rPr>
        <w:t xml:space="preserve"> </w:t>
      </w:r>
      <w:r>
        <w:rPr>
          <w:rFonts w:hint="eastAsia" w:ascii="Times New Roman" w:hAnsi="Times New Roman" w:eastAsia="宋体" w:cs="Times New Roman"/>
          <w:b w:val="0"/>
          <w:bCs w:val="0"/>
          <w:color w:val="auto"/>
          <w:sz w:val="24"/>
          <w:szCs w:val="24"/>
          <w:lang w:val="zh-CN" w:eastAsia="zh-CN"/>
        </w:rPr>
        <w:t>《达州市农产品加工集中区规划环境影响跟踪评价报告书》专家论证意见</w:t>
      </w:r>
      <w:r>
        <w:rPr>
          <w:rFonts w:hint="eastAsia" w:cs="Times New Roman"/>
          <w:b w:val="0"/>
          <w:bCs w:val="0"/>
          <w:color w:val="auto"/>
          <w:sz w:val="24"/>
          <w:szCs w:val="24"/>
          <w:lang w:val="zh-CN" w:eastAsia="zh-CN"/>
        </w:rPr>
        <w:t>（</w:t>
      </w:r>
      <w:r>
        <w:rPr>
          <w:rFonts w:hint="eastAsia" w:ascii="Times New Roman" w:hAnsi="Times New Roman" w:eastAsia="宋体" w:cs="Times New Roman"/>
          <w:b w:val="0"/>
          <w:bCs w:val="0"/>
          <w:color w:val="auto"/>
          <w:sz w:val="24"/>
          <w:szCs w:val="24"/>
          <w:lang w:val="zh-CN" w:eastAsia="zh-CN"/>
        </w:rPr>
        <w:t>2021年3月31日</w:t>
      </w:r>
      <w:r>
        <w:rPr>
          <w:rFonts w:hint="eastAsia" w:cs="Times New Roman"/>
          <w:b w:val="0"/>
          <w:bCs w:val="0"/>
          <w:color w:val="auto"/>
          <w:sz w:val="24"/>
          <w:szCs w:val="24"/>
          <w:lang w:val="zh-CN" w:eastAsia="zh-CN"/>
        </w:rPr>
        <w:t>）</w:t>
      </w:r>
    </w:p>
    <w:p w14:paraId="5FC8EB99">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附件</w:t>
      </w:r>
      <w:r>
        <w:rPr>
          <w:rFonts w:hint="eastAsia"/>
          <w:b w:val="0"/>
          <w:bCs w:val="0"/>
          <w:color w:val="auto"/>
          <w:sz w:val="24"/>
          <w:szCs w:val="24"/>
          <w:lang w:val="en-US" w:eastAsia="zh-CN"/>
        </w:rPr>
        <w:t>9</w:t>
      </w:r>
      <w:r>
        <w:rPr>
          <w:rFonts w:hint="eastAsia"/>
          <w:b w:val="0"/>
          <w:bCs w:val="0"/>
          <w:color w:val="auto"/>
          <w:sz w:val="24"/>
          <w:szCs w:val="24"/>
          <w:lang w:val="zh-CN"/>
        </w:rPr>
        <w:t xml:space="preserve"> 卡夫特K-9392单组份环氧胶粘剂</w:t>
      </w:r>
      <w:r>
        <w:rPr>
          <w:rFonts w:hint="eastAsia"/>
          <w:b w:val="0"/>
          <w:bCs w:val="0"/>
          <w:color w:val="auto"/>
          <w:sz w:val="24"/>
          <w:szCs w:val="24"/>
          <w:lang w:val="en-US" w:eastAsia="zh-CN"/>
        </w:rPr>
        <w:t>安全数据表</w:t>
      </w:r>
    </w:p>
    <w:p w14:paraId="78B84F28">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en-US" w:eastAsia="zh-CN"/>
        </w:rPr>
        <w:t xml:space="preserve">附件10 </w:t>
      </w:r>
      <w:r>
        <w:rPr>
          <w:rFonts w:hint="eastAsia"/>
          <w:b w:val="0"/>
          <w:bCs w:val="0"/>
          <w:color w:val="auto"/>
          <w:sz w:val="24"/>
          <w:szCs w:val="24"/>
          <w:lang w:val="zh-CN"/>
        </w:rPr>
        <w:t>卡夫特K-9392单组份环氧胶粘剂VOCs</w:t>
      </w:r>
      <w:r>
        <w:rPr>
          <w:rFonts w:hint="eastAsia"/>
          <w:b w:val="0"/>
          <w:bCs w:val="0"/>
          <w:color w:val="auto"/>
          <w:sz w:val="24"/>
          <w:szCs w:val="24"/>
          <w:lang w:val="en-US" w:eastAsia="zh-CN"/>
        </w:rPr>
        <w:t>含量测定</w:t>
      </w:r>
      <w:r>
        <w:rPr>
          <w:rFonts w:hint="eastAsia"/>
          <w:b w:val="0"/>
          <w:bCs w:val="0"/>
          <w:color w:val="auto"/>
          <w:sz w:val="24"/>
          <w:szCs w:val="24"/>
          <w:lang w:val="zh-CN"/>
        </w:rPr>
        <w:t>报告</w:t>
      </w:r>
    </w:p>
    <w:p w14:paraId="2342B722">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default"/>
          <w:b w:val="0"/>
          <w:bCs w:val="0"/>
          <w:color w:val="auto"/>
          <w:sz w:val="24"/>
          <w:szCs w:val="24"/>
          <w:lang w:val="en-US"/>
        </w:rPr>
      </w:pPr>
      <w:r>
        <w:rPr>
          <w:rFonts w:hint="eastAsia"/>
          <w:b w:val="0"/>
          <w:bCs w:val="0"/>
          <w:color w:val="auto"/>
          <w:sz w:val="24"/>
          <w:szCs w:val="24"/>
          <w:lang w:val="zh-CN"/>
        </w:rPr>
        <w:t>附件</w:t>
      </w:r>
      <w:r>
        <w:rPr>
          <w:rFonts w:hint="eastAsia"/>
          <w:b w:val="0"/>
          <w:bCs w:val="0"/>
          <w:color w:val="auto"/>
          <w:sz w:val="24"/>
          <w:szCs w:val="24"/>
          <w:lang w:val="en-US" w:eastAsia="zh-CN"/>
        </w:rPr>
        <w:t>11</w:t>
      </w:r>
      <w:r>
        <w:rPr>
          <w:rFonts w:hint="eastAsia"/>
          <w:b w:val="0"/>
          <w:bCs w:val="0"/>
          <w:color w:val="auto"/>
          <w:sz w:val="24"/>
          <w:szCs w:val="24"/>
          <w:lang w:val="zh-CN"/>
        </w:rPr>
        <w:t xml:space="preserve"> 氢封5885单组分改性聚硅氧烷封装剂</w:t>
      </w:r>
      <w:r>
        <w:rPr>
          <w:rFonts w:hint="eastAsia"/>
          <w:b w:val="0"/>
          <w:bCs w:val="0"/>
          <w:color w:val="auto"/>
          <w:sz w:val="24"/>
          <w:szCs w:val="24"/>
          <w:lang w:val="en-US" w:eastAsia="zh-CN"/>
        </w:rPr>
        <w:t>胶粘剂安全技术说明书</w:t>
      </w:r>
    </w:p>
    <w:p w14:paraId="3A924900">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en-US" w:eastAsia="zh-CN"/>
        </w:rPr>
        <w:t xml:space="preserve">附件12 </w:t>
      </w:r>
      <w:r>
        <w:rPr>
          <w:rFonts w:hint="eastAsia"/>
          <w:b w:val="0"/>
          <w:bCs w:val="0"/>
          <w:color w:val="auto"/>
          <w:sz w:val="24"/>
          <w:szCs w:val="24"/>
          <w:lang w:val="zh-CN"/>
        </w:rPr>
        <w:t>氢封5885单组分改性聚硅氧烷封装剂</w:t>
      </w:r>
      <w:r>
        <w:rPr>
          <w:rFonts w:hint="eastAsia"/>
          <w:b w:val="0"/>
          <w:bCs w:val="0"/>
          <w:color w:val="auto"/>
          <w:sz w:val="24"/>
          <w:szCs w:val="24"/>
          <w:lang w:val="en-US" w:eastAsia="zh-CN"/>
        </w:rPr>
        <w:t>胶粘剂</w:t>
      </w:r>
      <w:r>
        <w:rPr>
          <w:rFonts w:hint="eastAsia"/>
          <w:b w:val="0"/>
          <w:bCs w:val="0"/>
          <w:color w:val="auto"/>
          <w:sz w:val="24"/>
          <w:szCs w:val="24"/>
          <w:lang w:val="zh-CN"/>
        </w:rPr>
        <w:t>VOCs</w:t>
      </w:r>
      <w:r>
        <w:rPr>
          <w:rFonts w:hint="eastAsia"/>
          <w:b w:val="0"/>
          <w:bCs w:val="0"/>
          <w:color w:val="auto"/>
          <w:sz w:val="24"/>
          <w:szCs w:val="24"/>
          <w:lang w:val="en-US" w:eastAsia="zh-CN"/>
        </w:rPr>
        <w:t>含量测定</w:t>
      </w:r>
      <w:r>
        <w:rPr>
          <w:rFonts w:hint="eastAsia"/>
          <w:b w:val="0"/>
          <w:bCs w:val="0"/>
          <w:color w:val="auto"/>
          <w:sz w:val="24"/>
          <w:szCs w:val="24"/>
          <w:lang w:val="zh-CN"/>
        </w:rPr>
        <w:t>报告</w:t>
      </w:r>
    </w:p>
    <w:p w14:paraId="463168FF">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附件</w:t>
      </w:r>
      <w:r>
        <w:rPr>
          <w:rFonts w:hint="eastAsia"/>
          <w:b w:val="0"/>
          <w:bCs w:val="0"/>
          <w:color w:val="auto"/>
          <w:sz w:val="24"/>
          <w:szCs w:val="24"/>
          <w:lang w:val="en-US" w:eastAsia="zh-CN"/>
        </w:rPr>
        <w:t xml:space="preserve">13 </w:t>
      </w:r>
      <w:r>
        <w:rPr>
          <w:rFonts w:hint="eastAsia"/>
          <w:b w:val="0"/>
          <w:bCs w:val="0"/>
          <w:color w:val="auto"/>
          <w:sz w:val="24"/>
          <w:szCs w:val="24"/>
          <w:lang w:val="zh-CN"/>
        </w:rPr>
        <w:t>环境</w:t>
      </w:r>
      <w:r>
        <w:rPr>
          <w:rFonts w:hint="eastAsia"/>
          <w:b w:val="0"/>
          <w:bCs w:val="0"/>
          <w:color w:val="auto"/>
          <w:sz w:val="24"/>
          <w:szCs w:val="24"/>
          <w:lang w:val="en-US" w:eastAsia="zh-CN"/>
        </w:rPr>
        <w:t>现状</w:t>
      </w:r>
      <w:r>
        <w:rPr>
          <w:rFonts w:hint="eastAsia"/>
          <w:b w:val="0"/>
          <w:bCs w:val="0"/>
          <w:color w:val="auto"/>
          <w:sz w:val="24"/>
          <w:szCs w:val="24"/>
          <w:lang w:val="zh-CN"/>
        </w:rPr>
        <w:t>监测报告</w:t>
      </w:r>
    </w:p>
    <w:p w14:paraId="6E6FA896">
      <w:pPr>
        <w:pStyle w:val="12"/>
        <w:ind w:left="0" w:leftChars="0" w:firstLine="0" w:firstLineChars="0"/>
        <w:rPr>
          <w:rFonts w:hint="eastAsia"/>
          <w:b w:val="0"/>
          <w:bCs w:val="0"/>
          <w:color w:val="auto"/>
          <w:sz w:val="24"/>
          <w:szCs w:val="24"/>
          <w:lang w:val="en-US" w:eastAsia="zh-CN"/>
        </w:rPr>
      </w:pPr>
      <w:r>
        <w:rPr>
          <w:rFonts w:hint="eastAsia"/>
          <w:b w:val="0"/>
          <w:bCs w:val="0"/>
          <w:color w:val="auto"/>
          <w:sz w:val="24"/>
          <w:szCs w:val="24"/>
          <w:lang w:val="en-US" w:eastAsia="zh-CN"/>
        </w:rPr>
        <w:t>附件14 项目分区管控查询报告</w:t>
      </w:r>
    </w:p>
    <w:p w14:paraId="44F9FAB4">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eastAsia"/>
          <w:b w:val="0"/>
          <w:bCs w:val="0"/>
          <w:color w:val="auto"/>
          <w:sz w:val="24"/>
          <w:szCs w:val="24"/>
          <w:lang w:val="zh-CN"/>
        </w:rPr>
      </w:pPr>
      <w:r>
        <w:rPr>
          <w:rFonts w:hint="eastAsia"/>
          <w:b w:val="0"/>
          <w:bCs w:val="0"/>
          <w:color w:val="auto"/>
          <w:sz w:val="24"/>
          <w:szCs w:val="24"/>
          <w:lang w:val="zh-CN"/>
        </w:rPr>
        <w:t>附件</w:t>
      </w:r>
      <w:r>
        <w:rPr>
          <w:rFonts w:hint="eastAsia"/>
          <w:b w:val="0"/>
          <w:bCs w:val="0"/>
          <w:color w:val="auto"/>
          <w:sz w:val="24"/>
          <w:szCs w:val="24"/>
          <w:lang w:val="en-US" w:eastAsia="zh-CN"/>
        </w:rPr>
        <w:t>15</w:t>
      </w:r>
      <w:r>
        <w:rPr>
          <w:rFonts w:hint="eastAsia"/>
          <w:b w:val="0"/>
          <w:bCs w:val="0"/>
          <w:color w:val="auto"/>
          <w:sz w:val="24"/>
          <w:szCs w:val="24"/>
          <w:lang w:val="zh-CN"/>
        </w:rPr>
        <w:t xml:space="preserve"> </w:t>
      </w:r>
      <w:r>
        <w:rPr>
          <w:rFonts w:hint="eastAsia"/>
          <w:b w:val="0"/>
          <w:bCs w:val="0"/>
          <w:color w:val="auto"/>
          <w:sz w:val="24"/>
          <w:szCs w:val="24"/>
          <w:lang w:val="zh-CN" w:eastAsia="zh-CN"/>
        </w:rPr>
        <w:t>公司营业执照及法人身份证复印件</w:t>
      </w:r>
    </w:p>
    <w:p w14:paraId="4D20C4DD">
      <w:pPr>
        <w:keepNext w:val="0"/>
        <w:keepLines w:val="0"/>
        <w:pageBreakBefore w:val="0"/>
        <w:widowControl w:val="0"/>
        <w:tabs>
          <w:tab w:val="left" w:pos="5217"/>
        </w:tabs>
        <w:kinsoku/>
        <w:wordWrap w:val="0"/>
        <w:overflowPunct/>
        <w:topLinePunct w:val="0"/>
        <w:autoSpaceDE/>
        <w:autoSpaceDN/>
        <w:bidi w:val="0"/>
        <w:adjustRightInd/>
        <w:snapToGrid/>
        <w:spacing w:line="360" w:lineRule="auto"/>
        <w:ind w:left="480" w:leftChars="0" w:hanging="480" w:hangingChars="200"/>
        <w:jc w:val="left"/>
        <w:textAlignment w:val="auto"/>
        <w:rPr>
          <w:rFonts w:hint="default" w:eastAsia="宋体"/>
          <w:b w:val="0"/>
          <w:bCs w:val="0"/>
          <w:color w:val="auto"/>
          <w:sz w:val="24"/>
          <w:szCs w:val="24"/>
          <w:lang w:val="en-US" w:eastAsia="zh-CN"/>
        </w:rPr>
        <w:sectPr>
          <w:footerReference r:id="rId14" w:type="first"/>
          <w:headerReference r:id="rId11" w:type="default"/>
          <w:footerReference r:id="rId12" w:type="default"/>
          <w:footerReference r:id="rId13" w:type="even"/>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docGrid w:type="lines" w:linePitch="312" w:charSpace="0"/>
        </w:sectPr>
      </w:pPr>
    </w:p>
    <w:p w14:paraId="59DEBA8A">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outlineLvl w:val="1"/>
        <w:rPr>
          <w:rFonts w:ascii="Times New Roman" w:hAnsi="Times New Roman" w:eastAsia="宋体" w:cs="Times New Roman"/>
          <w:b/>
          <w:color w:val="auto"/>
          <w:kern w:val="2"/>
          <w:sz w:val="28"/>
          <w:lang w:val="en-US" w:eastAsia="zh-CN" w:bidi="ar-SA"/>
        </w:rPr>
      </w:pPr>
      <w:bookmarkStart w:id="9" w:name="_Toc26175"/>
      <w:bookmarkStart w:id="10" w:name="_Toc18679"/>
      <w:bookmarkStart w:id="11" w:name="_Toc20965"/>
      <w:bookmarkStart w:id="12" w:name="_Toc30934"/>
      <w:r>
        <w:rPr>
          <w:rFonts w:hint="eastAsia" w:ascii="Times New Roman" w:hAnsi="Times New Roman" w:eastAsia="宋体" w:cs="Times New Roman"/>
          <w:b/>
          <w:color w:val="auto"/>
          <w:kern w:val="2"/>
          <w:sz w:val="28"/>
          <w:lang w:val="en-US" w:eastAsia="zh-CN" w:bidi="ar-SA"/>
        </w:rPr>
        <w:t>一、建设项目基本情况</w:t>
      </w:r>
      <w:bookmarkEnd w:id="8"/>
      <w:bookmarkEnd w:id="9"/>
      <w:bookmarkEnd w:id="10"/>
      <w:bookmarkEnd w:id="11"/>
      <w:bookmarkEnd w:id="12"/>
    </w:p>
    <w:tbl>
      <w:tblPr>
        <w:tblStyle w:val="30"/>
        <w:tblW w:w="9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29"/>
        <w:gridCol w:w="1936"/>
        <w:gridCol w:w="2130"/>
        <w:gridCol w:w="3676"/>
      </w:tblGrid>
      <w:tr w14:paraId="65BB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83" w:type="dxa"/>
            <w:gridSpan w:val="2"/>
            <w:vAlign w:val="center"/>
          </w:tcPr>
          <w:p w14:paraId="2543CE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t>建设项目名称</w:t>
            </w:r>
          </w:p>
        </w:tc>
        <w:tc>
          <w:tcPr>
            <w:tcW w:w="7742" w:type="dxa"/>
            <w:gridSpan w:val="3"/>
            <w:vAlign w:val="center"/>
          </w:tcPr>
          <w:p w14:paraId="3C578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4"/>
                <w:szCs w:val="24"/>
                <w:highlight w:val="yellow"/>
                <w:lang w:eastAsia="zh-CN"/>
              </w:rPr>
            </w:pPr>
            <w:r>
              <w:rPr>
                <w:rFonts w:hint="eastAsia" w:eastAsia="宋体"/>
                <w:color w:val="auto"/>
                <w:sz w:val="24"/>
                <w:szCs w:val="24"/>
                <w:highlight w:val="none"/>
                <w:lang w:eastAsia="zh-CN"/>
              </w:rPr>
              <w:t>氢能动力系统改建项目</w:t>
            </w:r>
          </w:p>
        </w:tc>
      </w:tr>
      <w:tr w14:paraId="6C43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783" w:type="dxa"/>
            <w:gridSpan w:val="2"/>
            <w:vAlign w:val="center"/>
          </w:tcPr>
          <w:p w14:paraId="14625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项目代码</w:t>
            </w:r>
          </w:p>
        </w:tc>
        <w:tc>
          <w:tcPr>
            <w:tcW w:w="7742" w:type="dxa"/>
            <w:gridSpan w:val="3"/>
            <w:vAlign w:val="center"/>
          </w:tcPr>
          <w:p w14:paraId="2D188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highlight w:val="yellow"/>
                <w:lang w:val="en-US" w:eastAsia="zh-CN" w:bidi="ar-SA"/>
              </w:rPr>
            </w:pPr>
            <w:r>
              <w:rPr>
                <w:rFonts w:hint="eastAsia" w:ascii="Times New Roman" w:hAnsi="Times New Roman" w:eastAsia="宋体" w:cs="Times New Roman"/>
                <w:color w:val="auto"/>
                <w:kern w:val="24"/>
                <w:sz w:val="24"/>
                <w:highlight w:val="none"/>
                <w:lang w:val="en-US" w:eastAsia="zh-CN" w:bidi="ar-SA"/>
              </w:rPr>
              <w:t>2511-511702-07-02-331218</w:t>
            </w:r>
          </w:p>
        </w:tc>
      </w:tr>
      <w:tr w14:paraId="6524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3" w:type="dxa"/>
            <w:gridSpan w:val="2"/>
            <w:vAlign w:val="center"/>
          </w:tcPr>
          <w:p w14:paraId="3E770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建设单位</w:t>
            </w:r>
          </w:p>
          <w:p w14:paraId="07F24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联系人</w:t>
            </w:r>
          </w:p>
        </w:tc>
        <w:tc>
          <w:tcPr>
            <w:tcW w:w="1936" w:type="dxa"/>
            <w:vAlign w:val="center"/>
          </w:tcPr>
          <w:p w14:paraId="4A7916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安大鹏</w:t>
            </w:r>
          </w:p>
        </w:tc>
        <w:tc>
          <w:tcPr>
            <w:tcW w:w="2130" w:type="dxa"/>
            <w:vAlign w:val="center"/>
          </w:tcPr>
          <w:p w14:paraId="43FD6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联系方式</w:t>
            </w:r>
          </w:p>
        </w:tc>
        <w:tc>
          <w:tcPr>
            <w:tcW w:w="3676" w:type="dxa"/>
            <w:vAlign w:val="center"/>
          </w:tcPr>
          <w:p w14:paraId="42939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135</w:t>
            </w:r>
            <w:r>
              <w:rPr>
                <w:rFonts w:hint="eastAsia" w:cs="Times New Roman"/>
                <w:color w:val="auto"/>
                <w:kern w:val="24"/>
                <w:sz w:val="24"/>
                <w:lang w:val="en-US" w:eastAsia="zh-CN" w:bidi="ar-SA"/>
              </w:rPr>
              <w:t>****</w:t>
            </w:r>
            <w:r>
              <w:rPr>
                <w:rFonts w:hint="eastAsia" w:ascii="Times New Roman" w:hAnsi="Times New Roman" w:eastAsia="宋体" w:cs="Times New Roman"/>
                <w:color w:val="auto"/>
                <w:kern w:val="24"/>
                <w:sz w:val="24"/>
                <w:lang w:val="en-US" w:eastAsia="zh-CN" w:bidi="ar-SA"/>
              </w:rPr>
              <w:t>0127</w:t>
            </w:r>
          </w:p>
        </w:tc>
      </w:tr>
      <w:tr w14:paraId="28F4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83" w:type="dxa"/>
            <w:gridSpan w:val="2"/>
            <w:vAlign w:val="center"/>
          </w:tcPr>
          <w:p w14:paraId="6D8ED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建设地点</w:t>
            </w:r>
          </w:p>
        </w:tc>
        <w:tc>
          <w:tcPr>
            <w:tcW w:w="7742" w:type="dxa"/>
            <w:gridSpan w:val="3"/>
            <w:vAlign w:val="center"/>
          </w:tcPr>
          <w:p w14:paraId="3E6805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u w:val="single"/>
                <w:lang w:val="en-US" w:eastAsia="zh-CN" w:bidi="ar-SA"/>
              </w:rPr>
              <w:t>四川</w:t>
            </w:r>
            <w:r>
              <w:rPr>
                <w:rFonts w:hint="eastAsia" w:ascii="Times New Roman" w:hAnsi="Times New Roman" w:eastAsia="宋体" w:cs="Times New Roman"/>
                <w:color w:val="auto"/>
                <w:kern w:val="24"/>
                <w:sz w:val="24"/>
                <w:lang w:val="en-US" w:eastAsia="zh-CN" w:bidi="ar-SA"/>
              </w:rPr>
              <w:t>省</w:t>
            </w:r>
            <w:r>
              <w:rPr>
                <w:rFonts w:hint="eastAsia" w:ascii="Times New Roman" w:hAnsi="Times New Roman" w:eastAsia="宋体" w:cs="Times New Roman"/>
                <w:color w:val="auto"/>
                <w:kern w:val="24"/>
                <w:sz w:val="24"/>
                <w:u w:val="single"/>
                <w:lang w:val="en-US" w:eastAsia="zh-CN" w:bidi="ar-SA"/>
              </w:rPr>
              <w:t>达州</w:t>
            </w:r>
            <w:r>
              <w:rPr>
                <w:rFonts w:hint="eastAsia" w:ascii="Times New Roman" w:hAnsi="Times New Roman" w:eastAsia="宋体" w:cs="Times New Roman"/>
                <w:color w:val="auto"/>
                <w:kern w:val="24"/>
                <w:sz w:val="24"/>
                <w:lang w:val="en-US" w:eastAsia="zh-CN" w:bidi="ar-SA"/>
              </w:rPr>
              <w:t>市</w:t>
            </w:r>
            <w:r>
              <w:rPr>
                <w:rFonts w:hint="eastAsia" w:ascii="Times New Roman" w:hAnsi="Times New Roman" w:eastAsia="宋体" w:cs="Times New Roman"/>
                <w:color w:val="auto"/>
                <w:kern w:val="24"/>
                <w:sz w:val="24"/>
                <w:u w:val="single"/>
                <w:lang w:val="en-US" w:eastAsia="zh-CN" w:bidi="ar-SA"/>
              </w:rPr>
              <w:t>通川经开</w:t>
            </w:r>
            <w:r>
              <w:rPr>
                <w:rFonts w:hint="eastAsia" w:ascii="Times New Roman" w:hAnsi="Times New Roman" w:eastAsia="宋体" w:cs="Times New Roman"/>
                <w:color w:val="auto"/>
                <w:kern w:val="24"/>
                <w:sz w:val="24"/>
                <w:lang w:val="en-US" w:eastAsia="zh-CN" w:bidi="ar-SA"/>
              </w:rPr>
              <w:t>区</w:t>
            </w:r>
            <w:r>
              <w:rPr>
                <w:rFonts w:hint="eastAsia" w:ascii="Times New Roman" w:hAnsi="Times New Roman" w:eastAsia="宋体" w:cs="Times New Roman"/>
                <w:color w:val="auto"/>
                <w:kern w:val="24"/>
                <w:sz w:val="24"/>
                <w:u w:val="single"/>
                <w:lang w:val="en-US" w:eastAsia="zh-CN" w:bidi="ar-SA"/>
              </w:rPr>
              <w:t>魏兴大道1号</w:t>
            </w:r>
          </w:p>
        </w:tc>
      </w:tr>
      <w:tr w14:paraId="6712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83" w:type="dxa"/>
            <w:gridSpan w:val="2"/>
            <w:vAlign w:val="center"/>
          </w:tcPr>
          <w:p w14:paraId="4250B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地理坐标</w:t>
            </w:r>
          </w:p>
        </w:tc>
        <w:tc>
          <w:tcPr>
            <w:tcW w:w="7742" w:type="dxa"/>
            <w:gridSpan w:val="3"/>
            <w:vAlign w:val="center"/>
          </w:tcPr>
          <w:p w14:paraId="233C8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（10</w:t>
            </w:r>
            <w:r>
              <w:rPr>
                <w:rFonts w:hint="eastAsia" w:ascii="Times New Roman" w:hAnsi="Times New Roman" w:eastAsia="宋体" w:cs="Times New Roman"/>
                <w:color w:val="auto"/>
                <w:kern w:val="24"/>
                <w:sz w:val="24"/>
                <w:lang w:val="en-US" w:eastAsia="zh-CN" w:bidi="ar-SA"/>
              </w:rPr>
              <w:t>7</w:t>
            </w:r>
            <w:r>
              <w:rPr>
                <w:rFonts w:ascii="Times New Roman" w:hAnsi="Times New Roman" w:eastAsia="宋体" w:cs="Times New Roman"/>
                <w:color w:val="auto"/>
                <w:kern w:val="24"/>
                <w:sz w:val="24"/>
                <w:lang w:val="en-US" w:eastAsia="zh-CN" w:bidi="ar-SA"/>
              </w:rPr>
              <w:t>度</w:t>
            </w:r>
            <w:r>
              <w:rPr>
                <w:rFonts w:hint="eastAsia" w:ascii="Times New Roman" w:hAnsi="Times New Roman" w:eastAsia="宋体" w:cs="Times New Roman"/>
                <w:color w:val="auto"/>
                <w:kern w:val="24"/>
                <w:sz w:val="24"/>
                <w:lang w:val="en-US" w:eastAsia="zh-CN" w:bidi="ar-SA"/>
              </w:rPr>
              <w:t>51</w:t>
            </w:r>
            <w:r>
              <w:rPr>
                <w:rFonts w:ascii="Times New Roman" w:hAnsi="Times New Roman" w:eastAsia="宋体" w:cs="Times New Roman"/>
                <w:color w:val="auto"/>
                <w:kern w:val="24"/>
                <w:sz w:val="24"/>
                <w:lang w:val="en-US" w:eastAsia="zh-CN" w:bidi="ar-SA"/>
              </w:rPr>
              <w:t>分</w:t>
            </w:r>
            <w:r>
              <w:rPr>
                <w:rFonts w:hint="eastAsia" w:ascii="Times New Roman" w:hAnsi="Times New Roman" w:eastAsia="宋体" w:cs="Times New Roman"/>
                <w:color w:val="auto"/>
                <w:kern w:val="24"/>
                <w:sz w:val="24"/>
                <w:lang w:val="en-US" w:eastAsia="zh-CN" w:bidi="ar-SA"/>
              </w:rPr>
              <w:t>13.85</w:t>
            </w:r>
            <w:r>
              <w:rPr>
                <w:rFonts w:ascii="Times New Roman" w:hAnsi="Times New Roman" w:eastAsia="宋体" w:cs="Times New Roman"/>
                <w:color w:val="auto"/>
                <w:kern w:val="24"/>
                <w:sz w:val="24"/>
                <w:lang w:val="en-US" w:eastAsia="zh-CN" w:bidi="ar-SA"/>
              </w:rPr>
              <w:t>秒，3</w:t>
            </w:r>
            <w:r>
              <w:rPr>
                <w:rFonts w:hint="eastAsia" w:ascii="Times New Roman" w:hAnsi="Times New Roman" w:eastAsia="宋体" w:cs="Times New Roman"/>
                <w:color w:val="auto"/>
                <w:kern w:val="24"/>
                <w:sz w:val="24"/>
                <w:lang w:val="en-US" w:eastAsia="zh-CN" w:bidi="ar-SA"/>
              </w:rPr>
              <w:t>1</w:t>
            </w:r>
            <w:r>
              <w:rPr>
                <w:rFonts w:ascii="Times New Roman" w:hAnsi="Times New Roman" w:eastAsia="宋体" w:cs="Times New Roman"/>
                <w:color w:val="auto"/>
                <w:kern w:val="24"/>
                <w:sz w:val="24"/>
                <w:lang w:val="en-US" w:eastAsia="zh-CN" w:bidi="ar-SA"/>
              </w:rPr>
              <w:t>度</w:t>
            </w:r>
            <w:r>
              <w:rPr>
                <w:rFonts w:hint="eastAsia" w:ascii="Times New Roman" w:hAnsi="Times New Roman" w:eastAsia="宋体" w:cs="Times New Roman"/>
                <w:color w:val="auto"/>
                <w:kern w:val="24"/>
                <w:sz w:val="24"/>
                <w:lang w:val="en-US" w:eastAsia="zh-CN" w:bidi="ar-SA"/>
              </w:rPr>
              <w:t>35</w:t>
            </w:r>
            <w:r>
              <w:rPr>
                <w:rFonts w:ascii="Times New Roman" w:hAnsi="Times New Roman" w:eastAsia="宋体" w:cs="Times New Roman"/>
                <w:color w:val="auto"/>
                <w:kern w:val="24"/>
                <w:sz w:val="24"/>
                <w:lang w:val="en-US" w:eastAsia="zh-CN" w:bidi="ar-SA"/>
              </w:rPr>
              <w:t>分</w:t>
            </w:r>
            <w:r>
              <w:rPr>
                <w:rFonts w:hint="eastAsia" w:ascii="Times New Roman" w:hAnsi="Times New Roman" w:eastAsia="宋体" w:cs="Times New Roman"/>
                <w:color w:val="auto"/>
                <w:kern w:val="24"/>
                <w:sz w:val="24"/>
                <w:lang w:val="en-US" w:eastAsia="zh-CN" w:bidi="ar-SA"/>
              </w:rPr>
              <w:t>99.78</w:t>
            </w:r>
            <w:r>
              <w:rPr>
                <w:rFonts w:ascii="Times New Roman" w:hAnsi="Times New Roman" w:eastAsia="宋体" w:cs="Times New Roman"/>
                <w:color w:val="auto"/>
                <w:kern w:val="24"/>
                <w:sz w:val="24"/>
                <w:lang w:val="en-US" w:eastAsia="zh-CN" w:bidi="ar-SA"/>
              </w:rPr>
              <w:t>秒）</w:t>
            </w:r>
          </w:p>
        </w:tc>
      </w:tr>
      <w:tr w14:paraId="0814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3" w:type="dxa"/>
            <w:gridSpan w:val="2"/>
            <w:vAlign w:val="center"/>
          </w:tcPr>
          <w:p w14:paraId="2A6CCE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国民经济</w:t>
            </w:r>
          </w:p>
          <w:p w14:paraId="63214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行业类别</w:t>
            </w:r>
          </w:p>
        </w:tc>
        <w:tc>
          <w:tcPr>
            <w:tcW w:w="1936" w:type="dxa"/>
            <w:vAlign w:val="center"/>
          </w:tcPr>
          <w:p w14:paraId="795B9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default" w:ascii="Times New Roman" w:hAnsi="Times New Roman" w:eastAsia="宋体" w:cs="Times New Roman"/>
                <w:color w:val="auto"/>
                <w:kern w:val="24"/>
                <w:sz w:val="24"/>
                <w:lang w:val="en-US" w:eastAsia="zh-CN" w:bidi="ar-SA"/>
              </w:rPr>
              <w:t>C3770助动车制造</w:t>
            </w:r>
            <w:r>
              <w:rPr>
                <w:rFonts w:hint="eastAsia" w:ascii="Times New Roman" w:hAnsi="Times New Roman" w:eastAsia="宋体" w:cs="Times New Roman"/>
                <w:color w:val="auto"/>
                <w:kern w:val="24"/>
                <w:sz w:val="24"/>
                <w:lang w:val="en-US" w:eastAsia="zh-CN" w:bidi="ar-SA"/>
              </w:rPr>
              <w:t>、</w:t>
            </w:r>
            <w:r>
              <w:rPr>
                <w:rFonts w:hint="default" w:ascii="Times New Roman" w:hAnsi="Times New Roman" w:eastAsia="宋体" w:cs="Times New Roman"/>
                <w:color w:val="auto"/>
                <w:kern w:val="24"/>
                <w:sz w:val="24"/>
                <w:lang w:val="en-US" w:eastAsia="zh-CN" w:bidi="ar-SA"/>
              </w:rPr>
              <w:t>C3849其他电池制造</w:t>
            </w:r>
          </w:p>
        </w:tc>
        <w:tc>
          <w:tcPr>
            <w:tcW w:w="2130" w:type="dxa"/>
            <w:vAlign w:val="center"/>
          </w:tcPr>
          <w:p w14:paraId="48F23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建设项目</w:t>
            </w:r>
          </w:p>
          <w:p w14:paraId="3222C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行业类别</w:t>
            </w:r>
          </w:p>
        </w:tc>
        <w:tc>
          <w:tcPr>
            <w:tcW w:w="3676" w:type="dxa"/>
            <w:vAlign w:val="center"/>
          </w:tcPr>
          <w:p w14:paraId="50538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default" w:ascii="Times New Roman" w:hAnsi="Times New Roman" w:eastAsia="宋体" w:cs="Times New Roman"/>
                <w:color w:val="auto"/>
                <w:kern w:val="24"/>
                <w:sz w:val="24"/>
                <w:lang w:val="en-US" w:eastAsia="zh-CN" w:bidi="ar-SA"/>
              </w:rPr>
              <w:t>三十四、铁路、船舶、航空航天和其他运输设备制造业 37助动车制造</w:t>
            </w:r>
            <w:r>
              <w:rPr>
                <w:rFonts w:hint="eastAsia" w:ascii="Times New Roman" w:hAnsi="Times New Roman" w:eastAsia="宋体" w:cs="Times New Roman"/>
                <w:color w:val="auto"/>
                <w:kern w:val="24"/>
                <w:sz w:val="24"/>
                <w:lang w:val="en-US" w:eastAsia="zh-CN" w:bidi="ar-SA"/>
              </w:rPr>
              <w:t xml:space="preserve"> </w:t>
            </w:r>
            <w:r>
              <w:rPr>
                <w:rFonts w:hint="default" w:ascii="Times New Roman" w:hAnsi="Times New Roman" w:eastAsia="宋体" w:cs="Times New Roman"/>
                <w:color w:val="auto"/>
                <w:kern w:val="24"/>
                <w:sz w:val="24"/>
                <w:lang w:val="en-US" w:eastAsia="zh-CN" w:bidi="ar-SA"/>
              </w:rPr>
              <w:t>377、三十五、电气机械和器材制造业 38电池制造</w:t>
            </w:r>
            <w:r>
              <w:rPr>
                <w:rFonts w:hint="eastAsia" w:ascii="Times New Roman" w:hAnsi="Times New Roman" w:eastAsia="宋体" w:cs="Times New Roman"/>
                <w:color w:val="auto"/>
                <w:kern w:val="24"/>
                <w:sz w:val="24"/>
                <w:lang w:val="en-US" w:eastAsia="zh-CN" w:bidi="ar-SA"/>
              </w:rPr>
              <w:t xml:space="preserve"> </w:t>
            </w:r>
            <w:r>
              <w:rPr>
                <w:rFonts w:hint="default" w:ascii="Times New Roman" w:hAnsi="Times New Roman" w:eastAsia="宋体" w:cs="Times New Roman"/>
                <w:color w:val="auto"/>
                <w:kern w:val="24"/>
                <w:sz w:val="24"/>
                <w:lang w:val="en-US" w:eastAsia="zh-CN" w:bidi="ar-SA"/>
              </w:rPr>
              <w:t>384</w:t>
            </w:r>
          </w:p>
        </w:tc>
      </w:tr>
      <w:tr w14:paraId="790E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783" w:type="dxa"/>
            <w:gridSpan w:val="2"/>
            <w:vAlign w:val="center"/>
          </w:tcPr>
          <w:p w14:paraId="07845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建设性质</w:t>
            </w:r>
          </w:p>
        </w:tc>
        <w:tc>
          <w:tcPr>
            <w:tcW w:w="1936" w:type="dxa"/>
            <w:vAlign w:val="center"/>
          </w:tcPr>
          <w:p w14:paraId="565AE1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新建（迁建）</w:t>
            </w:r>
          </w:p>
          <w:p w14:paraId="3F0C179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改建</w:t>
            </w:r>
          </w:p>
          <w:p w14:paraId="01A477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扩建</w:t>
            </w:r>
          </w:p>
          <w:p w14:paraId="667BDF7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技术改造</w:t>
            </w:r>
          </w:p>
        </w:tc>
        <w:tc>
          <w:tcPr>
            <w:tcW w:w="2130" w:type="dxa"/>
            <w:vAlign w:val="center"/>
          </w:tcPr>
          <w:p w14:paraId="4369B9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建设项目</w:t>
            </w:r>
          </w:p>
          <w:p w14:paraId="17BFC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申报情形</w:t>
            </w:r>
          </w:p>
        </w:tc>
        <w:tc>
          <w:tcPr>
            <w:tcW w:w="3676" w:type="dxa"/>
            <w:vAlign w:val="center"/>
          </w:tcPr>
          <w:p w14:paraId="582740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☑首次申报项目</w:t>
            </w:r>
          </w:p>
          <w:p w14:paraId="2D1D8C3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☐不予批准后再次申报项目</w:t>
            </w:r>
          </w:p>
          <w:p w14:paraId="294FF8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☐超五年重新审核项目</w:t>
            </w:r>
          </w:p>
          <w:p w14:paraId="4CDD909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☐重大变动重新报批项目</w:t>
            </w:r>
          </w:p>
        </w:tc>
      </w:tr>
      <w:tr w14:paraId="0D60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3" w:type="dxa"/>
            <w:gridSpan w:val="2"/>
            <w:vAlign w:val="center"/>
          </w:tcPr>
          <w:p w14:paraId="1EA8C7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项目审批（核准/备案）部门</w:t>
            </w:r>
          </w:p>
          <w:p w14:paraId="4C8F2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（选填）</w:t>
            </w:r>
          </w:p>
        </w:tc>
        <w:tc>
          <w:tcPr>
            <w:tcW w:w="1936" w:type="dxa"/>
            <w:vAlign w:val="center"/>
          </w:tcPr>
          <w:p w14:paraId="3671C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通川区经济和信息化局</w:t>
            </w:r>
          </w:p>
        </w:tc>
        <w:tc>
          <w:tcPr>
            <w:tcW w:w="2130" w:type="dxa"/>
            <w:vAlign w:val="center"/>
          </w:tcPr>
          <w:p w14:paraId="31EC47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项目审批（核准/备案）文号（选填）</w:t>
            </w:r>
          </w:p>
        </w:tc>
        <w:tc>
          <w:tcPr>
            <w:tcW w:w="3676" w:type="dxa"/>
            <w:vAlign w:val="center"/>
          </w:tcPr>
          <w:p w14:paraId="549F8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川投资备【</w:t>
            </w:r>
            <w:r>
              <w:rPr>
                <w:rFonts w:hint="default" w:ascii="Times New Roman" w:hAnsi="Times New Roman" w:eastAsia="宋体" w:cs="Times New Roman"/>
                <w:color w:val="auto"/>
                <w:kern w:val="24"/>
                <w:sz w:val="24"/>
                <w:lang w:val="en-US" w:eastAsia="zh-CN" w:bidi="ar-SA"/>
              </w:rPr>
              <w:t>2511-511702-07-02-331218</w:t>
            </w:r>
            <w:r>
              <w:rPr>
                <w:rFonts w:hint="eastAsia" w:ascii="Times New Roman" w:hAnsi="Times New Roman" w:eastAsia="宋体" w:cs="Times New Roman"/>
                <w:color w:val="auto"/>
                <w:kern w:val="24"/>
                <w:sz w:val="24"/>
                <w:lang w:val="en-US" w:eastAsia="zh-CN" w:bidi="ar-SA"/>
              </w:rPr>
              <w:t>】</w:t>
            </w:r>
            <w:r>
              <w:rPr>
                <w:rFonts w:hint="default" w:ascii="Times New Roman" w:hAnsi="Times New Roman" w:eastAsia="宋体" w:cs="Times New Roman"/>
                <w:color w:val="auto"/>
                <w:kern w:val="24"/>
                <w:sz w:val="24"/>
                <w:lang w:val="en-US" w:eastAsia="zh-CN" w:bidi="ar-SA"/>
              </w:rPr>
              <w:t>JXQB-0826</w:t>
            </w:r>
            <w:r>
              <w:rPr>
                <w:rFonts w:hint="eastAsia" w:ascii="Times New Roman" w:hAnsi="Times New Roman" w:eastAsia="宋体" w:cs="Times New Roman"/>
                <w:color w:val="auto"/>
                <w:kern w:val="24"/>
                <w:sz w:val="24"/>
                <w:lang w:val="en-US" w:eastAsia="zh-CN" w:bidi="ar-SA"/>
              </w:rPr>
              <w:t>号</w:t>
            </w:r>
          </w:p>
        </w:tc>
      </w:tr>
      <w:tr w14:paraId="0EB2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783" w:type="dxa"/>
            <w:gridSpan w:val="2"/>
            <w:vAlign w:val="center"/>
          </w:tcPr>
          <w:p w14:paraId="406FC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总投资（万元）</w:t>
            </w:r>
          </w:p>
        </w:tc>
        <w:tc>
          <w:tcPr>
            <w:tcW w:w="1936" w:type="dxa"/>
            <w:vAlign w:val="center"/>
          </w:tcPr>
          <w:p w14:paraId="083C1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4"/>
                <w:highlight w:val="none"/>
                <w:lang w:val="en-US" w:eastAsia="zh-CN" w:bidi="ar-SA"/>
              </w:rPr>
            </w:pPr>
            <w:r>
              <w:rPr>
                <w:rFonts w:hint="eastAsia" w:cs="Times New Roman"/>
                <w:color w:val="auto"/>
                <w:kern w:val="24"/>
                <w:sz w:val="24"/>
                <w:highlight w:val="none"/>
                <w:lang w:val="en-US" w:eastAsia="zh-CN" w:bidi="ar-SA"/>
              </w:rPr>
              <w:t>875</w:t>
            </w:r>
          </w:p>
        </w:tc>
        <w:tc>
          <w:tcPr>
            <w:tcW w:w="2130" w:type="dxa"/>
            <w:vAlign w:val="center"/>
          </w:tcPr>
          <w:p w14:paraId="0536D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highlight w:val="none"/>
                <w:lang w:val="en-US" w:eastAsia="zh-CN" w:bidi="ar-SA"/>
              </w:rPr>
            </w:pPr>
            <w:r>
              <w:rPr>
                <w:rFonts w:ascii="Times New Roman" w:hAnsi="Times New Roman" w:eastAsia="宋体" w:cs="Times New Roman"/>
                <w:color w:val="auto"/>
                <w:kern w:val="24"/>
                <w:sz w:val="24"/>
                <w:highlight w:val="none"/>
                <w:lang w:val="en-US" w:eastAsia="zh-CN" w:bidi="ar-SA"/>
              </w:rPr>
              <w:t>环保投资（万元）</w:t>
            </w:r>
          </w:p>
        </w:tc>
        <w:tc>
          <w:tcPr>
            <w:tcW w:w="3676" w:type="dxa"/>
            <w:vAlign w:val="center"/>
          </w:tcPr>
          <w:p w14:paraId="110F2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4"/>
                <w:highlight w:val="none"/>
                <w:lang w:val="en-US" w:eastAsia="zh-CN" w:bidi="ar-SA"/>
              </w:rPr>
            </w:pPr>
            <w:r>
              <w:rPr>
                <w:rFonts w:hint="eastAsia" w:cs="Times New Roman"/>
                <w:color w:val="auto"/>
                <w:kern w:val="24"/>
                <w:sz w:val="24"/>
                <w:highlight w:val="none"/>
                <w:lang w:val="en-US" w:eastAsia="zh-CN" w:bidi="ar-SA"/>
              </w:rPr>
              <w:t>35</w:t>
            </w:r>
          </w:p>
        </w:tc>
      </w:tr>
      <w:tr w14:paraId="7758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3" w:type="dxa"/>
            <w:gridSpan w:val="2"/>
            <w:vAlign w:val="center"/>
          </w:tcPr>
          <w:p w14:paraId="50543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环保投资</w:t>
            </w:r>
          </w:p>
          <w:p w14:paraId="1BE3E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占比（%）</w:t>
            </w:r>
          </w:p>
        </w:tc>
        <w:tc>
          <w:tcPr>
            <w:tcW w:w="1936" w:type="dxa"/>
            <w:vAlign w:val="center"/>
          </w:tcPr>
          <w:p w14:paraId="7144A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4"/>
                <w:highlight w:val="none"/>
                <w:lang w:val="en-US" w:eastAsia="zh-CN" w:bidi="ar-SA"/>
              </w:rPr>
            </w:pPr>
            <w:r>
              <w:rPr>
                <w:rFonts w:hint="eastAsia" w:cs="Times New Roman"/>
                <w:color w:val="auto"/>
                <w:kern w:val="24"/>
                <w:sz w:val="24"/>
                <w:highlight w:val="none"/>
                <w:lang w:val="en-US" w:eastAsia="zh-CN" w:bidi="ar-SA"/>
              </w:rPr>
              <w:t>4%</w:t>
            </w:r>
          </w:p>
        </w:tc>
        <w:tc>
          <w:tcPr>
            <w:tcW w:w="2130" w:type="dxa"/>
            <w:vAlign w:val="center"/>
          </w:tcPr>
          <w:p w14:paraId="76D5E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highlight w:val="none"/>
                <w:lang w:val="en-US" w:eastAsia="zh-CN" w:bidi="ar-SA"/>
              </w:rPr>
            </w:pPr>
            <w:r>
              <w:rPr>
                <w:rFonts w:ascii="Times New Roman" w:hAnsi="Times New Roman" w:eastAsia="宋体" w:cs="Times New Roman"/>
                <w:color w:val="auto"/>
                <w:kern w:val="24"/>
                <w:sz w:val="24"/>
                <w:highlight w:val="none"/>
                <w:lang w:val="en-US" w:eastAsia="zh-CN" w:bidi="ar-SA"/>
              </w:rPr>
              <w:t>施工工期</w:t>
            </w:r>
          </w:p>
        </w:tc>
        <w:tc>
          <w:tcPr>
            <w:tcW w:w="3676" w:type="dxa"/>
            <w:vAlign w:val="center"/>
          </w:tcPr>
          <w:p w14:paraId="5CDBB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4"/>
                <w:highlight w:val="none"/>
                <w:lang w:val="en-US" w:eastAsia="zh-CN" w:bidi="ar-SA"/>
              </w:rPr>
            </w:pPr>
            <w:r>
              <w:rPr>
                <w:rFonts w:hint="eastAsia" w:ascii="Times New Roman" w:hAnsi="Times New Roman" w:eastAsia="宋体" w:cs="Times New Roman"/>
                <w:color w:val="auto"/>
                <w:kern w:val="24"/>
                <w:sz w:val="24"/>
                <w:highlight w:val="none"/>
                <w:lang w:val="en-US" w:eastAsia="zh-CN" w:bidi="ar-SA"/>
              </w:rPr>
              <w:t>6个月</w:t>
            </w:r>
          </w:p>
        </w:tc>
      </w:tr>
      <w:tr w14:paraId="43B6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3" w:type="dxa"/>
            <w:gridSpan w:val="2"/>
            <w:vAlign w:val="center"/>
          </w:tcPr>
          <w:p w14:paraId="5D218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是否开工建设</w:t>
            </w:r>
          </w:p>
        </w:tc>
        <w:tc>
          <w:tcPr>
            <w:tcW w:w="1936" w:type="dxa"/>
            <w:vAlign w:val="center"/>
          </w:tcPr>
          <w:p w14:paraId="318278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☑否</w:t>
            </w:r>
          </w:p>
          <w:p w14:paraId="057F168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☐是：</w:t>
            </w:r>
            <w:r>
              <w:rPr>
                <w:rFonts w:ascii="Times New Roman" w:hAnsi="Times New Roman" w:eastAsia="宋体" w:cs="Times New Roman"/>
                <w:color w:val="auto"/>
                <w:kern w:val="2"/>
                <w:sz w:val="24"/>
                <w:szCs w:val="24"/>
                <w:u w:val="single"/>
                <w:lang w:val="en-US" w:eastAsia="zh-CN" w:bidi="ar-SA"/>
              </w:rPr>
              <w:t xml:space="preserve">     </w:t>
            </w:r>
          </w:p>
        </w:tc>
        <w:tc>
          <w:tcPr>
            <w:tcW w:w="2130" w:type="dxa"/>
            <w:vAlign w:val="center"/>
          </w:tcPr>
          <w:p w14:paraId="0A864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用地（用海）</w:t>
            </w:r>
          </w:p>
          <w:p w14:paraId="5B11D7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面积（m</w:t>
            </w:r>
            <w:r>
              <w:rPr>
                <w:rFonts w:ascii="Times New Roman" w:hAnsi="Times New Roman" w:eastAsia="宋体" w:cs="Times New Roman"/>
                <w:color w:val="auto"/>
                <w:kern w:val="24"/>
                <w:sz w:val="24"/>
                <w:vertAlign w:val="superscript"/>
                <w:lang w:val="en-US" w:eastAsia="zh-CN" w:bidi="ar-SA"/>
              </w:rPr>
              <w:t>2</w:t>
            </w:r>
            <w:r>
              <w:rPr>
                <w:rFonts w:ascii="Times New Roman" w:hAnsi="Times New Roman" w:eastAsia="宋体" w:cs="Times New Roman"/>
                <w:color w:val="auto"/>
                <w:kern w:val="24"/>
                <w:sz w:val="24"/>
                <w:lang w:val="en-US" w:eastAsia="zh-CN" w:bidi="ar-SA"/>
              </w:rPr>
              <w:t>）</w:t>
            </w:r>
          </w:p>
        </w:tc>
        <w:tc>
          <w:tcPr>
            <w:tcW w:w="3676" w:type="dxa"/>
            <w:vAlign w:val="center"/>
          </w:tcPr>
          <w:p w14:paraId="4E2A5A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szCs w:val="24"/>
                <w:lang w:val="en-US" w:eastAsia="zh-CN" w:bidi="ar-SA"/>
              </w:rPr>
              <w:t>在</w:t>
            </w:r>
            <w:r>
              <w:rPr>
                <w:rFonts w:hint="eastAsia" w:ascii="Times New Roman" w:hAnsi="Times New Roman" w:eastAsia="宋体" w:cs="Times New Roman"/>
                <w:color w:val="auto"/>
                <w:kern w:val="24"/>
                <w:sz w:val="24"/>
                <w:szCs w:val="24"/>
                <w:lang w:val="en-US" w:eastAsia="zh-CN" w:bidi="ar-SA"/>
              </w:rPr>
              <w:t>现有租赁厂房内，利用预留区域，</w:t>
            </w:r>
            <w:r>
              <w:rPr>
                <w:rFonts w:ascii="Times New Roman" w:hAnsi="Times New Roman" w:eastAsia="宋体" w:cs="Times New Roman"/>
                <w:color w:val="auto"/>
                <w:kern w:val="24"/>
                <w:sz w:val="24"/>
                <w:szCs w:val="24"/>
                <w:lang w:val="en-US" w:eastAsia="zh-CN" w:bidi="ar-SA"/>
              </w:rPr>
              <w:t>不新增用地</w:t>
            </w:r>
          </w:p>
        </w:tc>
      </w:tr>
      <w:tr w14:paraId="08EC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454" w:type="dxa"/>
            <w:vAlign w:val="center"/>
          </w:tcPr>
          <w:p w14:paraId="45ABBDF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color w:val="auto"/>
                <w:kern w:val="24"/>
                <w:sz w:val="24"/>
                <w:szCs w:val="24"/>
                <w:lang w:val="en-US" w:eastAsia="zh-CN" w:bidi="ar-SA"/>
              </w:rPr>
            </w:pPr>
            <w:r>
              <w:rPr>
                <w:rFonts w:hint="eastAsia" w:cs="Times New Roman"/>
                <w:color w:val="auto"/>
                <w:kern w:val="24"/>
                <w:sz w:val="24"/>
                <w:lang w:val="en-US" w:eastAsia="zh-CN" w:bidi="ar-SA"/>
              </w:rPr>
              <w:t>专</w:t>
            </w:r>
            <w:r>
              <w:rPr>
                <w:rFonts w:ascii="Times New Roman" w:hAnsi="Times New Roman" w:eastAsia="宋体" w:cs="Times New Roman"/>
                <w:color w:val="auto"/>
                <w:kern w:val="24"/>
                <w:sz w:val="24"/>
                <w:lang w:val="en-US" w:eastAsia="zh-CN" w:bidi="ar-SA"/>
              </w:rPr>
              <w:t>项评价设置情况</w:t>
            </w:r>
          </w:p>
        </w:tc>
        <w:tc>
          <w:tcPr>
            <w:tcW w:w="9071" w:type="dxa"/>
            <w:gridSpan w:val="4"/>
            <w:vAlign w:val="center"/>
          </w:tcPr>
          <w:p w14:paraId="6F237385">
            <w:pPr>
              <w:bidi w:val="0"/>
              <w:rPr>
                <w:lang w:val="en-US" w:eastAsia="zh-CN"/>
              </w:rPr>
            </w:pPr>
            <w:r>
              <w:rPr>
                <w:lang w:val="en-US" w:eastAsia="zh-CN"/>
              </w:rPr>
              <w:t>根据《建设项目环境影响报告表编制技术指南（污染影响类）（试行）》，</w:t>
            </w:r>
            <w:r>
              <w:rPr>
                <w:b/>
                <w:bCs/>
                <w:lang w:val="en-US" w:eastAsia="zh-CN"/>
              </w:rPr>
              <w:t>本项目无需设置专项评价</w:t>
            </w:r>
            <w:r>
              <w:rPr>
                <w:lang w:val="en-US" w:eastAsia="zh-CN"/>
              </w:rPr>
              <w:t>，具体情况见下表。</w:t>
            </w:r>
          </w:p>
          <w:p w14:paraId="36C422A2">
            <w:pPr>
              <w:pStyle w:val="7"/>
              <w:bidi w:val="0"/>
              <w:rPr>
                <w:lang w:val="en-US" w:eastAsia="zh-CN"/>
              </w:rPr>
            </w:pPr>
            <w:r>
              <w:rPr>
                <w:lang w:val="en-US" w:eastAsia="zh-CN"/>
              </w:rPr>
              <w:t>表1-1 本项目专项评价设置情况分析表</w:t>
            </w:r>
          </w:p>
          <w:tbl>
            <w:tblPr>
              <w:tblStyle w:val="31"/>
              <w:tblW w:w="885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4102"/>
              <w:gridCol w:w="3669"/>
            </w:tblGrid>
            <w:tr w14:paraId="2511D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84" w:type="dxa"/>
                  <w:tcBorders>
                    <w:bottom w:val="single" w:color="auto" w:sz="12" w:space="0"/>
                  </w:tcBorders>
                  <w:shd w:val="clear" w:color="auto" w:fill="auto"/>
                  <w:vAlign w:val="center"/>
                </w:tcPr>
                <w:p w14:paraId="303E5813">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专项评价的类别</w:t>
                  </w:r>
                </w:p>
              </w:tc>
              <w:tc>
                <w:tcPr>
                  <w:tcW w:w="4102" w:type="dxa"/>
                  <w:tcBorders>
                    <w:bottom w:val="single" w:color="auto" w:sz="12" w:space="0"/>
                  </w:tcBorders>
                  <w:shd w:val="clear" w:color="auto" w:fill="auto"/>
                  <w:vAlign w:val="center"/>
                </w:tcPr>
                <w:p w14:paraId="3B03129D">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设置原则</w:t>
                  </w:r>
                </w:p>
              </w:tc>
              <w:tc>
                <w:tcPr>
                  <w:tcW w:w="3669" w:type="dxa"/>
                  <w:tcBorders>
                    <w:bottom w:val="single" w:color="auto" w:sz="12" w:space="0"/>
                  </w:tcBorders>
                  <w:shd w:val="clear" w:color="auto" w:fill="auto"/>
                  <w:vAlign w:val="center"/>
                </w:tcPr>
                <w:p w14:paraId="2CCE6673">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本项目设置情况</w:t>
                  </w:r>
                </w:p>
              </w:tc>
            </w:tr>
            <w:tr w14:paraId="0236A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op w:val="single" w:color="auto" w:sz="12" w:space="0"/>
                    <w:tl2br w:val="nil"/>
                    <w:tr2bl w:val="nil"/>
                  </w:tcBorders>
                  <w:shd w:val="clear" w:color="auto" w:fill="auto"/>
                  <w:vAlign w:val="center"/>
                </w:tcPr>
                <w:p w14:paraId="17DFE374">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大气</w:t>
                  </w:r>
                </w:p>
              </w:tc>
              <w:tc>
                <w:tcPr>
                  <w:tcW w:w="4102" w:type="dxa"/>
                  <w:tcBorders>
                    <w:top w:val="single" w:color="auto" w:sz="12" w:space="0"/>
                    <w:tl2br w:val="nil"/>
                    <w:tr2bl w:val="nil"/>
                  </w:tcBorders>
                  <w:shd w:val="clear" w:color="auto" w:fill="auto"/>
                  <w:vAlign w:val="center"/>
                </w:tcPr>
                <w:p w14:paraId="15960A4C">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排放废气含有毒有害污染物1、二噁英、苯并[a]芘、氰化物、氯气且厂界外500米范围内有环境空气保护目标2的建设项目</w:t>
                  </w:r>
                </w:p>
              </w:tc>
              <w:tc>
                <w:tcPr>
                  <w:tcW w:w="3669" w:type="dxa"/>
                  <w:tcBorders>
                    <w:top w:val="single" w:color="auto" w:sz="12" w:space="0"/>
                    <w:tl2br w:val="nil"/>
                    <w:tr2bl w:val="nil"/>
                  </w:tcBorders>
                  <w:shd w:val="clear" w:color="auto" w:fill="auto"/>
                  <w:vAlign w:val="center"/>
                </w:tcPr>
                <w:p w14:paraId="4E1CCF78">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lang w:val="en-US" w:eastAsia="zh-CN"/>
                    </w:rPr>
                    <w:t>本项目不涉及有毒有害污染物、二噁英、苯并[a]芘、氰化物、氯气的排放，因此不设置大气专项评价</w:t>
                  </w:r>
                </w:p>
              </w:tc>
            </w:tr>
            <w:tr w14:paraId="7AA31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084" w:type="dxa"/>
                  <w:tcBorders>
                    <w:tl2br w:val="nil"/>
                    <w:tr2bl w:val="nil"/>
                  </w:tcBorders>
                  <w:shd w:val="clear" w:color="auto" w:fill="auto"/>
                  <w:vAlign w:val="center"/>
                </w:tcPr>
                <w:p w14:paraId="28C3DCC0">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地表水</w:t>
                  </w:r>
                </w:p>
              </w:tc>
              <w:tc>
                <w:tcPr>
                  <w:tcW w:w="4102" w:type="dxa"/>
                  <w:tcBorders>
                    <w:tl2br w:val="nil"/>
                    <w:tr2bl w:val="nil"/>
                  </w:tcBorders>
                  <w:shd w:val="clear" w:color="auto" w:fill="auto"/>
                  <w:vAlign w:val="center"/>
                </w:tcPr>
                <w:p w14:paraId="6C054E4C">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新增工业废水直排建设项目（槽罐车外送污水处理厂的除外）；新增废水直排的污水集中处理厂</w:t>
                  </w:r>
                </w:p>
              </w:tc>
              <w:tc>
                <w:tcPr>
                  <w:tcW w:w="3669" w:type="dxa"/>
                  <w:tcBorders>
                    <w:tl2br w:val="nil"/>
                    <w:tr2bl w:val="nil"/>
                  </w:tcBorders>
                  <w:shd w:val="clear" w:color="auto" w:fill="auto"/>
                  <w:vAlign w:val="center"/>
                </w:tcPr>
                <w:p w14:paraId="302B2B8F">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lang w:val="en-US" w:eastAsia="zh-CN"/>
                    </w:rPr>
                    <w:t>本项目废水最终进入</w:t>
                  </w:r>
                  <w:r>
                    <w:rPr>
                      <w:rFonts w:hint="eastAsia"/>
                      <w:lang w:val="en-US" w:eastAsia="zh-CN"/>
                    </w:rPr>
                    <w:t>魏兴场镇污水处理厂</w:t>
                  </w:r>
                  <w:r>
                    <w:rPr>
                      <w:lang w:val="en-US" w:eastAsia="zh-CN"/>
                    </w:rPr>
                    <w:t>处理达标后排放，属于间接排放，因此不设置地表水专项评价</w:t>
                  </w:r>
                </w:p>
              </w:tc>
            </w:tr>
            <w:tr w14:paraId="2DCCC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l2br w:val="nil"/>
                    <w:tr2bl w:val="nil"/>
                  </w:tcBorders>
                  <w:shd w:val="clear" w:color="auto" w:fill="auto"/>
                  <w:vAlign w:val="center"/>
                </w:tcPr>
                <w:p w14:paraId="2C14B079">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环境风险</w:t>
                  </w:r>
                </w:p>
              </w:tc>
              <w:tc>
                <w:tcPr>
                  <w:tcW w:w="4102" w:type="dxa"/>
                  <w:tcBorders>
                    <w:tl2br w:val="nil"/>
                    <w:tr2bl w:val="nil"/>
                  </w:tcBorders>
                  <w:shd w:val="clear" w:color="auto" w:fill="auto"/>
                  <w:vAlign w:val="center"/>
                </w:tcPr>
                <w:p w14:paraId="591117E4">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有毒有害和易燃易爆危险物质存储量超过临界量</w:t>
                  </w:r>
                  <w:r>
                    <w:rPr>
                      <w:rFonts w:hint="eastAsia"/>
                      <w:vertAlign w:val="superscript"/>
                      <w:lang w:val="en-US" w:eastAsia="zh-CN"/>
                    </w:rPr>
                    <w:t>3</w:t>
                  </w:r>
                  <w:r>
                    <w:rPr>
                      <w:rFonts w:hint="eastAsia"/>
                      <w:lang w:val="en-US" w:eastAsia="zh-CN"/>
                    </w:rPr>
                    <w:t>的建设项目</w:t>
                  </w:r>
                </w:p>
              </w:tc>
              <w:tc>
                <w:tcPr>
                  <w:tcW w:w="3669" w:type="dxa"/>
                  <w:tcBorders>
                    <w:tl2br w:val="nil"/>
                    <w:tr2bl w:val="nil"/>
                  </w:tcBorders>
                  <w:shd w:val="clear" w:color="auto" w:fill="auto"/>
                  <w:vAlign w:val="center"/>
                </w:tcPr>
                <w:p w14:paraId="7D0EA8D2">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lang w:val="en-US" w:eastAsia="zh-CN"/>
                    </w:rPr>
                    <w:t>本项目</w:t>
                  </w:r>
                  <w:r>
                    <w:rPr>
                      <w:rFonts w:hint="eastAsia"/>
                      <w:lang w:val="en-US" w:eastAsia="zh-CN"/>
                    </w:rPr>
                    <w:t>未</w:t>
                  </w:r>
                  <w:r>
                    <w:rPr>
                      <w:lang w:val="en-US" w:eastAsia="zh-CN"/>
                    </w:rPr>
                    <w:t>涉及有毒有害和易燃易爆危险物质，因此不设环境风险专项评价</w:t>
                  </w:r>
                </w:p>
              </w:tc>
            </w:tr>
            <w:tr w14:paraId="50F5D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84" w:type="dxa"/>
                  <w:tcBorders>
                    <w:tl2br w:val="nil"/>
                    <w:tr2bl w:val="nil"/>
                  </w:tcBorders>
                  <w:shd w:val="clear" w:color="auto" w:fill="auto"/>
                  <w:vAlign w:val="center"/>
                </w:tcPr>
                <w:p w14:paraId="527F9E20">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生态</w:t>
                  </w:r>
                </w:p>
              </w:tc>
              <w:tc>
                <w:tcPr>
                  <w:tcW w:w="4102" w:type="dxa"/>
                  <w:tcBorders>
                    <w:tl2br w:val="nil"/>
                    <w:tr2bl w:val="nil"/>
                  </w:tcBorders>
                  <w:shd w:val="clear" w:color="auto" w:fill="auto"/>
                  <w:vAlign w:val="center"/>
                </w:tcPr>
                <w:p w14:paraId="3618C9E8">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取水口下游500米范围内有重要水生生物的自然产卵场、索饵场、越冬场和洄游通道的新增河道取水的污染类建设项目</w:t>
                  </w:r>
                </w:p>
              </w:tc>
              <w:tc>
                <w:tcPr>
                  <w:tcW w:w="3669" w:type="dxa"/>
                  <w:tcBorders>
                    <w:tl2br w:val="nil"/>
                    <w:tr2bl w:val="nil"/>
                  </w:tcBorders>
                  <w:shd w:val="clear" w:color="auto" w:fill="auto"/>
                  <w:vAlign w:val="center"/>
                </w:tcPr>
                <w:p w14:paraId="72763D00">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本项目用水由市政管网供水，不涉及取水口，因此不设置生态专项评价</w:t>
                  </w:r>
                </w:p>
              </w:tc>
            </w:tr>
            <w:tr w14:paraId="05212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084" w:type="dxa"/>
                  <w:tcBorders>
                    <w:tl2br w:val="nil"/>
                    <w:tr2bl w:val="nil"/>
                  </w:tcBorders>
                  <w:shd w:val="clear" w:color="auto" w:fill="auto"/>
                  <w:vAlign w:val="center"/>
                </w:tcPr>
                <w:p w14:paraId="1455A01A">
                  <w:pPr>
                    <w:pStyle w:val="5"/>
                    <w:keepNext w:val="0"/>
                    <w:keepLines w:val="0"/>
                    <w:pageBreakBefore w:val="0"/>
                    <w:widowControl w:val="0"/>
                    <w:kinsoku/>
                    <w:wordWrap/>
                    <w:overflowPunct/>
                    <w:topLinePunct w:val="0"/>
                    <w:autoSpaceDE/>
                    <w:autoSpaceDN/>
                    <w:bidi w:val="0"/>
                    <w:adjustRightInd w:val="0"/>
                    <w:snapToGrid w:val="0"/>
                    <w:ind w:firstLineChars="0"/>
                    <w:jc w:val="center"/>
                    <w:textAlignment w:val="auto"/>
                    <w:rPr>
                      <w:b/>
                      <w:bCs/>
                      <w:lang w:val="en-US" w:eastAsia="zh-CN"/>
                    </w:rPr>
                  </w:pPr>
                  <w:r>
                    <w:rPr>
                      <w:rFonts w:hint="eastAsia"/>
                      <w:b/>
                      <w:bCs/>
                      <w:lang w:val="en-US" w:eastAsia="zh-CN"/>
                    </w:rPr>
                    <w:t>海洋</w:t>
                  </w:r>
                </w:p>
              </w:tc>
              <w:tc>
                <w:tcPr>
                  <w:tcW w:w="4102" w:type="dxa"/>
                  <w:tcBorders>
                    <w:tl2br w:val="nil"/>
                    <w:tr2bl w:val="nil"/>
                  </w:tcBorders>
                  <w:shd w:val="clear" w:color="auto" w:fill="auto"/>
                  <w:vAlign w:val="center"/>
                </w:tcPr>
                <w:p w14:paraId="61A751AA">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直接向海排放污染物的海洋工程建设项目</w:t>
                  </w:r>
                </w:p>
              </w:tc>
              <w:tc>
                <w:tcPr>
                  <w:tcW w:w="3669" w:type="dxa"/>
                  <w:tcBorders>
                    <w:tl2br w:val="nil"/>
                    <w:tr2bl w:val="nil"/>
                  </w:tcBorders>
                  <w:shd w:val="clear" w:color="auto" w:fill="auto"/>
                  <w:vAlign w:val="center"/>
                </w:tcPr>
                <w:p w14:paraId="09E360F9">
                  <w:pPr>
                    <w:pStyle w:val="5"/>
                    <w:keepNext w:val="0"/>
                    <w:keepLines w:val="0"/>
                    <w:pageBreakBefore w:val="0"/>
                    <w:widowControl w:val="0"/>
                    <w:kinsoku/>
                    <w:wordWrap/>
                    <w:overflowPunct/>
                    <w:topLinePunct w:val="0"/>
                    <w:autoSpaceDE/>
                    <w:autoSpaceDN/>
                    <w:bidi w:val="0"/>
                    <w:adjustRightInd w:val="0"/>
                    <w:snapToGrid w:val="0"/>
                    <w:ind w:firstLineChars="0"/>
                    <w:jc w:val="both"/>
                    <w:textAlignment w:val="auto"/>
                    <w:rPr>
                      <w:lang w:val="en-US" w:eastAsia="zh-CN"/>
                    </w:rPr>
                  </w:pPr>
                  <w:r>
                    <w:rPr>
                      <w:rFonts w:hint="eastAsia"/>
                      <w:lang w:val="en-US" w:eastAsia="zh-CN"/>
                    </w:rPr>
                    <w:t>本项目</w:t>
                  </w:r>
                  <w:r>
                    <w:rPr>
                      <w:lang w:val="en-US" w:eastAsia="zh-CN"/>
                    </w:rPr>
                    <w:t>不属于</w:t>
                  </w:r>
                  <w:r>
                    <w:rPr>
                      <w:rFonts w:hint="eastAsia"/>
                      <w:lang w:val="en-US" w:eastAsia="zh-CN"/>
                    </w:rPr>
                    <w:t>直接向海洋排放污染物的</w:t>
                  </w:r>
                  <w:r>
                    <w:rPr>
                      <w:lang w:val="en-US" w:eastAsia="zh-CN"/>
                    </w:rPr>
                    <w:t>海洋工程建设项目</w:t>
                  </w:r>
                  <w:r>
                    <w:rPr>
                      <w:rFonts w:hint="eastAsia"/>
                      <w:lang w:val="en-US" w:eastAsia="zh-CN"/>
                    </w:rPr>
                    <w:t>，因此不设置</w:t>
                  </w:r>
                  <w:r>
                    <w:rPr>
                      <w:lang w:val="en-US" w:eastAsia="zh-CN"/>
                    </w:rPr>
                    <w:t>海洋专项评价</w:t>
                  </w:r>
                </w:p>
              </w:tc>
            </w:tr>
            <w:tr w14:paraId="6EF4C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5" w:type="dxa"/>
                  <w:gridSpan w:val="3"/>
                  <w:tcBorders>
                    <w:tl2br w:val="nil"/>
                    <w:tr2bl w:val="nil"/>
                  </w:tcBorders>
                </w:tcPr>
                <w:p w14:paraId="64E9D4F4">
                  <w:pPr>
                    <w:pStyle w:val="5"/>
                    <w:bidi w:val="0"/>
                    <w:jc w:val="left"/>
                    <w:rPr>
                      <w:lang w:val="en-US" w:eastAsia="zh-CN"/>
                    </w:rPr>
                  </w:pPr>
                  <w:r>
                    <w:rPr>
                      <w:rFonts w:hint="eastAsia"/>
                      <w:lang w:val="en-US" w:eastAsia="zh-CN"/>
                    </w:rPr>
                    <w:t>注：1.废气中有毒有害污染物指纳入《有毒有害大气污染物名录》的污染物（不包括无排放标准的污染物）。</w:t>
                  </w:r>
                </w:p>
                <w:p w14:paraId="0A62F53D">
                  <w:pPr>
                    <w:pStyle w:val="5"/>
                    <w:bidi w:val="0"/>
                    <w:jc w:val="left"/>
                    <w:rPr>
                      <w:lang w:val="en-US" w:eastAsia="zh-CN"/>
                    </w:rPr>
                  </w:pPr>
                  <w:r>
                    <w:rPr>
                      <w:rFonts w:hint="eastAsia"/>
                      <w:lang w:val="en-US" w:eastAsia="zh-CN"/>
                    </w:rPr>
                    <w:t>2.环境空气保护目标指自然保护区、风景名胜区、居住区、文化区和农村地区中人群较集中的区域。</w:t>
                  </w:r>
                </w:p>
                <w:p w14:paraId="3D434E63">
                  <w:pPr>
                    <w:pStyle w:val="5"/>
                    <w:bidi w:val="0"/>
                    <w:jc w:val="left"/>
                    <w:rPr>
                      <w:lang w:val="en-US" w:eastAsia="zh-CN"/>
                    </w:rPr>
                  </w:pPr>
                  <w:r>
                    <w:rPr>
                      <w:rFonts w:hint="eastAsia"/>
                      <w:lang w:val="en-US" w:eastAsia="zh-CN"/>
                    </w:rPr>
                    <w:t>3.临界量及其计算方法可参考《建设项目环境风险评价技术导则》（HJ 169）附录B、附录C。</w:t>
                  </w:r>
                </w:p>
              </w:tc>
            </w:tr>
          </w:tbl>
          <w:p w14:paraId="7CFD9165">
            <w:pPr>
              <w:widowControl w:val="0"/>
              <w:wordWrap/>
              <w:spacing w:line="360" w:lineRule="auto"/>
              <w:ind w:firstLine="480" w:firstLineChars="200"/>
              <w:jc w:val="both"/>
              <w:rPr>
                <w:rFonts w:ascii="Times New Roman" w:hAnsi="Times New Roman" w:eastAsia="宋体" w:cs="Times New Roman"/>
                <w:color w:val="auto"/>
                <w:kern w:val="24"/>
                <w:sz w:val="24"/>
                <w:szCs w:val="24"/>
                <w:lang w:val="en-US" w:eastAsia="zh-CN" w:bidi="ar-SA"/>
              </w:rPr>
            </w:pPr>
          </w:p>
        </w:tc>
      </w:tr>
      <w:tr w14:paraId="54A3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454" w:type="dxa"/>
            <w:vAlign w:val="center"/>
          </w:tcPr>
          <w:p w14:paraId="452877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cs="Times New Roman"/>
                <w:color w:val="auto"/>
                <w:kern w:val="24"/>
                <w:sz w:val="24"/>
                <w:lang w:val="en-US" w:eastAsia="zh-CN" w:bidi="ar-SA"/>
              </w:rPr>
              <w:t>规</w:t>
            </w:r>
            <w:r>
              <w:rPr>
                <w:rFonts w:hint="eastAsia" w:ascii="Times New Roman" w:hAnsi="Times New Roman" w:eastAsia="宋体" w:cs="Times New Roman"/>
                <w:color w:val="auto"/>
                <w:kern w:val="24"/>
                <w:sz w:val="24"/>
                <w:lang w:val="en-US" w:eastAsia="zh-CN" w:bidi="ar-SA"/>
              </w:rPr>
              <w:t>划情况</w:t>
            </w:r>
          </w:p>
        </w:tc>
        <w:tc>
          <w:tcPr>
            <w:tcW w:w="9071" w:type="dxa"/>
            <w:gridSpan w:val="4"/>
            <w:vAlign w:val="center"/>
          </w:tcPr>
          <w:p w14:paraId="37A7A0BC">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val="0"/>
                <w:bCs w:val="0"/>
                <w:color w:val="auto"/>
                <w:sz w:val="24"/>
              </w:rPr>
            </w:pPr>
            <w:r>
              <w:rPr>
                <w:b/>
                <w:bCs/>
                <w:color w:val="auto"/>
                <w:sz w:val="24"/>
              </w:rPr>
              <w:t>规划名称：</w:t>
            </w:r>
            <w:r>
              <w:rPr>
                <w:rFonts w:hint="eastAsia"/>
                <w:b w:val="0"/>
                <w:bCs w:val="0"/>
                <w:color w:val="auto"/>
                <w:sz w:val="24"/>
              </w:rPr>
              <w:t>《</w:t>
            </w:r>
            <w:r>
              <w:rPr>
                <w:rFonts w:hint="eastAsia"/>
                <w:b w:val="0"/>
                <w:bCs w:val="0"/>
                <w:color w:val="auto"/>
                <w:sz w:val="24"/>
                <w:lang w:val="en-US" w:eastAsia="zh-CN"/>
              </w:rPr>
              <w:t>达州市通川区工业集中区总体规划</w:t>
            </w:r>
            <w:r>
              <w:rPr>
                <w:rFonts w:hint="eastAsia"/>
                <w:b w:val="0"/>
                <w:bCs w:val="0"/>
                <w:color w:val="auto"/>
                <w:sz w:val="24"/>
              </w:rPr>
              <w:t>》</w:t>
            </w:r>
          </w:p>
          <w:p w14:paraId="4D349022">
            <w:pPr>
              <w:spacing w:line="360" w:lineRule="auto"/>
              <w:ind w:firstLine="482" w:firstLineChars="200"/>
              <w:jc w:val="left"/>
              <w:rPr>
                <w:b w:val="0"/>
                <w:bCs w:val="0"/>
                <w:color w:val="auto"/>
                <w:sz w:val="24"/>
              </w:rPr>
            </w:pPr>
            <w:r>
              <w:rPr>
                <w:b/>
                <w:bCs/>
                <w:color w:val="auto"/>
                <w:sz w:val="24"/>
              </w:rPr>
              <w:t>规划审批机关：</w:t>
            </w:r>
            <w:r>
              <w:rPr>
                <w:rFonts w:hint="eastAsia"/>
                <w:b w:val="0"/>
                <w:bCs w:val="0"/>
                <w:color w:val="auto"/>
                <w:sz w:val="24"/>
                <w:lang w:val="en-US" w:eastAsia="zh-CN"/>
              </w:rPr>
              <w:t>达州市</w:t>
            </w:r>
            <w:r>
              <w:rPr>
                <w:b w:val="0"/>
                <w:bCs w:val="0"/>
                <w:color w:val="auto"/>
                <w:sz w:val="24"/>
              </w:rPr>
              <w:t>人民政府</w:t>
            </w:r>
          </w:p>
          <w:p w14:paraId="3FF2D7CC">
            <w:pPr>
              <w:spacing w:line="360" w:lineRule="auto"/>
              <w:ind w:firstLine="482" w:firstLineChars="200"/>
              <w:jc w:val="left"/>
            </w:pPr>
            <w:r>
              <w:rPr>
                <w:b/>
                <w:bCs/>
                <w:color w:val="auto"/>
                <w:sz w:val="24"/>
              </w:rPr>
              <w:t>审查文件名及文号：</w:t>
            </w:r>
            <w:r>
              <w:rPr>
                <w:rFonts w:hint="eastAsia"/>
                <w:b w:val="0"/>
                <w:bCs w:val="0"/>
                <w:color w:val="auto"/>
                <w:sz w:val="24"/>
              </w:rPr>
              <w:t>《达州市人民政府关于达州市通川区工业集中区总体规划的批复</w:t>
            </w:r>
            <w:r>
              <w:rPr>
                <w:rFonts w:hint="eastAsia"/>
                <w:b w:val="0"/>
                <w:bCs w:val="0"/>
                <w:color w:val="auto"/>
                <w:sz w:val="24"/>
                <w:lang w:eastAsia="zh-CN"/>
              </w:rPr>
              <w:t>》（达市府函〔2014〕251号）</w:t>
            </w:r>
          </w:p>
          <w:p w14:paraId="34FD16B1">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val="0"/>
                <w:bCs w:val="0"/>
                <w:color w:val="auto"/>
                <w:sz w:val="24"/>
              </w:rPr>
            </w:pPr>
            <w:r>
              <w:rPr>
                <w:b/>
                <w:bCs/>
                <w:color w:val="auto"/>
                <w:sz w:val="24"/>
              </w:rPr>
              <w:t>规划名称：</w:t>
            </w:r>
            <w:r>
              <w:rPr>
                <w:rFonts w:hint="eastAsia"/>
                <w:b w:val="0"/>
                <w:bCs w:val="0"/>
                <w:color w:val="auto"/>
                <w:sz w:val="24"/>
              </w:rPr>
              <w:t>《</w:t>
            </w:r>
            <w:r>
              <w:rPr>
                <w:rFonts w:hint="eastAsia"/>
                <w:b w:val="0"/>
                <w:bCs w:val="0"/>
                <w:color w:val="auto"/>
                <w:sz w:val="24"/>
                <w:lang w:val="en-US" w:eastAsia="zh-CN"/>
              </w:rPr>
              <w:t>达州市通川区工业集中区控制性详细规划</w:t>
            </w:r>
            <w:r>
              <w:rPr>
                <w:rFonts w:hint="eastAsia"/>
                <w:b w:val="0"/>
                <w:bCs w:val="0"/>
                <w:color w:val="auto"/>
                <w:sz w:val="24"/>
              </w:rPr>
              <w:t>》</w:t>
            </w:r>
          </w:p>
          <w:p w14:paraId="7EE37E3F">
            <w:pPr>
              <w:spacing w:line="360" w:lineRule="auto"/>
              <w:ind w:firstLine="482" w:firstLineChars="200"/>
              <w:jc w:val="left"/>
              <w:rPr>
                <w:b w:val="0"/>
                <w:bCs w:val="0"/>
                <w:color w:val="auto"/>
                <w:sz w:val="24"/>
              </w:rPr>
            </w:pPr>
            <w:r>
              <w:rPr>
                <w:b/>
                <w:bCs/>
                <w:color w:val="auto"/>
                <w:sz w:val="24"/>
              </w:rPr>
              <w:t>规划审批机关：</w:t>
            </w:r>
            <w:r>
              <w:rPr>
                <w:rFonts w:hint="eastAsia"/>
                <w:b w:val="0"/>
                <w:bCs w:val="0"/>
                <w:color w:val="auto"/>
                <w:sz w:val="24"/>
                <w:lang w:val="en-US" w:eastAsia="zh-CN"/>
              </w:rPr>
              <w:t>达州市</w:t>
            </w:r>
            <w:r>
              <w:rPr>
                <w:b w:val="0"/>
                <w:bCs w:val="0"/>
                <w:color w:val="auto"/>
                <w:sz w:val="24"/>
              </w:rPr>
              <w:t>人民政府</w:t>
            </w:r>
          </w:p>
          <w:p w14:paraId="2D66207E">
            <w:pPr>
              <w:spacing w:line="360" w:lineRule="auto"/>
              <w:ind w:firstLine="482" w:firstLineChars="200"/>
              <w:jc w:val="left"/>
            </w:pPr>
            <w:r>
              <w:rPr>
                <w:b/>
                <w:bCs/>
                <w:color w:val="auto"/>
                <w:sz w:val="24"/>
              </w:rPr>
              <w:t>审查文件名及文号：</w:t>
            </w:r>
            <w:r>
              <w:rPr>
                <w:rFonts w:hint="eastAsia"/>
                <w:b w:val="0"/>
                <w:bCs w:val="0"/>
                <w:color w:val="auto"/>
                <w:sz w:val="24"/>
              </w:rPr>
              <w:t>《达州市人民政府关于达州市通川区工业集中区控制性详细规划的批复</w:t>
            </w:r>
            <w:r>
              <w:rPr>
                <w:rFonts w:hint="eastAsia"/>
                <w:b w:val="0"/>
                <w:bCs w:val="0"/>
                <w:color w:val="auto"/>
                <w:sz w:val="24"/>
                <w:lang w:eastAsia="zh-CN"/>
              </w:rPr>
              <w:t>》（</w:t>
            </w:r>
            <w:r>
              <w:rPr>
                <w:rFonts w:hint="eastAsia"/>
                <w:b w:val="0"/>
                <w:bCs w:val="0"/>
                <w:color w:val="auto"/>
                <w:sz w:val="24"/>
              </w:rPr>
              <w:t>达市府函</w:t>
            </w:r>
            <w:r>
              <w:rPr>
                <w:rFonts w:hint="eastAsia"/>
                <w:b w:val="0"/>
                <w:bCs w:val="0"/>
                <w:color w:val="auto"/>
                <w:sz w:val="24"/>
                <w:lang w:eastAsia="zh-CN"/>
              </w:rPr>
              <w:t>〔2014〕257号）</w:t>
            </w:r>
          </w:p>
        </w:tc>
      </w:tr>
      <w:tr w14:paraId="1EC5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454" w:type="dxa"/>
            <w:vAlign w:val="center"/>
          </w:tcPr>
          <w:p w14:paraId="502F4F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规划环境影响评价情况</w:t>
            </w:r>
          </w:p>
        </w:tc>
        <w:tc>
          <w:tcPr>
            <w:tcW w:w="9071" w:type="dxa"/>
            <w:gridSpan w:val="4"/>
            <w:vAlign w:val="center"/>
          </w:tcPr>
          <w:p w14:paraId="01AC257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ascii="Times New Roman" w:hAnsi="Times New Roman" w:eastAsia="宋体" w:cs="Times New Roman"/>
                <w:b/>
                <w:bCs/>
                <w:color w:val="auto"/>
                <w:sz w:val="24"/>
              </w:rPr>
              <w:t>规划环境影响评价文件名称：</w:t>
            </w:r>
            <w:r>
              <w:rPr>
                <w:rFonts w:hint="eastAsia" w:ascii="Times New Roman" w:hAnsi="Times New Roman" w:eastAsia="宋体" w:cs="Times New Roman"/>
                <w:b w:val="0"/>
                <w:bCs w:val="0"/>
                <w:color w:val="auto"/>
                <w:sz w:val="24"/>
                <w:lang w:val="en-US" w:eastAsia="zh-CN"/>
              </w:rPr>
              <w:t>《达州市农产品加工集中区规划环境影响报告书》</w:t>
            </w:r>
          </w:p>
          <w:p w14:paraId="1F08725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auto"/>
                <w:sz w:val="24"/>
                <w:lang w:val="en-US" w:eastAsia="zh-CN"/>
              </w:rPr>
            </w:pPr>
            <w:r>
              <w:rPr>
                <w:rFonts w:ascii="Times New Roman" w:hAnsi="Times New Roman" w:eastAsia="宋体" w:cs="Times New Roman"/>
                <w:b/>
                <w:bCs/>
                <w:color w:val="auto"/>
                <w:sz w:val="24"/>
              </w:rPr>
              <w:t>审查机关：</w:t>
            </w:r>
            <w:r>
              <w:rPr>
                <w:rFonts w:hint="eastAsia" w:cs="Times New Roman"/>
                <w:b/>
                <w:bCs/>
                <w:color w:val="auto"/>
                <w:sz w:val="24"/>
                <w:lang w:val="en-US" w:eastAsia="zh-CN"/>
              </w:rPr>
              <w:t>原</w:t>
            </w:r>
            <w:r>
              <w:rPr>
                <w:rFonts w:hint="eastAsia" w:ascii="Times New Roman" w:hAnsi="Times New Roman" w:eastAsia="宋体" w:cs="Times New Roman"/>
                <w:b w:val="0"/>
                <w:bCs w:val="0"/>
                <w:color w:val="auto"/>
                <w:sz w:val="24"/>
                <w:lang w:val="en-US" w:eastAsia="zh-CN"/>
              </w:rPr>
              <w:t>四川省环境保护厅</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现为：四川省生态环境厅</w:t>
            </w:r>
            <w:r>
              <w:rPr>
                <w:rFonts w:hint="eastAsia" w:cs="Times New Roman"/>
                <w:b w:val="0"/>
                <w:bCs w:val="0"/>
                <w:color w:val="auto"/>
                <w:sz w:val="24"/>
                <w:lang w:val="en-US" w:eastAsia="zh-CN"/>
              </w:rPr>
              <w:t>）</w:t>
            </w:r>
          </w:p>
          <w:p w14:paraId="581F9E4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auto"/>
                <w:sz w:val="24"/>
                <w:lang w:val="en-US" w:eastAsia="zh-CN"/>
              </w:rPr>
            </w:pPr>
            <w:r>
              <w:rPr>
                <w:rFonts w:ascii="Times New Roman" w:hAnsi="Times New Roman" w:eastAsia="宋体" w:cs="Times New Roman"/>
                <w:b/>
                <w:bCs/>
                <w:color w:val="auto"/>
                <w:sz w:val="24"/>
              </w:rPr>
              <w:t>审查文件名称及文号：</w:t>
            </w:r>
            <w:r>
              <w:rPr>
                <w:rFonts w:hint="eastAsia" w:ascii="Times New Roman" w:hAnsi="Times New Roman" w:eastAsia="宋体" w:cs="Times New Roman"/>
                <w:b w:val="0"/>
                <w:bCs w:val="0"/>
                <w:color w:val="auto"/>
                <w:sz w:val="24"/>
                <w:lang w:val="en-US" w:eastAsia="zh-CN"/>
              </w:rPr>
              <w:t>《关于印发</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达州市农产品加工集中区规划环境影响报告书</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审查意见的函》</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川环建</w:t>
            </w:r>
            <w:r>
              <w:rPr>
                <w:rFonts w:hint="eastAsia" w:cs="Times New Roman"/>
                <w:b w:val="0"/>
                <w:bCs w:val="0"/>
                <w:color w:val="auto"/>
                <w:sz w:val="24"/>
                <w:lang w:val="en-US" w:eastAsia="zh-CN"/>
              </w:rPr>
              <w:t>〔2013〕66号）</w:t>
            </w:r>
          </w:p>
          <w:p w14:paraId="6E9668C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pPr>
            <w:r>
              <w:rPr>
                <w:rFonts w:ascii="Times New Roman" w:hAnsi="Times New Roman" w:eastAsia="宋体" w:cs="Times New Roman"/>
                <w:b/>
                <w:bCs/>
                <w:color w:val="auto"/>
                <w:sz w:val="24"/>
              </w:rPr>
              <w:t>规划环境影响</w:t>
            </w:r>
            <w:r>
              <w:rPr>
                <w:rFonts w:hint="eastAsia" w:cs="Times New Roman"/>
                <w:b/>
                <w:bCs/>
                <w:color w:val="auto"/>
                <w:sz w:val="24"/>
                <w:lang w:val="en-US" w:eastAsia="zh-CN"/>
              </w:rPr>
              <w:t>跟踪</w:t>
            </w:r>
            <w:r>
              <w:rPr>
                <w:rFonts w:ascii="Times New Roman" w:hAnsi="Times New Roman" w:eastAsia="宋体" w:cs="Times New Roman"/>
                <w:b/>
                <w:bCs/>
                <w:color w:val="auto"/>
                <w:sz w:val="24"/>
              </w:rPr>
              <w:t>评价文件名称：</w:t>
            </w:r>
            <w:r>
              <w:rPr>
                <w:rFonts w:hint="eastAsia" w:ascii="Times New Roman" w:hAnsi="Times New Roman" w:eastAsia="宋体" w:cs="Times New Roman"/>
                <w:b w:val="0"/>
                <w:bCs w:val="0"/>
                <w:color w:val="auto"/>
                <w:sz w:val="24"/>
                <w:lang w:val="en-US" w:eastAsia="zh-CN"/>
              </w:rPr>
              <w:t>《达州市农产品加工集中区规划环境影响跟踪评价报告书》</w:t>
            </w:r>
          </w:p>
          <w:p w14:paraId="502A4A31">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auto"/>
                <w:sz w:val="24"/>
                <w:lang w:val="en-US" w:eastAsia="zh-CN"/>
              </w:rPr>
            </w:pPr>
            <w:r>
              <w:rPr>
                <w:rFonts w:ascii="Times New Roman" w:hAnsi="Times New Roman" w:eastAsia="宋体" w:cs="Times New Roman"/>
                <w:b/>
                <w:bCs/>
                <w:color w:val="auto"/>
                <w:sz w:val="24"/>
              </w:rPr>
              <w:t>审查机关：</w:t>
            </w:r>
            <w:r>
              <w:rPr>
                <w:rFonts w:hint="eastAsia" w:cs="Times New Roman"/>
                <w:b/>
                <w:bCs/>
                <w:color w:val="auto"/>
                <w:sz w:val="24"/>
                <w:lang w:val="en-US" w:eastAsia="zh-CN"/>
              </w:rPr>
              <w:t>/</w:t>
            </w:r>
          </w:p>
          <w:p w14:paraId="2166320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sz w:val="24"/>
                <w:lang w:val="en-US" w:eastAsia="zh-CN"/>
              </w:rPr>
            </w:pPr>
            <w:r>
              <w:rPr>
                <w:rFonts w:ascii="Times New Roman" w:hAnsi="Times New Roman" w:eastAsia="宋体" w:cs="Times New Roman"/>
                <w:b/>
                <w:bCs/>
                <w:color w:val="auto"/>
                <w:sz w:val="24"/>
              </w:rPr>
              <w:t>审查文件名称及文号：</w:t>
            </w:r>
            <w:r>
              <w:rPr>
                <w:rFonts w:hint="eastAsia" w:ascii="Times New Roman" w:hAnsi="Times New Roman" w:eastAsia="宋体" w:cs="Times New Roman"/>
                <w:b w:val="0"/>
                <w:bCs w:val="0"/>
                <w:color w:val="auto"/>
                <w:sz w:val="24"/>
                <w:lang w:val="en-US" w:eastAsia="zh-CN"/>
              </w:rPr>
              <w:t>《达州市农产品加工集中区规划环境影响跟踪评价报告书》专家论证意见</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2021年3月31日</w:t>
            </w:r>
            <w:r>
              <w:rPr>
                <w:rFonts w:hint="eastAsia" w:cs="Times New Roman"/>
                <w:b w:val="0"/>
                <w:bCs w:val="0"/>
                <w:color w:val="auto"/>
                <w:sz w:val="24"/>
                <w:lang w:val="en-US" w:eastAsia="zh-CN"/>
              </w:rPr>
              <w:t>）</w:t>
            </w:r>
          </w:p>
          <w:p w14:paraId="0F2E09D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宋体"/>
                <w:lang w:val="en-US" w:eastAsia="zh-CN"/>
              </w:rPr>
            </w:pPr>
            <w:r>
              <w:rPr>
                <w:rFonts w:hint="eastAsia"/>
                <w:lang w:val="en-US" w:eastAsia="zh-CN"/>
              </w:rPr>
              <w:t>根据达州市通川区工业集中区管理委员会《关于达州市通川区工业集中区和达州市农产品加工集中区为同一集中区地说明》（2016年5月8日），达州市通川区工业集中区与达州市农产品加工集中区系“两园合一、市区共建、以区为主”的同一园区。</w:t>
            </w:r>
          </w:p>
        </w:tc>
      </w:tr>
      <w:tr w14:paraId="4B7B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454" w:type="dxa"/>
            <w:vAlign w:val="center"/>
          </w:tcPr>
          <w:p w14:paraId="27586F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规划及规划环境影响评价符合性分析</w:t>
            </w:r>
          </w:p>
        </w:tc>
        <w:tc>
          <w:tcPr>
            <w:tcW w:w="9071" w:type="dxa"/>
            <w:gridSpan w:val="4"/>
            <w:vAlign w:val="center"/>
          </w:tcPr>
          <w:p w14:paraId="28BE0DFC">
            <w:pPr>
              <w:keepLines/>
              <w:pageBreakBefore w:val="0"/>
              <w:widowControl w:val="0"/>
              <w:wordWrap/>
              <w:spacing w:line="360" w:lineRule="auto"/>
              <w:ind w:firstLine="482" w:firstLineChars="200"/>
              <w:jc w:val="both"/>
              <w:rPr>
                <w:rFonts w:hint="eastAsia"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1、与达州市农产品加工集中区规划及规划环评</w:t>
            </w:r>
            <w:r>
              <w:rPr>
                <w:rFonts w:hint="eastAsia" w:cs="Times New Roman"/>
                <w:b/>
                <w:bCs/>
                <w:color w:val="auto"/>
                <w:kern w:val="24"/>
                <w:sz w:val="24"/>
                <w:lang w:val="en-US" w:eastAsia="zh-CN" w:bidi="ar-SA"/>
              </w:rPr>
              <w:t>及其审查意见</w:t>
            </w:r>
            <w:r>
              <w:rPr>
                <w:rFonts w:hint="eastAsia" w:ascii="Times New Roman" w:hAnsi="Times New Roman" w:eastAsia="宋体" w:cs="Times New Roman"/>
                <w:b/>
                <w:bCs/>
                <w:color w:val="auto"/>
                <w:kern w:val="24"/>
                <w:sz w:val="24"/>
                <w:lang w:val="en-US" w:eastAsia="zh-CN" w:bidi="ar-SA"/>
              </w:rPr>
              <w:t>符合性分析</w:t>
            </w:r>
          </w:p>
          <w:p w14:paraId="230D1DF4">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达州市农产品加工集中区位于达州市城市西北部，规划用地东南以达陕高速以东郭家梁为界，北至蒲家、龙滩、独寨一线，西至襄渝铁路及复线，南部以凤凰山为界，总用地面积为13.8km</w:t>
            </w:r>
            <w:r>
              <w:rPr>
                <w:rFonts w:hint="eastAsia" w:ascii="Times New Roman" w:hAnsi="Times New Roman" w:eastAsia="宋体" w:cs="Times New Roman"/>
                <w:b w:val="0"/>
                <w:bCs w:val="0"/>
                <w:color w:val="auto"/>
                <w:kern w:val="24"/>
                <w:sz w:val="24"/>
                <w:vertAlign w:val="superscript"/>
                <w:lang w:val="en-US" w:eastAsia="zh-CN" w:bidi="ar-SA"/>
              </w:rPr>
              <w:t>2</w:t>
            </w:r>
            <w:r>
              <w:rPr>
                <w:rFonts w:hint="eastAsia" w:ascii="Times New Roman" w:hAnsi="Times New Roman" w:eastAsia="宋体" w:cs="Times New Roman"/>
                <w:b w:val="0"/>
                <w:bCs w:val="0"/>
                <w:color w:val="auto"/>
                <w:kern w:val="24"/>
                <w:sz w:val="24"/>
                <w:lang w:val="en-US" w:eastAsia="zh-CN" w:bidi="ar-SA"/>
              </w:rPr>
              <w:t>，根据达州市经济和信息化委员会制定《达州市“十二五”产业规划》，确定达州市农产品加工集中区产业定位为三大类：农产品加工、食品、医药，配套发展物流。</w:t>
            </w:r>
          </w:p>
          <w:p w14:paraId="45FEB26A">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（1）产业定位</w:t>
            </w:r>
          </w:p>
          <w:p w14:paraId="48FC3959">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达州市农产品加工集中区定位为以农产品加工、食品、医药为主导，配套发展物流的现代工业规划区，达州城市北部重要产业增长极，达州市级城市化、工业化两化互动示范区域，宜业、宜居的“双宜”之城。“宜业之城”：通过产业组合优化、政策改善等方式形成良好的工业发展氛围，吸引更多的现代工业产业落户；“宜居之城”：结合魏兴镇的城镇化发展，以工业化带动城市化，城市化为工业化提供良好的生活服务功能，从而实现产业发展与城市发展相得益彰的良好局面。现代工业与吸纳带居住模式相结合，形成以工业社区为主要模式的新都市，改变以往工业区环境恶劣的缺点，形成环境优美、居住舒适的田园城市。</w:t>
            </w:r>
          </w:p>
          <w:p w14:paraId="38E1B43D">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（2）产业功能分区</w:t>
            </w:r>
          </w:p>
          <w:p w14:paraId="231B4463">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根据不同产业的特点和需求，划分为公共服务功能区、科技研发组团、居住组团仓储物流组团、农产品加工组团、食品组团和医药组团。</w:t>
            </w:r>
          </w:p>
          <w:p w14:paraId="172B1505">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A、公共服务功能区：位于规划区中部，南接景观湖，北至大坪村澄子盖，涵盖了行政办公、商贸服务、信息咨询等若干公共服务功能，形成整个工业集中区的公共功能集中区较易发挥聚集经济。</w:t>
            </w:r>
          </w:p>
          <w:p w14:paraId="491F0652">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B、科技研发组团：位于基地中北部，大坪村石庙、龚家湾片区，结合南部水系布置滨水景观，并引入组团内部，形成良好的工作办公环境。</w:t>
            </w:r>
          </w:p>
          <w:p w14:paraId="3E9C9D91">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C、西侧居住组团、东侧居住组团：位于基地中、东部，包括汉渝公路东侧现状保留建筑。区内景观良好，生态优越，具有集中建设生活居住区的优良条件。</w:t>
            </w:r>
          </w:p>
          <w:p w14:paraId="1C471C27">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D、仓储物流组团：位于基地西南部，紧靠达陕高速下道口及魏复路，交通条件极为优越，地势较高，适宜集中布置仓储物流用地。</w:t>
            </w:r>
          </w:p>
          <w:p w14:paraId="51D18E58">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E、农产品加工组团：位于基地西北部和东南部，西北部区域北靠山体，南临居住组团用地条件较为平坦高爽，适于农产品加工区产业发展。并且南靠达陕达巴高速，西部有襄渝铁路及复线，北靠蒲家镇，用地条件较好，交通较为便利。</w:t>
            </w:r>
          </w:p>
          <w:p w14:paraId="4C3F7B7A">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F、食品组团：位于基地东北部，用地条件平坦高爽，适于食品产业发展。</w:t>
            </w:r>
          </w:p>
          <w:p w14:paraId="655E6FE7">
            <w:pPr>
              <w:keepLines/>
              <w:pageBreakBefore w:val="0"/>
              <w:widowControl w:val="0"/>
              <w:wordWrap/>
              <w:spacing w:line="360" w:lineRule="auto"/>
              <w:ind w:firstLine="480" w:firstLineChars="200"/>
              <w:jc w:val="both"/>
            </w:pPr>
            <w:r>
              <w:rPr>
                <w:rFonts w:hint="eastAsia" w:ascii="Times New Roman" w:hAnsi="Times New Roman" w:eastAsia="宋体" w:cs="Times New Roman"/>
                <w:b w:val="0"/>
                <w:bCs w:val="0"/>
                <w:color w:val="auto"/>
                <w:kern w:val="24"/>
                <w:sz w:val="24"/>
                <w:lang w:val="en-US" w:eastAsia="zh-CN" w:bidi="ar-SA"/>
              </w:rPr>
              <w:t>G、医药组团：位于基地南部，南靠凤凰山森林公园，西接仓储物流园区，北陕达巴高速，用地局部坡度较大，靠近仓储物流园区，物资储运较为方便。</w:t>
            </w:r>
          </w:p>
          <w:p w14:paraId="1EA98AA2">
            <w:pPr>
              <w:keepLines/>
              <w:pageBreakBefore w:val="0"/>
              <w:widowControl w:val="0"/>
              <w:wordWrap/>
              <w:spacing w:line="360" w:lineRule="auto"/>
              <w:ind w:firstLine="480" w:firstLineChars="200"/>
              <w:jc w:val="both"/>
              <w:rPr>
                <w:rFonts w:hint="default" w:eastAsia="宋体"/>
                <w:lang w:val="en-US" w:eastAsia="zh-CN"/>
              </w:rPr>
            </w:pPr>
            <w:r>
              <w:rPr>
                <w:rFonts w:hint="eastAsia"/>
                <w:lang w:val="en-US" w:eastAsia="zh-CN"/>
              </w:rPr>
              <w:t>本项目位于达州市农产品加工集中区的西北部区域，属于农产品加工组团。</w:t>
            </w:r>
          </w:p>
          <w:p w14:paraId="6A95F45D">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（3）产业准入要求</w:t>
            </w:r>
          </w:p>
          <w:p w14:paraId="7F7411A1">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根据《达州市农产品加工集中区规划环境影响报告书》</w:t>
            </w:r>
            <w:r>
              <w:rPr>
                <w:rFonts w:hint="eastAsia" w:cs="Times New Roman"/>
                <w:b w:val="0"/>
                <w:bCs w:val="0"/>
                <w:color w:val="auto"/>
                <w:kern w:val="24"/>
                <w:sz w:val="24"/>
                <w:lang w:val="en-US" w:eastAsia="zh-CN" w:bidi="ar-SA"/>
              </w:rPr>
              <w:t>及</w:t>
            </w:r>
            <w:r>
              <w:rPr>
                <w:rFonts w:hint="eastAsia" w:ascii="Times New Roman" w:hAnsi="Times New Roman" w:eastAsia="宋体" w:cs="Times New Roman"/>
                <w:b w:val="0"/>
                <w:bCs w:val="0"/>
                <w:color w:val="auto"/>
                <w:kern w:val="24"/>
                <w:sz w:val="24"/>
                <w:lang w:val="en-US" w:eastAsia="zh-CN" w:bidi="ar-SA"/>
              </w:rPr>
              <w:t>审查意见</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达州市农产品加工集中区鼓励、禁止及</w:t>
            </w:r>
            <w:r>
              <w:rPr>
                <w:rFonts w:hint="eastAsia" w:cs="Times New Roman"/>
                <w:b w:val="0"/>
                <w:bCs w:val="0"/>
                <w:color w:val="auto"/>
                <w:kern w:val="24"/>
                <w:sz w:val="24"/>
                <w:lang w:val="en-US" w:eastAsia="zh-CN" w:bidi="ar-SA"/>
              </w:rPr>
              <w:t>允许类项目的</w:t>
            </w:r>
            <w:r>
              <w:rPr>
                <w:rFonts w:hint="eastAsia" w:ascii="Times New Roman" w:hAnsi="Times New Roman" w:eastAsia="宋体" w:cs="Times New Roman"/>
                <w:b w:val="0"/>
                <w:bCs w:val="0"/>
                <w:color w:val="auto"/>
                <w:kern w:val="24"/>
                <w:sz w:val="24"/>
                <w:lang w:val="en-US" w:eastAsia="zh-CN" w:bidi="ar-SA"/>
              </w:rPr>
              <w:t>情况如下。</w:t>
            </w:r>
          </w:p>
          <w:p w14:paraId="090CB6C4">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鼓励类：</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1</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符合园区主导产业的项目。</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2</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与园区主导产业相配套产业，企业效益明显，对区域不造成明显污染，遵循清洁生产及循环经济的项目。</w:t>
            </w:r>
          </w:p>
          <w:p w14:paraId="2FB68EED">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禁止类：</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1</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不符合国家产业政策和行业准入条件的项目。</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2</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农产品加工业禁止发展屠宰和白酒酿造，医药产业禁止引入合成制药和发酵制药，现代物流业禁止引入化工物流。</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3</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与园区主导产业不相容的项目。</w:t>
            </w:r>
          </w:p>
          <w:p w14:paraId="709C52EA">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允许类：不属于上述鼓励类、禁止类，与园区主导产业不相排斥和不矛盾、不形成交叉影响的，符合产业政策、选址与周围环境相容的其他项目。</w:t>
            </w:r>
          </w:p>
          <w:p w14:paraId="4C807819">
            <w:pPr>
              <w:pStyle w:val="21"/>
              <w:keepNext w:val="0"/>
              <w:keepLines w:val="0"/>
              <w:pageBreakBefore w:val="0"/>
              <w:widowControl w:val="0"/>
              <w:kinsoku/>
              <w:wordWrap w:val="0"/>
              <w:overflowPunct/>
              <w:topLinePunct w:val="0"/>
              <w:autoSpaceDE/>
              <w:autoSpaceDN/>
              <w:bidi w:val="0"/>
              <w:adjustRightInd/>
              <w:snapToGrid/>
              <w:ind w:firstLineChars="200"/>
              <w:jc w:val="both"/>
              <w:textAlignment w:val="auto"/>
              <w:rPr>
                <w:rFonts w:hint="default" w:ascii="Times New Roman" w:hAnsi="Times New Roman" w:cs="Times New Roman"/>
                <w:b w:val="0"/>
                <w:bCs w:val="0"/>
                <w:color w:val="auto"/>
                <w:sz w:val="24"/>
                <w:lang w:val="en-US" w:eastAsia="zh-CN"/>
              </w:rPr>
            </w:pPr>
            <w:r>
              <w:rPr>
                <w:rFonts w:hint="eastAsia" w:ascii="Times New Roman" w:hAnsi="Times New Roman" w:eastAsia="宋体" w:cs="Times New Roman"/>
                <w:b w:val="0"/>
                <w:bCs w:val="0"/>
                <w:color w:val="auto"/>
                <w:kern w:val="24"/>
                <w:sz w:val="24"/>
                <w:highlight w:val="none"/>
                <w:lang w:val="en-US" w:eastAsia="zh-CN" w:bidi="ar-SA"/>
              </w:rPr>
              <w:t>本项目为氢能源混合动力系统和氢能源两轮车的技改项目</w:t>
            </w:r>
            <w:r>
              <w:rPr>
                <w:rFonts w:hint="eastAsia" w:ascii="Times New Roman" w:hAnsi="Times New Roman" w:cs="Times New Roman"/>
                <w:b w:val="0"/>
                <w:bCs w:val="0"/>
                <w:color w:val="auto"/>
                <w:kern w:val="24"/>
                <w:sz w:val="24"/>
                <w:highlight w:val="none"/>
                <w:lang w:val="en-US" w:eastAsia="zh-CN" w:bidi="ar-SA"/>
              </w:rPr>
              <w:t>，</w:t>
            </w:r>
            <w:r>
              <w:rPr>
                <w:rFonts w:hint="eastAsia" w:ascii="Times New Roman" w:hAnsi="Times New Roman" w:eastAsia="宋体" w:cs="Times New Roman"/>
                <w:b w:val="0"/>
                <w:bCs w:val="0"/>
                <w:color w:val="auto"/>
                <w:kern w:val="24"/>
                <w:sz w:val="24"/>
                <w:highlight w:val="none"/>
                <w:lang w:val="en-US" w:eastAsia="zh-CN" w:bidi="ar-SA"/>
              </w:rPr>
              <w:t>不属于园区禁止类产业，属于允许入驻园区的产业，符合园区产业准入要求；</w:t>
            </w:r>
            <w:r>
              <w:rPr>
                <w:rFonts w:hint="default" w:ascii="Times New Roman" w:hAnsi="Times New Roman" w:eastAsia="宋体" w:cs="Times New Roman"/>
                <w:b w:val="0"/>
                <w:bCs w:val="0"/>
                <w:color w:val="auto"/>
                <w:sz w:val="24"/>
                <w:highlight w:val="none"/>
                <w:lang w:val="en-US" w:eastAsia="zh-CN"/>
              </w:rPr>
              <w:t>根据《产业结构调整指导目录（2024年本）》，本项目属于鼓励类</w:t>
            </w:r>
            <w:r>
              <w:rPr>
                <w:rFonts w:hint="eastAsia" w:ascii="Times New Roman" w:hAnsi="Times New Roman" w:cs="Times New Roman"/>
                <w:b w:val="0"/>
                <w:bCs w:val="0"/>
                <w:color w:val="auto"/>
                <w:sz w:val="24"/>
                <w:highlight w:val="none"/>
                <w:lang w:val="en-US" w:eastAsia="zh-CN"/>
              </w:rPr>
              <w:t>行业</w:t>
            </w:r>
            <w:r>
              <w:rPr>
                <w:rFonts w:hint="eastAsia" w:ascii="Times New Roman" w:hAnsi="Times New Roman" w:eastAsia="宋体" w:cs="Times New Roman"/>
                <w:b w:val="0"/>
                <w:bCs w:val="0"/>
                <w:color w:val="auto"/>
                <w:kern w:val="24"/>
                <w:sz w:val="24"/>
                <w:highlight w:val="none"/>
                <w:lang w:val="en-US" w:eastAsia="zh-CN" w:bidi="ar-SA"/>
              </w:rPr>
              <w:t>。</w:t>
            </w:r>
            <w:r>
              <w:rPr>
                <w:rFonts w:hint="eastAsia" w:ascii="Times New Roman" w:hAnsi="Times New Roman" w:cs="Times New Roman"/>
                <w:b w:val="0"/>
                <w:bCs w:val="0"/>
                <w:color w:val="auto"/>
                <w:sz w:val="24"/>
                <w:lang w:val="en-US" w:eastAsia="zh-CN"/>
              </w:rPr>
              <w:t>本项目营运期产生的废水、废气、噪声和固废均得到有效处置，对周围外环境影响较小。与周围食品企业存在一定距离，不会对其生产运行造成影响。目前，项目已取得四川达州通川经济开发区管理委员会《关于聚智（达州）氢能科技有限公司入驻园区的函》，明确本项目与园区主导产业不相排斥和不矛盾、不形成交叉影响，符合园区土地利用规划和产业定位，同意该项目入驻园区。</w:t>
            </w:r>
          </w:p>
          <w:p w14:paraId="39E1D9A7">
            <w:pPr>
              <w:keepLines/>
              <w:pageBreakBefore w:val="0"/>
              <w:widowControl w:val="0"/>
              <w:wordWrap/>
              <w:spacing w:line="360" w:lineRule="auto"/>
              <w:ind w:firstLine="482" w:firstLineChars="200"/>
              <w:jc w:val="both"/>
              <w:rPr>
                <w:rFonts w:hint="eastAsia"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2、与《达州市农产品加工集中区规划环境影响跟踪评价报告书》</w:t>
            </w:r>
            <w:r>
              <w:rPr>
                <w:rFonts w:hint="eastAsia" w:cs="Times New Roman"/>
                <w:b/>
                <w:bCs/>
                <w:color w:val="auto"/>
                <w:kern w:val="24"/>
                <w:sz w:val="24"/>
                <w:lang w:val="en-US" w:eastAsia="zh-CN" w:bidi="ar-SA"/>
              </w:rPr>
              <w:t>及其专家论证意见</w:t>
            </w:r>
            <w:r>
              <w:rPr>
                <w:rFonts w:hint="eastAsia" w:ascii="Times New Roman" w:hAnsi="Times New Roman" w:eastAsia="宋体" w:cs="Times New Roman"/>
                <w:b/>
                <w:bCs/>
                <w:color w:val="auto"/>
                <w:kern w:val="24"/>
                <w:sz w:val="24"/>
                <w:lang w:val="en-US" w:eastAsia="zh-CN" w:bidi="ar-SA"/>
              </w:rPr>
              <w:t>的符合性分析</w:t>
            </w:r>
          </w:p>
          <w:p w14:paraId="7B7CEBBB">
            <w:pPr>
              <w:keepLines/>
              <w:pageBreakBefore w:val="0"/>
              <w:widowControl w:val="0"/>
              <w:wordWrap/>
              <w:spacing w:line="360" w:lineRule="auto"/>
              <w:ind w:firstLine="480"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根据《达州市农产品加工集中区规划环境影响跟踪评价报告书》</w:t>
            </w:r>
            <w:r>
              <w:rPr>
                <w:rFonts w:hint="eastAsia" w:cs="Times New Roman"/>
                <w:b w:val="0"/>
                <w:bCs w:val="0"/>
                <w:color w:val="auto"/>
                <w:kern w:val="24"/>
                <w:sz w:val="24"/>
                <w:lang w:val="en-US" w:eastAsia="zh-CN" w:bidi="ar-SA"/>
              </w:rPr>
              <w:t>及专家论证意见</w:t>
            </w:r>
            <w:r>
              <w:rPr>
                <w:rFonts w:hint="eastAsia" w:ascii="Times New Roman" w:hAnsi="Times New Roman" w:eastAsia="宋体" w:cs="Times New Roman"/>
                <w:b w:val="0"/>
                <w:bCs w:val="0"/>
                <w:color w:val="auto"/>
                <w:kern w:val="24"/>
                <w:sz w:val="24"/>
                <w:lang w:val="en-US" w:eastAsia="zh-CN" w:bidi="ar-SA"/>
              </w:rPr>
              <w:t>，达州市农产品加工集中区</w:t>
            </w:r>
            <w:r>
              <w:rPr>
                <w:rFonts w:hint="eastAsia" w:cs="Times New Roman"/>
                <w:b w:val="0"/>
                <w:bCs w:val="0"/>
                <w:color w:val="auto"/>
                <w:kern w:val="24"/>
                <w:sz w:val="24"/>
                <w:lang w:val="en-US" w:eastAsia="zh-CN" w:bidi="ar-SA"/>
              </w:rPr>
              <w:t>区域后续环境准入清单、清洁生产要求</w:t>
            </w:r>
            <w:r>
              <w:rPr>
                <w:rFonts w:hint="eastAsia" w:ascii="Times New Roman" w:hAnsi="Times New Roman" w:eastAsia="宋体" w:cs="Times New Roman"/>
                <w:b w:val="0"/>
                <w:bCs w:val="0"/>
                <w:color w:val="auto"/>
                <w:kern w:val="24"/>
                <w:sz w:val="24"/>
                <w:lang w:val="en-US" w:eastAsia="zh-CN" w:bidi="ar-SA"/>
              </w:rPr>
              <w:t>情况如下。</w:t>
            </w:r>
          </w:p>
          <w:p w14:paraId="5299E4F3">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区域后续环境准入清单</w:t>
            </w:r>
            <w:r>
              <w:rPr>
                <w:rFonts w:hint="eastAsia" w:cs="Times New Roman"/>
                <w:b w:val="0"/>
                <w:bCs w:val="0"/>
                <w:color w:val="auto"/>
                <w:kern w:val="24"/>
                <w:sz w:val="24"/>
                <w:lang w:val="en-US" w:eastAsia="zh-CN" w:bidi="ar-SA"/>
              </w:rPr>
              <w:t>：</w:t>
            </w:r>
          </w:p>
          <w:p w14:paraId="2B8B6FE0">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（1）禁止新建不符合国家产业政策、行业准入条件以及国家和地方明令禁止的项目。国家明令禁止的“十五小”“新五小”企业及工业设备落后、污染严重，且污染物不能进行有效治理的项目；</w:t>
            </w:r>
          </w:p>
          <w:p w14:paraId="35BC4190">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（2）禁止新建项目清洁生产水平达不到行业清洁生产标准二级标准或低于全国同类企业平均清洁生产水平的项目；</w:t>
            </w:r>
          </w:p>
          <w:p w14:paraId="45197946">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（3）禁止新建不符合国家及省、市重金属污染防治规划要求的项目；</w:t>
            </w:r>
          </w:p>
          <w:p w14:paraId="59DCE606">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（4）禁止引入与周边生活空间冲突或环保论证与周边企业、规划用地等环境不相容或存在重大环境风险隐患且无法消除的项目；</w:t>
            </w:r>
          </w:p>
          <w:p w14:paraId="36AE190D">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（5）禁止新建不符合集中区能源结构及不符合国家/省/市大气污染防治要求的项目，禁止新建燃煤锅炉和生物质燃料锅炉；</w:t>
            </w:r>
          </w:p>
          <w:p w14:paraId="56311831">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（6）禁止引入生产《危险化学品目录》中的剧毒品的项目；</w:t>
            </w:r>
          </w:p>
          <w:p w14:paraId="3C11516D">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（7）主导产业以农产品加工、食品、医药为主导，配套发展物流的现代工业集中区。其中，农产品加工业禁止发展屠宰和白酒酿造，医药产业禁止引入合成制药和发酵制药，现代物流业禁止引入化工物流；</w:t>
            </w:r>
          </w:p>
          <w:p w14:paraId="538E2201">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（8）其他参照达州市“三线一单”提出的关于达州市农产品加工集中区的负面清单、准入要求。</w:t>
            </w:r>
          </w:p>
          <w:p w14:paraId="5D674CD7">
            <w:pPr>
              <w:keepLines/>
              <w:pageBreakBefore w:val="0"/>
              <w:widowControl w:val="0"/>
              <w:wordWrap/>
              <w:spacing w:line="360" w:lineRule="auto"/>
              <w:ind w:firstLine="480" w:firstLineChars="200"/>
              <w:jc w:val="both"/>
              <w:rPr>
                <w:rFonts w:hint="eastAsia" w:cs="Times New Roman"/>
                <w:b w:val="0"/>
                <w:bCs w:val="0"/>
                <w:color w:val="auto"/>
                <w:kern w:val="24"/>
                <w:sz w:val="24"/>
                <w:lang w:val="en-US" w:eastAsia="zh-CN" w:bidi="ar-SA"/>
              </w:rPr>
            </w:pPr>
            <w:r>
              <w:rPr>
                <w:rFonts w:hint="eastAsia" w:cs="Times New Roman"/>
                <w:b w:val="0"/>
                <w:bCs w:val="0"/>
                <w:color w:val="auto"/>
                <w:kern w:val="24"/>
                <w:sz w:val="24"/>
                <w:lang w:val="en-US" w:eastAsia="zh-CN" w:bidi="ar-SA"/>
              </w:rPr>
              <w:t>清洁生产要求：后续入区企业必须采用国际或国内先进水平的生产工艺、设备及污染治理技术，能耗、物耗、水耗等均应达到相应行业的清洁生产水平二级或国内先进水平。</w:t>
            </w:r>
          </w:p>
          <w:p w14:paraId="097B3F39">
            <w:pPr>
              <w:pStyle w:val="21"/>
              <w:keepLines w:val="0"/>
              <w:pageBreakBefore w:val="0"/>
              <w:widowControl w:val="0"/>
              <w:wordWrap w:val="0"/>
              <w:ind w:firstLineChars="200"/>
              <w:jc w:val="both"/>
              <w:rPr>
                <w:rFonts w:hint="eastAsia" w:ascii="Times New Roman" w:hAnsi="Times New Roman" w:eastAsia="宋体" w:cs="Times New Roman"/>
                <w:b w:val="0"/>
                <w:bCs w:val="0"/>
                <w:color w:val="auto"/>
                <w:kern w:val="24"/>
                <w:sz w:val="24"/>
                <w:lang w:val="en-US" w:eastAsia="zh-CN" w:bidi="ar-SA"/>
              </w:rPr>
            </w:pPr>
            <w:r>
              <w:rPr>
                <w:rFonts w:hint="eastAsia" w:ascii="Times New Roman" w:hAnsi="Times New Roman" w:eastAsia="宋体" w:cs="Times New Roman"/>
                <w:b w:val="0"/>
                <w:bCs w:val="0"/>
                <w:color w:val="auto"/>
                <w:kern w:val="24"/>
                <w:sz w:val="24"/>
                <w:lang w:val="en-US" w:eastAsia="zh-CN" w:bidi="ar-SA"/>
              </w:rPr>
              <w:t>本项目属于氢能源混合动力系统和氢能源两轮车的</w:t>
            </w:r>
            <w:r>
              <w:rPr>
                <w:rFonts w:hint="eastAsia" w:cs="Times New Roman"/>
                <w:b w:val="0"/>
                <w:bCs w:val="0"/>
                <w:color w:val="auto"/>
                <w:kern w:val="24"/>
                <w:sz w:val="24"/>
                <w:lang w:val="en-US" w:eastAsia="zh-CN" w:bidi="ar-SA"/>
              </w:rPr>
              <w:t>技术改造</w:t>
            </w:r>
            <w:r>
              <w:rPr>
                <w:rFonts w:hint="eastAsia" w:ascii="Times New Roman" w:hAnsi="Times New Roman" w:eastAsia="宋体" w:cs="Times New Roman"/>
                <w:b w:val="0"/>
                <w:bCs w:val="0"/>
                <w:color w:val="auto"/>
                <w:kern w:val="24"/>
                <w:sz w:val="24"/>
                <w:lang w:val="en-US" w:eastAsia="zh-CN" w:bidi="ar-SA"/>
              </w:rPr>
              <w:t>项目，</w:t>
            </w:r>
            <w:r>
              <w:rPr>
                <w:rFonts w:hint="default" w:ascii="Times New Roman" w:hAnsi="Times New Roman" w:eastAsia="宋体" w:cs="Times New Roman"/>
                <w:b w:val="0"/>
                <w:bCs w:val="0"/>
                <w:color w:val="auto"/>
                <w:sz w:val="24"/>
                <w:highlight w:val="none"/>
                <w:lang w:val="en-US" w:eastAsia="zh-CN"/>
              </w:rPr>
              <w:t>根据《产业结构调整指导目录（2024年本）》，本项目属于鼓励类</w:t>
            </w:r>
            <w:r>
              <w:rPr>
                <w:rFonts w:hint="eastAsia" w:ascii="Times New Roman" w:hAnsi="Times New Roman" w:cs="Times New Roman"/>
                <w:b w:val="0"/>
                <w:bCs w:val="0"/>
                <w:color w:val="auto"/>
                <w:sz w:val="24"/>
                <w:highlight w:val="none"/>
                <w:lang w:val="en-US" w:eastAsia="zh-CN"/>
              </w:rPr>
              <w:t>行业</w:t>
            </w:r>
            <w:r>
              <w:rPr>
                <w:rFonts w:hint="eastAsia" w:cs="Times New Roman"/>
                <w:b w:val="0"/>
                <w:bCs w:val="0"/>
                <w:color w:val="auto"/>
                <w:kern w:val="24"/>
                <w:sz w:val="24"/>
                <w:highlight w:val="none"/>
                <w:lang w:val="en-US" w:eastAsia="zh-CN" w:bidi="ar-SA"/>
              </w:rPr>
              <w:t>；</w:t>
            </w:r>
            <w:r>
              <w:rPr>
                <w:rFonts w:hint="eastAsia" w:cs="Times New Roman"/>
                <w:b w:val="0"/>
                <w:bCs w:val="0"/>
                <w:color w:val="auto"/>
                <w:sz w:val="24"/>
                <w:lang w:val="en-US" w:eastAsia="zh-CN"/>
              </w:rPr>
              <w:t>本项目</w:t>
            </w:r>
            <w:r>
              <w:rPr>
                <w:rFonts w:hint="eastAsia" w:cs="Times New Roman"/>
                <w:b w:val="0"/>
                <w:bCs w:val="0"/>
                <w:color w:val="auto"/>
                <w:kern w:val="24"/>
                <w:sz w:val="24"/>
                <w:lang w:val="en-US" w:eastAsia="zh-CN" w:bidi="ar-SA"/>
              </w:rPr>
              <w:t>不涉及重金属、燃煤锅炉、燃料锅炉和《危险化学品目录》中的剧毒品的使用，满足园区清洁生产的要求；</w:t>
            </w:r>
            <w:r>
              <w:rPr>
                <w:rFonts w:hint="eastAsia" w:ascii="Times New Roman" w:hAnsi="Times New Roman" w:cs="Times New Roman"/>
                <w:b w:val="0"/>
                <w:bCs w:val="0"/>
                <w:color w:val="auto"/>
                <w:sz w:val="24"/>
                <w:lang w:val="en-US" w:eastAsia="zh-CN"/>
              </w:rPr>
              <w:t>本项目营运期产生的废水、废气、噪声和固废均得到有效处置，对周围外环境影响较小。与周围食品企业存在一定距离，不会对其生产运行造成影响。目前，项目已取得四川达州通川经济开发区管理委员会《关于聚智（达州）氢能科技有限公司入驻园区的函》，明确本项目与园区主导产业不相排斥和不矛盾、不形成交叉影响，符合园区土地利用规划和产业定位，同意该项目入驻园区。</w:t>
            </w:r>
            <w:r>
              <w:rPr>
                <w:rFonts w:hint="eastAsia" w:cs="Times New Roman"/>
                <w:b w:val="0"/>
                <w:bCs w:val="0"/>
                <w:color w:val="auto"/>
                <w:kern w:val="24"/>
                <w:sz w:val="24"/>
                <w:lang w:val="en-US" w:eastAsia="zh-CN" w:bidi="ar-SA"/>
              </w:rPr>
              <w:t>因此，本项目</w:t>
            </w:r>
            <w:r>
              <w:rPr>
                <w:rFonts w:hint="eastAsia" w:ascii="Times New Roman" w:hAnsi="Times New Roman" w:eastAsia="宋体" w:cs="Times New Roman"/>
                <w:b w:val="0"/>
                <w:bCs w:val="0"/>
                <w:color w:val="auto"/>
                <w:kern w:val="24"/>
                <w:sz w:val="24"/>
                <w:lang w:val="en-US" w:eastAsia="zh-CN" w:bidi="ar-SA"/>
              </w:rPr>
              <w:t>符合《达州市农产品加工集中区规划环境影响跟踪评价报告书》及专家论证意见的相关要求</w:t>
            </w:r>
            <w:r>
              <w:rPr>
                <w:rFonts w:hint="eastAsia" w:cs="Times New Roman"/>
                <w:b w:val="0"/>
                <w:bCs w:val="0"/>
                <w:color w:val="auto"/>
                <w:kern w:val="24"/>
                <w:sz w:val="24"/>
                <w:lang w:val="en-US" w:eastAsia="zh-CN" w:bidi="ar-SA"/>
              </w:rPr>
              <w:t>，</w:t>
            </w:r>
            <w:r>
              <w:rPr>
                <w:rFonts w:hint="eastAsia" w:ascii="Times New Roman" w:hAnsi="Times New Roman" w:eastAsia="宋体" w:cs="Times New Roman"/>
                <w:b w:val="0"/>
                <w:bCs w:val="0"/>
                <w:color w:val="auto"/>
                <w:kern w:val="24"/>
                <w:sz w:val="24"/>
                <w:lang w:val="en-US" w:eastAsia="zh-CN" w:bidi="ar-SA"/>
              </w:rPr>
              <w:t>符合达州市农产品加工集中区环境准入要求。</w:t>
            </w:r>
          </w:p>
          <w:p w14:paraId="0D952E3A">
            <w:pPr>
              <w:keepLines/>
              <w:pageBreakBefore w:val="0"/>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cs="Times New Roman"/>
                <w:b/>
                <w:bCs/>
                <w:color w:val="auto"/>
                <w:kern w:val="24"/>
                <w:sz w:val="24"/>
                <w:highlight w:val="none"/>
                <w:lang w:val="en-US" w:eastAsia="zh-CN" w:bidi="ar-SA"/>
              </w:rPr>
              <w:t>综上所述，</w:t>
            </w:r>
            <w:r>
              <w:rPr>
                <w:rFonts w:hint="eastAsia" w:ascii="Times New Roman" w:hAnsi="Times New Roman" w:eastAsia="宋体" w:cs="Times New Roman"/>
                <w:b/>
                <w:bCs/>
                <w:color w:val="auto"/>
                <w:kern w:val="24"/>
                <w:sz w:val="24"/>
                <w:lang w:val="en-US" w:eastAsia="zh-CN" w:bidi="ar-SA"/>
              </w:rPr>
              <w:t>本项目</w:t>
            </w:r>
            <w:r>
              <w:rPr>
                <w:rFonts w:hint="eastAsia" w:cs="Times New Roman"/>
                <w:b/>
                <w:bCs/>
                <w:color w:val="auto"/>
                <w:kern w:val="24"/>
                <w:sz w:val="24"/>
                <w:lang w:val="en-US" w:eastAsia="zh-CN" w:bidi="ar-SA"/>
              </w:rPr>
              <w:t>符合园区规划及规划环评的要求</w:t>
            </w:r>
            <w:r>
              <w:rPr>
                <w:rFonts w:hint="eastAsia" w:ascii="Times New Roman" w:hAnsi="Times New Roman" w:eastAsia="宋体" w:cs="Times New Roman"/>
                <w:b/>
                <w:bCs/>
                <w:color w:val="auto"/>
                <w:kern w:val="24"/>
                <w:sz w:val="24"/>
                <w:lang w:val="en-US" w:eastAsia="zh-CN" w:bidi="ar-SA"/>
              </w:rPr>
              <w:t>。</w:t>
            </w:r>
          </w:p>
        </w:tc>
      </w:tr>
      <w:tr w14:paraId="078B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14:paraId="053153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4"/>
                <w:sz w:val="24"/>
                <w:lang w:val="en-US" w:eastAsia="zh-CN" w:bidi="ar-SA"/>
              </w:rPr>
            </w:pPr>
            <w:r>
              <w:rPr>
                <w:rFonts w:hint="eastAsia" w:cs="Times New Roman"/>
                <w:color w:val="auto"/>
                <w:kern w:val="24"/>
                <w:sz w:val="24"/>
                <w:lang w:val="en-US" w:eastAsia="zh-CN" w:bidi="ar-SA"/>
              </w:rPr>
              <w:t>其</w:t>
            </w:r>
            <w:r>
              <w:rPr>
                <w:rFonts w:hint="eastAsia" w:ascii="Times New Roman" w:hAnsi="Times New Roman" w:eastAsia="宋体" w:cs="Times New Roman"/>
                <w:color w:val="auto"/>
                <w:kern w:val="24"/>
                <w:sz w:val="24"/>
                <w:lang w:val="en-US" w:eastAsia="zh-CN" w:bidi="ar-SA"/>
              </w:rPr>
              <w:t>他符合</w:t>
            </w:r>
            <w:r>
              <w:rPr>
                <w:rFonts w:hint="eastAsia" w:cs="Times New Roman"/>
                <w:color w:val="auto"/>
                <w:kern w:val="24"/>
                <w:sz w:val="24"/>
                <w:lang w:val="en-US" w:eastAsia="zh-CN" w:bidi="ar-SA"/>
              </w:rPr>
              <w:t>性分析</w:t>
            </w:r>
          </w:p>
        </w:tc>
        <w:tc>
          <w:tcPr>
            <w:tcW w:w="9071" w:type="dxa"/>
            <w:gridSpan w:val="4"/>
            <w:vAlign w:val="top"/>
          </w:tcPr>
          <w:p w14:paraId="19AE8EA1">
            <w:pPr>
              <w:keepNext w:val="0"/>
              <w:keepLines w:val="0"/>
              <w:pageBreakBefore w:val="0"/>
              <w:kinsoku/>
              <w:overflowPunct/>
              <w:topLinePunct w:val="0"/>
              <w:autoSpaceDE/>
              <w:autoSpaceDN/>
              <w:bidi w:val="0"/>
              <w:adjustRightInd/>
              <w:snapToGrid/>
              <w:spacing w:line="360" w:lineRule="auto"/>
              <w:ind w:firstLine="482" w:firstLineChars="200"/>
              <w:jc w:val="both"/>
              <w:rPr>
                <w:rFonts w:hint="eastAsia"/>
                <w:b/>
                <w:bCs/>
              </w:rPr>
            </w:pPr>
            <w:r>
              <w:rPr>
                <w:rFonts w:hint="eastAsia"/>
                <w:b/>
                <w:bCs/>
                <w:lang w:val="en-US" w:eastAsia="zh-CN"/>
              </w:rPr>
              <w:t>1、</w:t>
            </w:r>
            <w:r>
              <w:rPr>
                <w:rFonts w:hint="default"/>
                <w:b/>
                <w:bCs/>
                <w:lang w:val="en-US" w:eastAsia="zh-CN"/>
              </w:rPr>
              <w:t>产业</w:t>
            </w:r>
            <w:r>
              <w:rPr>
                <w:rFonts w:hint="default"/>
                <w:b/>
                <w:bCs/>
              </w:rPr>
              <w:t>政策规划</w:t>
            </w:r>
            <w:r>
              <w:rPr>
                <w:rFonts w:hint="eastAsia"/>
                <w:b/>
                <w:bCs/>
              </w:rPr>
              <w:t>符合性分析</w:t>
            </w:r>
          </w:p>
          <w:p w14:paraId="5BE4A27D">
            <w:pPr>
              <w:keepNext w:val="0"/>
              <w:keepLines w:val="0"/>
              <w:pageBreakBefore w:val="0"/>
              <w:kinsoku/>
              <w:overflowPunct/>
              <w:topLinePunct w:val="0"/>
              <w:autoSpaceDE/>
              <w:autoSpaceDN/>
              <w:bidi w:val="0"/>
              <w:adjustRightInd/>
              <w:snapToGrid/>
              <w:spacing w:line="360" w:lineRule="auto"/>
              <w:ind w:firstLine="480" w:firstLineChars="200"/>
              <w:jc w:val="both"/>
              <w:rPr>
                <w:rFonts w:hint="default"/>
                <w:lang w:val="en-US" w:eastAsia="zh-CN"/>
              </w:rPr>
            </w:pPr>
            <w:r>
              <w:rPr>
                <w:rFonts w:hint="default"/>
                <w:lang w:val="en-US" w:eastAsia="zh-CN"/>
              </w:rPr>
              <w:t>本项目包括氢能源混合动力系统和氢能源两轮车，分别属于C3770助动车制造和C3849其他电池制造。根据中华人民共和国国家发展和改革委员会令第49号《产业结构调整指导目录（2024年本）》，本项目属于鼓励类中“第五类 新能源-4.氢能技术与应用：新一代氢燃料电池技术研发与应用”项目，故本项目为鼓励类。</w:t>
            </w:r>
          </w:p>
          <w:p w14:paraId="26AFDBBA">
            <w:pPr>
              <w:keepNext w:val="0"/>
              <w:keepLines w:val="0"/>
              <w:pageBreakBefore w:val="0"/>
              <w:kinsoku/>
              <w:overflowPunct/>
              <w:topLinePunct w:val="0"/>
              <w:autoSpaceDE/>
              <w:autoSpaceDN/>
              <w:bidi w:val="0"/>
              <w:adjustRightInd/>
              <w:snapToGrid/>
              <w:spacing w:line="360" w:lineRule="auto"/>
              <w:ind w:firstLine="480" w:firstLineChars="200"/>
              <w:jc w:val="both"/>
              <w:rPr>
                <w:rFonts w:hint="default"/>
                <w:lang w:val="en-US" w:eastAsia="zh-CN"/>
              </w:rPr>
            </w:pPr>
            <w:r>
              <w:rPr>
                <w:rFonts w:hint="default"/>
                <w:lang w:val="en-US" w:eastAsia="zh-CN"/>
              </w:rPr>
              <w:t>通川区经济和信息化局为本项目出具了</w:t>
            </w:r>
            <w:r>
              <w:rPr>
                <w:rFonts w:hint="default"/>
                <w:highlight w:val="none"/>
                <w:lang w:val="en-US" w:eastAsia="zh-CN"/>
              </w:rPr>
              <w:t>《四川省固定资产投资项目备案表》（备案文号：</w:t>
            </w:r>
            <w:r>
              <w:rPr>
                <w:rFonts w:hint="default" w:ascii="Times New Roman" w:hAnsi="Times New Roman" w:eastAsia="宋体" w:cs="Times New Roman"/>
                <w:color w:val="auto"/>
                <w:kern w:val="2"/>
                <w:sz w:val="24"/>
                <w:lang w:val="en-US" w:eastAsia="zh-CN" w:bidi="ar-SA"/>
              </w:rPr>
              <w:t>川投资备【2511-511702-07-02-331218】JXQB-0826</w:t>
            </w:r>
            <w:r>
              <w:rPr>
                <w:rFonts w:hint="eastAsia" w:cs="Times New Roman"/>
                <w:kern w:val="2"/>
                <w:sz w:val="24"/>
                <w:lang w:val="en-US" w:eastAsia="zh-CN" w:bidi="ar-SA"/>
              </w:rPr>
              <w:t>）</w:t>
            </w:r>
          </w:p>
          <w:p w14:paraId="42CB1399">
            <w:pPr>
              <w:keepNext w:val="0"/>
              <w:keepLines w:val="0"/>
              <w:pageBreakBefore w:val="0"/>
              <w:kinsoku/>
              <w:overflowPunct/>
              <w:topLinePunct w:val="0"/>
              <w:autoSpaceDE/>
              <w:autoSpaceDN/>
              <w:bidi w:val="0"/>
              <w:adjustRightInd/>
              <w:snapToGrid/>
              <w:spacing w:line="360" w:lineRule="auto"/>
              <w:ind w:firstLine="480" w:firstLineChars="200"/>
              <w:jc w:val="both"/>
            </w:pPr>
            <w:r>
              <w:t>综上所述，本项目为</w:t>
            </w:r>
            <w:r>
              <w:rPr>
                <w:rFonts w:hint="default"/>
                <w:lang w:val="en-US" w:eastAsia="zh-CN"/>
              </w:rPr>
              <w:t>鼓励</w:t>
            </w:r>
            <w:r>
              <w:t>类项目，符合国家现行产业政策。</w:t>
            </w:r>
          </w:p>
          <w:p w14:paraId="01C94AFA">
            <w:pPr>
              <w:keepNext w:val="0"/>
              <w:keepLines/>
              <w:pageBreakBefore w:val="0"/>
              <w:widowControl w:val="0"/>
              <w:kinsoku/>
              <w:wordWrap w:val="0"/>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2、与达市府办函〔2024〕31号文符合性分析表</w:t>
            </w:r>
          </w:p>
          <w:p w14:paraId="7BB87897">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baseline"/>
              <w:rPr>
                <w:rFonts w:ascii="Times New Roman" w:hAnsi="Times New Roman" w:cs="Times New Roman" w:eastAsiaTheme="minorEastAsia"/>
                <w:szCs w:val="24"/>
              </w:rPr>
            </w:pPr>
            <w:r>
              <w:rPr>
                <w:rFonts w:hint="eastAsia" w:ascii="Times New Roman" w:hAnsi="Times New Roman" w:cs="Times New Roman" w:eastAsiaTheme="minorEastAsia"/>
                <w:szCs w:val="24"/>
              </w:rPr>
              <w:t>根据</w:t>
            </w:r>
            <w:r>
              <w:rPr>
                <w:rFonts w:hint="eastAsia" w:ascii="Times New Roman" w:hAnsi="Times New Roman" w:cs="Times New Roman" w:eastAsiaTheme="minorEastAsia"/>
                <w:szCs w:val="24"/>
                <w:lang w:val="en-US" w:eastAsia="zh-CN"/>
              </w:rPr>
              <w:t>达州市</w:t>
            </w:r>
            <w:r>
              <w:rPr>
                <w:rFonts w:ascii="Times New Roman" w:hAnsi="Times New Roman" w:cs="Times New Roman" w:eastAsiaTheme="minorEastAsia"/>
                <w:szCs w:val="24"/>
              </w:rPr>
              <w:t>人民政府办公室《</w:t>
            </w:r>
            <w:r>
              <w:rPr>
                <w:rFonts w:hint="eastAsia" w:ascii="Times New Roman" w:hAnsi="Times New Roman" w:cs="Times New Roman" w:eastAsiaTheme="minorEastAsia"/>
                <w:szCs w:val="24"/>
              </w:rPr>
              <w:t>达州市人民政府办公室关于加强生态环境分区管控的通知</w:t>
            </w:r>
            <w:r>
              <w:rPr>
                <w:rFonts w:ascii="Times New Roman" w:hAnsi="Times New Roman" w:cs="Times New Roman" w:eastAsiaTheme="minorEastAsia"/>
                <w:szCs w:val="24"/>
              </w:rPr>
              <w:t>》（</w:t>
            </w:r>
            <w:r>
              <w:rPr>
                <w:rFonts w:hint="eastAsia" w:ascii="Times New Roman" w:hAnsi="Times New Roman" w:cs="Times New Roman" w:eastAsiaTheme="minorEastAsia"/>
                <w:szCs w:val="24"/>
              </w:rPr>
              <w:t>达市府办函〔2024〕31号</w:t>
            </w:r>
            <w:r>
              <w:rPr>
                <w:rFonts w:ascii="Times New Roman" w:hAnsi="Times New Roman" w:cs="Times New Roman" w:eastAsiaTheme="minorEastAsia"/>
                <w:szCs w:val="24"/>
              </w:rPr>
              <w:t>），</w:t>
            </w:r>
            <w:r>
              <w:rPr>
                <w:rFonts w:hint="eastAsia" w:ascii="Times New Roman" w:hAnsi="Times New Roman" w:cs="Times New Roman" w:eastAsiaTheme="minorEastAsia"/>
                <w:szCs w:val="24"/>
              </w:rPr>
              <w:t>从生态环境保护角度</w:t>
            </w:r>
            <w:r>
              <w:rPr>
                <w:rFonts w:ascii="Times New Roman" w:hAnsi="Times New Roman" w:cs="Times New Roman" w:eastAsiaTheme="minorEastAsia"/>
                <w:szCs w:val="24"/>
              </w:rPr>
              <w:t>分析项目建设与生态环境准入清单的符合性。</w:t>
            </w:r>
          </w:p>
          <w:p w14:paraId="57C8DD1B">
            <w:pPr>
              <w:pStyle w:val="7"/>
              <w:keepLines/>
              <w:pageBreakBefore w:val="0"/>
              <w:bidi w:val="0"/>
              <w:rPr>
                <w:lang w:val="en-US" w:eastAsia="zh-CN"/>
              </w:rPr>
            </w:pPr>
            <w:r>
              <w:rPr>
                <w:lang w:val="en-US" w:eastAsia="zh-CN"/>
              </w:rPr>
              <w:t>表</w:t>
            </w:r>
            <w:r>
              <w:rPr>
                <w:rFonts w:hint="eastAsia"/>
                <w:lang w:val="en-US" w:eastAsia="zh-CN"/>
              </w:rPr>
              <w:t>1-2</w:t>
            </w:r>
            <w:r>
              <w:rPr>
                <w:lang w:val="en-US" w:eastAsia="zh-CN"/>
              </w:rPr>
              <w:t xml:space="preserve"> </w:t>
            </w:r>
            <w:r>
              <w:rPr>
                <w:rFonts w:hint="eastAsia"/>
                <w:lang w:val="en-US" w:eastAsia="zh-CN"/>
              </w:rPr>
              <w:t xml:space="preserve"> </w:t>
            </w:r>
            <w:r>
              <w:rPr>
                <w:lang w:val="en-US" w:eastAsia="zh-CN"/>
              </w:rPr>
              <w:t>本项目与</w:t>
            </w:r>
            <w:r>
              <w:rPr>
                <w:rFonts w:hint="eastAsia"/>
                <w:lang w:val="en-US" w:eastAsia="zh-CN"/>
              </w:rPr>
              <w:t>达市府办函〔2024〕31号</w:t>
            </w:r>
            <w:r>
              <w:rPr>
                <w:lang w:val="en-US" w:eastAsia="zh-CN"/>
              </w:rPr>
              <w:t>文符合性分析表</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966"/>
              <w:gridCol w:w="2091"/>
              <w:gridCol w:w="592"/>
            </w:tblGrid>
            <w:tr w14:paraId="6C6C9B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0" w:type="pct"/>
                  <w:tcBorders>
                    <w:tl2br w:val="nil"/>
                    <w:tr2bl w:val="nil"/>
                  </w:tcBorders>
                  <w:vAlign w:val="center"/>
                </w:tcPr>
                <w:p w14:paraId="0E279475">
                  <w:pPr>
                    <w:pStyle w:val="5"/>
                    <w:pageBreakBefore w:val="0"/>
                    <w:bidi w:val="0"/>
                    <w:rPr>
                      <w:b/>
                      <w:bCs/>
                    </w:rPr>
                  </w:pPr>
                  <w:r>
                    <w:rPr>
                      <w:b/>
                      <w:bCs/>
                    </w:rPr>
                    <w:t>行政区划</w:t>
                  </w:r>
                </w:p>
              </w:tc>
              <w:tc>
                <w:tcPr>
                  <w:tcW w:w="2804" w:type="pct"/>
                  <w:tcBorders>
                    <w:tl2br w:val="nil"/>
                    <w:tr2bl w:val="nil"/>
                  </w:tcBorders>
                  <w:vAlign w:val="center"/>
                </w:tcPr>
                <w:p w14:paraId="0723B052">
                  <w:pPr>
                    <w:pStyle w:val="5"/>
                    <w:pageBreakBefore w:val="0"/>
                    <w:bidi w:val="0"/>
                    <w:rPr>
                      <w:b/>
                      <w:bCs/>
                    </w:rPr>
                  </w:pPr>
                  <w:r>
                    <w:rPr>
                      <w:b/>
                      <w:bCs/>
                    </w:rPr>
                    <w:t>全市及各县区总体生态环境管控要求</w:t>
                  </w:r>
                </w:p>
              </w:tc>
              <w:tc>
                <w:tcPr>
                  <w:tcW w:w="1180" w:type="pct"/>
                  <w:tcBorders>
                    <w:tl2br w:val="nil"/>
                    <w:tr2bl w:val="nil"/>
                  </w:tcBorders>
                  <w:vAlign w:val="center"/>
                </w:tcPr>
                <w:p w14:paraId="0F5F386D">
                  <w:pPr>
                    <w:pStyle w:val="5"/>
                    <w:pageBreakBefore w:val="0"/>
                    <w:bidi w:val="0"/>
                    <w:rPr>
                      <w:b/>
                      <w:bCs/>
                    </w:rPr>
                  </w:pPr>
                  <w:r>
                    <w:rPr>
                      <w:b/>
                      <w:bCs/>
                    </w:rPr>
                    <w:t>项目对应情况介绍</w:t>
                  </w:r>
                </w:p>
              </w:tc>
              <w:tc>
                <w:tcPr>
                  <w:tcW w:w="334" w:type="pct"/>
                  <w:tcBorders>
                    <w:tl2br w:val="nil"/>
                    <w:tr2bl w:val="nil"/>
                  </w:tcBorders>
                  <w:vAlign w:val="center"/>
                </w:tcPr>
                <w:p w14:paraId="3628F605">
                  <w:pPr>
                    <w:pStyle w:val="5"/>
                    <w:pageBreakBefore w:val="0"/>
                    <w:bidi w:val="0"/>
                    <w:rPr>
                      <w:b/>
                      <w:bCs/>
                    </w:rPr>
                  </w:pPr>
                  <w:r>
                    <w:rPr>
                      <w:b/>
                      <w:bCs/>
                    </w:rPr>
                    <w:t>符合性</w:t>
                  </w:r>
                </w:p>
              </w:tc>
            </w:tr>
            <w:tr w14:paraId="001202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vAlign w:val="center"/>
                </w:tcPr>
                <w:p w14:paraId="46BC7241">
                  <w:pPr>
                    <w:pStyle w:val="5"/>
                    <w:pageBreakBefore w:val="0"/>
                    <w:bidi w:val="0"/>
                  </w:pPr>
                  <w:r>
                    <w:rPr>
                      <w:rFonts w:hint="eastAsia"/>
                      <w:lang w:val="en-US" w:eastAsia="zh-CN"/>
                    </w:rPr>
                    <w:t>达州</w:t>
                  </w:r>
                  <w:r>
                    <w:rPr>
                      <w:rFonts w:hint="eastAsia"/>
                    </w:rPr>
                    <w:t>市</w:t>
                  </w:r>
                </w:p>
              </w:tc>
              <w:tc>
                <w:tcPr>
                  <w:tcW w:w="2804" w:type="pct"/>
                  <w:tcBorders>
                    <w:tl2br w:val="nil"/>
                    <w:tr2bl w:val="nil"/>
                  </w:tcBorders>
                  <w:vAlign w:val="center"/>
                </w:tcPr>
                <w:p w14:paraId="1AA31CD9">
                  <w:pPr>
                    <w:pStyle w:val="5"/>
                    <w:pageBreakBefore w:val="0"/>
                    <w:bidi w:val="0"/>
                    <w:jc w:val="both"/>
                    <w:rPr>
                      <w:rFonts w:hint="default"/>
                    </w:rPr>
                  </w:pPr>
                  <w:r>
                    <w:rPr>
                      <w:rFonts w:hint="default"/>
                    </w:rPr>
                    <w:t>1.长江干支流岸线1千米范围内，不得新建、扩建化工园区和化工项目。</w:t>
                  </w:r>
                </w:p>
                <w:p w14:paraId="00856CE5">
                  <w:pPr>
                    <w:pStyle w:val="5"/>
                    <w:pageBreakBefore w:val="0"/>
                    <w:bidi w:val="0"/>
                    <w:jc w:val="both"/>
                    <w:rPr>
                      <w:rFonts w:hint="default"/>
                    </w:rPr>
                  </w:pPr>
                  <w:r>
                    <w:rPr>
                      <w:rFonts w:hint="default"/>
                    </w:rPr>
                    <w:t>2.严控产业转移环境准入。</w:t>
                  </w:r>
                </w:p>
                <w:p w14:paraId="4FB1977E">
                  <w:pPr>
                    <w:pStyle w:val="5"/>
                    <w:pageBreakBefore w:val="0"/>
                    <w:bidi w:val="0"/>
                    <w:jc w:val="both"/>
                    <w:rPr>
                      <w:rFonts w:hint="default"/>
                    </w:rPr>
                  </w:pPr>
                  <w:r>
                    <w:rPr>
                      <w:rFonts w:hint="default"/>
                    </w:rPr>
                    <w:t>3.引进项目应符合园区规划环评和区域产业准入清单要求。</w:t>
                  </w:r>
                </w:p>
                <w:p w14:paraId="0243A658">
                  <w:pPr>
                    <w:pStyle w:val="5"/>
                    <w:pageBreakBefore w:val="0"/>
                    <w:bidi w:val="0"/>
                    <w:jc w:val="both"/>
                    <w:rPr>
                      <w:rFonts w:hint="default"/>
                    </w:rPr>
                  </w:pPr>
                  <w:r>
                    <w:rPr>
                      <w:rFonts w:hint="default"/>
                    </w:rPr>
                    <w:t>4.造纸等产业污染治理和环境管理应达到国内先进水平。优化制浆造纸产业布局，提升行业清洁生产水平，推动制浆造纸工业向节能、环保、绿色方向发展。</w:t>
                  </w:r>
                </w:p>
                <w:p w14:paraId="327E0A2A">
                  <w:pPr>
                    <w:pStyle w:val="5"/>
                    <w:pageBreakBefore w:val="0"/>
                    <w:bidi w:val="0"/>
                    <w:jc w:val="both"/>
                    <w:rPr>
                      <w:rFonts w:hint="default"/>
                    </w:rPr>
                  </w:pPr>
                  <w:r>
                    <w:rPr>
                      <w:rFonts w:hint="default"/>
                    </w:rPr>
                    <w:t>5.深化成都平原、川南、川东北地区大气污染联防联控工作机制，加强川渝地区联防联控。强化重污染天气区域应急联动机制，深化区域重污染天气联合应对。</w:t>
                  </w:r>
                </w:p>
                <w:p w14:paraId="7CE6EFBA">
                  <w:pPr>
                    <w:pStyle w:val="5"/>
                    <w:pageBreakBefore w:val="0"/>
                    <w:bidi w:val="0"/>
                    <w:jc w:val="both"/>
                  </w:pPr>
                  <w:r>
                    <w:rPr>
                      <w:rFonts w:hint="default"/>
                    </w:rPr>
                    <w:t>6.钢铁行业项目新建应参考达州市“三线一单”生态环境分区管控中钢铁行业资源环境绩效准入门槛；达钢等高污染企业限期退城入园；普光气田开发污染防治和环境管理等方面要</w:t>
                  </w:r>
                  <w:r>
                    <w:rPr>
                      <w:rFonts w:hint="eastAsia"/>
                      <w:lang w:eastAsia="zh-CN"/>
                    </w:rPr>
                    <w:t>达到</w:t>
                  </w:r>
                  <w:r>
                    <w:rPr>
                      <w:rFonts w:hint="default"/>
                    </w:rPr>
                    <w:t>国内先进水平。</w:t>
                  </w:r>
                </w:p>
              </w:tc>
              <w:tc>
                <w:tcPr>
                  <w:tcW w:w="1180" w:type="pct"/>
                  <w:tcBorders>
                    <w:tl2br w:val="nil"/>
                    <w:tr2bl w:val="nil"/>
                  </w:tcBorders>
                  <w:vAlign w:val="center"/>
                </w:tcPr>
                <w:p w14:paraId="5FD73C9C">
                  <w:pPr>
                    <w:pStyle w:val="5"/>
                    <w:pageBreakBefore w:val="0"/>
                    <w:bidi w:val="0"/>
                    <w:jc w:val="left"/>
                    <w:rPr>
                      <w:rFonts w:hint="eastAsia"/>
                      <w:lang w:eastAsia="zh-CN"/>
                    </w:rPr>
                  </w:pPr>
                  <w:r>
                    <w:t>1、</w:t>
                  </w:r>
                  <w:r>
                    <w:rPr>
                      <w:rFonts w:hint="eastAsia"/>
                      <w:lang w:val="en-US" w:eastAsia="zh-CN"/>
                    </w:rPr>
                    <w:t>项目厂房位于达州通川经开区，</w:t>
                  </w:r>
                  <w:r>
                    <w:rPr>
                      <w:rFonts w:hint="eastAsia"/>
                    </w:rPr>
                    <w:t>不在</w:t>
                  </w:r>
                  <w:r>
                    <w:rPr>
                      <w:rFonts w:hint="default"/>
                    </w:rPr>
                    <w:t>长江干支流岸线1千米范围内</w:t>
                  </w:r>
                  <w:r>
                    <w:rPr>
                      <w:rFonts w:hint="eastAsia"/>
                      <w:lang w:eastAsia="zh-CN"/>
                    </w:rPr>
                    <w:t>。</w:t>
                  </w:r>
                </w:p>
                <w:p w14:paraId="546D1A21">
                  <w:pPr>
                    <w:pStyle w:val="5"/>
                    <w:pageBreakBefore w:val="0"/>
                    <w:bidi w:val="0"/>
                    <w:jc w:val="left"/>
                    <w:rPr>
                      <w:rFonts w:hint="default"/>
                      <w:lang w:val="en-US" w:eastAsia="zh-CN"/>
                    </w:rPr>
                  </w:pPr>
                  <w:r>
                    <w:rPr>
                      <w:rFonts w:hint="eastAsia"/>
                      <w:lang w:val="en-US" w:eastAsia="zh-CN"/>
                    </w:rPr>
                    <w:t>2、项目不属于严控产业。</w:t>
                  </w:r>
                </w:p>
                <w:p w14:paraId="14C0352D">
                  <w:pPr>
                    <w:pStyle w:val="5"/>
                    <w:pageBreakBefore w:val="0"/>
                    <w:bidi w:val="0"/>
                    <w:jc w:val="left"/>
                    <w:rPr>
                      <w:rFonts w:hint="eastAsia"/>
                      <w:lang w:val="en-US" w:eastAsia="zh-CN"/>
                    </w:rPr>
                  </w:pPr>
                  <w:r>
                    <w:rPr>
                      <w:rFonts w:hint="eastAsia"/>
                      <w:lang w:val="en-US" w:eastAsia="zh-CN"/>
                    </w:rPr>
                    <w:t>3、本项目氢能源混合动力系统和氢能源两轮车的生产，</w:t>
                  </w:r>
                  <w:r>
                    <w:rPr>
                      <w:rFonts w:hint="default"/>
                    </w:rPr>
                    <w:t>符合园区规划环评和区域产业准入清单要求。</w:t>
                  </w:r>
                </w:p>
                <w:p w14:paraId="04E6A9BF">
                  <w:pPr>
                    <w:pStyle w:val="5"/>
                    <w:pageBreakBefore w:val="0"/>
                    <w:bidi w:val="0"/>
                    <w:jc w:val="left"/>
                    <w:rPr>
                      <w:rFonts w:hint="eastAsia"/>
                      <w:lang w:eastAsia="zh-CN"/>
                    </w:rPr>
                  </w:pPr>
                  <w:r>
                    <w:rPr>
                      <w:rFonts w:hint="eastAsia"/>
                      <w:lang w:val="en-US" w:eastAsia="zh-CN"/>
                    </w:rPr>
                    <w:t>4、</w:t>
                  </w:r>
                  <w:r>
                    <w:t>不属于</w:t>
                  </w:r>
                  <w:r>
                    <w:rPr>
                      <w:rFonts w:hint="default"/>
                    </w:rPr>
                    <w:t>造纸</w:t>
                  </w:r>
                  <w:r>
                    <w:rPr>
                      <w:rFonts w:hint="eastAsia"/>
                      <w:lang w:val="en-US" w:eastAsia="zh-CN"/>
                    </w:rPr>
                    <w:t>业</w:t>
                  </w:r>
                  <w:r>
                    <w:rPr>
                      <w:rFonts w:hint="default"/>
                    </w:rPr>
                    <w:t>等</w:t>
                  </w:r>
                  <w:r>
                    <w:rPr>
                      <w:rFonts w:hint="eastAsia"/>
                      <w:lang w:eastAsia="zh-CN"/>
                    </w:rPr>
                    <w:t>。</w:t>
                  </w:r>
                </w:p>
                <w:p w14:paraId="085A7382">
                  <w:pPr>
                    <w:pStyle w:val="5"/>
                    <w:keepNext/>
                    <w:keepLines/>
                    <w:pageBreakBefore w:val="0"/>
                    <w:widowControl w:val="0"/>
                    <w:kinsoku/>
                    <w:wordWrap w:val="0"/>
                    <w:overflowPunct/>
                    <w:topLinePunct w:val="0"/>
                    <w:autoSpaceDE/>
                    <w:autoSpaceDN/>
                    <w:bidi w:val="0"/>
                    <w:adjustRightInd/>
                    <w:snapToGrid/>
                    <w:ind w:left="0" w:firstLine="0" w:firstLineChars="0"/>
                    <w:jc w:val="left"/>
                    <w:textAlignment w:val="auto"/>
                    <w:rPr>
                      <w:rFonts w:hint="eastAsia"/>
                      <w:lang w:val="en-US" w:eastAsia="zh-CN"/>
                    </w:rPr>
                  </w:pPr>
                  <w:r>
                    <w:rPr>
                      <w:rFonts w:hint="eastAsia"/>
                      <w:lang w:val="en-US" w:eastAsia="zh-CN"/>
                    </w:rPr>
                    <w:t>5、本项目排放少量VOC</w:t>
                  </w:r>
                  <w:r>
                    <w:rPr>
                      <w:rFonts w:hint="eastAsia"/>
                      <w:vertAlign w:val="subscript"/>
                      <w:lang w:val="en-US" w:eastAsia="zh-CN"/>
                    </w:rPr>
                    <w:t>S</w:t>
                  </w:r>
                  <w:r>
                    <w:rPr>
                      <w:rFonts w:hint="eastAsia"/>
                      <w:lang w:val="en-US" w:eastAsia="zh-CN"/>
                    </w:rPr>
                    <w:t>。</w:t>
                  </w:r>
                </w:p>
                <w:p w14:paraId="6A94FD3B">
                  <w:pPr>
                    <w:pStyle w:val="5"/>
                    <w:pageBreakBefore w:val="0"/>
                    <w:bidi w:val="0"/>
                    <w:jc w:val="left"/>
                    <w:rPr>
                      <w:rFonts w:hint="eastAsia"/>
                      <w:lang w:eastAsia="zh-CN"/>
                    </w:rPr>
                  </w:pPr>
                  <w:r>
                    <w:rPr>
                      <w:rFonts w:hint="eastAsia"/>
                      <w:lang w:val="en-US" w:eastAsia="zh-CN"/>
                    </w:rPr>
                    <w:t>6、本项目</w:t>
                  </w:r>
                  <w:r>
                    <w:t>不属于</w:t>
                  </w:r>
                  <w:r>
                    <w:rPr>
                      <w:rFonts w:hint="default"/>
                    </w:rPr>
                    <w:t>钢铁行业等</w:t>
                  </w:r>
                  <w:r>
                    <w:rPr>
                      <w:rFonts w:hint="eastAsia"/>
                      <w:lang w:eastAsia="zh-CN"/>
                    </w:rPr>
                    <w:t>。</w:t>
                  </w:r>
                </w:p>
              </w:tc>
              <w:tc>
                <w:tcPr>
                  <w:tcW w:w="334" w:type="pct"/>
                  <w:tcBorders>
                    <w:tl2br w:val="nil"/>
                    <w:tr2bl w:val="nil"/>
                  </w:tcBorders>
                  <w:vAlign w:val="center"/>
                </w:tcPr>
                <w:p w14:paraId="4E693349">
                  <w:pPr>
                    <w:pStyle w:val="5"/>
                    <w:pageBreakBefore w:val="0"/>
                    <w:bidi w:val="0"/>
                  </w:pPr>
                  <w:r>
                    <w:t>符合</w:t>
                  </w:r>
                </w:p>
              </w:tc>
            </w:tr>
            <w:tr w14:paraId="5C101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vAlign w:val="center"/>
                </w:tcPr>
                <w:p w14:paraId="553B381C">
                  <w:pPr>
                    <w:pStyle w:val="5"/>
                    <w:pageBreakBefore w:val="0"/>
                    <w:bidi w:val="0"/>
                  </w:pPr>
                  <w:r>
                    <w:rPr>
                      <w:rFonts w:hint="eastAsia"/>
                      <w:lang w:val="en-US" w:eastAsia="zh-CN"/>
                    </w:rPr>
                    <w:t>通川区</w:t>
                  </w:r>
                </w:p>
              </w:tc>
              <w:tc>
                <w:tcPr>
                  <w:tcW w:w="2804" w:type="pct"/>
                  <w:tcBorders>
                    <w:tl2br w:val="nil"/>
                    <w:tr2bl w:val="nil"/>
                  </w:tcBorders>
                  <w:vAlign w:val="center"/>
                </w:tcPr>
                <w:p w14:paraId="29195BF7">
                  <w:pPr>
                    <w:pStyle w:val="5"/>
                    <w:pageBreakBefore w:val="0"/>
                    <w:bidi w:val="0"/>
                    <w:jc w:val="both"/>
                  </w:pPr>
                  <w:r>
                    <w:rPr>
                      <w:rFonts w:hint="default"/>
                    </w:rPr>
                    <w:t>1.优化调整产业布局，以细颗粒物（PM2.5）和臭氧（O</w:t>
                  </w:r>
                  <w:r>
                    <w:rPr>
                      <w:rFonts w:hint="default"/>
                      <w:vertAlign w:val="superscript"/>
                    </w:rPr>
                    <w:t>3</w:t>
                  </w:r>
                  <w:r>
                    <w:rPr>
                      <w:rFonts w:hint="default"/>
                    </w:rPr>
                    <w:t>）污染协同控制为重点，全面开展挥发性有机物（VOCs）治理，实施移动源整治，持续推进空气质量精细化管理。</w:t>
                  </w:r>
                </w:p>
                <w:p w14:paraId="6F081A85">
                  <w:pPr>
                    <w:pStyle w:val="5"/>
                    <w:pageBreakBefore w:val="0"/>
                    <w:bidi w:val="0"/>
                    <w:jc w:val="both"/>
                    <w:rPr>
                      <w:rFonts w:hint="default"/>
                    </w:rPr>
                  </w:pPr>
                  <w:r>
                    <w:rPr>
                      <w:rFonts w:hint="default"/>
                    </w:rPr>
                    <w:t>2.调整农作物种植结构，加强农业氨污染控制，大力发展节水农业。</w:t>
                  </w:r>
                </w:p>
                <w:p w14:paraId="5DB4A882">
                  <w:pPr>
                    <w:pStyle w:val="5"/>
                    <w:pageBreakBefore w:val="0"/>
                    <w:bidi w:val="0"/>
                    <w:jc w:val="both"/>
                    <w:rPr>
                      <w:rFonts w:hint="default"/>
                    </w:rPr>
                  </w:pPr>
                  <w:r>
                    <w:rPr>
                      <w:rFonts w:hint="default"/>
                    </w:rPr>
                    <w:t>3.加强建筑工程日常监管，对重点环节采取遮盖、洒水、封闭等措施控制扬尘排放。提高道路硬化率，减少道路起尘源。推动非道路移动机械达标排放示范企业建设。</w:t>
                  </w:r>
                </w:p>
                <w:p w14:paraId="110B3C99">
                  <w:pPr>
                    <w:pStyle w:val="5"/>
                    <w:pageBreakBefore w:val="0"/>
                    <w:bidi w:val="0"/>
                    <w:jc w:val="both"/>
                  </w:pPr>
                  <w:r>
                    <w:rPr>
                      <w:rFonts w:hint="default"/>
                    </w:rPr>
                    <w:t>4.建立健全农业节水体系，推广使用节水灌溉技术，探索乡镇、农村生活污水资源化还田利用。大力开展沿河畜禽养殖污染整治，实现畜禽粪污减量化排放、无害化处理和资源化利用。</w:t>
                  </w:r>
                </w:p>
              </w:tc>
              <w:tc>
                <w:tcPr>
                  <w:tcW w:w="1180" w:type="pct"/>
                  <w:tcBorders>
                    <w:tl2br w:val="nil"/>
                    <w:tr2bl w:val="nil"/>
                  </w:tcBorders>
                  <w:vAlign w:val="center"/>
                </w:tcPr>
                <w:p w14:paraId="72DAFDD9">
                  <w:pPr>
                    <w:pStyle w:val="5"/>
                    <w:pageBreakBefore w:val="0"/>
                    <w:bidi w:val="0"/>
                    <w:jc w:val="both"/>
                  </w:pPr>
                  <w:r>
                    <w:t>1、</w:t>
                  </w:r>
                  <w:r>
                    <w:rPr>
                      <w:rFonts w:hint="eastAsia"/>
                      <w:lang w:val="en-US" w:eastAsia="zh-CN"/>
                    </w:rPr>
                    <w:t>本项目为氢能源混合动力系统和氢能源两轮车的生产，不涉及</w:t>
                  </w:r>
                  <w:r>
                    <w:rPr>
                      <w:rFonts w:hint="default"/>
                    </w:rPr>
                    <w:t>细颗粒物（PM2.5）和臭氧（O</w:t>
                  </w:r>
                  <w:r>
                    <w:rPr>
                      <w:rFonts w:hint="default"/>
                      <w:vertAlign w:val="superscript"/>
                    </w:rPr>
                    <w:t>3</w:t>
                  </w:r>
                  <w:r>
                    <w:rPr>
                      <w:rFonts w:hint="default"/>
                    </w:rPr>
                    <w:t>）</w:t>
                  </w:r>
                  <w:r>
                    <w:rPr>
                      <w:rFonts w:hint="eastAsia"/>
                      <w:lang w:val="en-US" w:eastAsia="zh-CN"/>
                    </w:rPr>
                    <w:t>的排放</w:t>
                  </w:r>
                  <w:r>
                    <w:t>。</w:t>
                  </w:r>
                </w:p>
                <w:p w14:paraId="524B9237">
                  <w:pPr>
                    <w:pStyle w:val="5"/>
                    <w:pageBreakBefore w:val="0"/>
                    <w:bidi w:val="0"/>
                    <w:jc w:val="both"/>
                  </w:pPr>
                  <w:r>
                    <w:t>2、</w:t>
                  </w:r>
                  <w:r>
                    <w:rPr>
                      <w:rFonts w:hint="eastAsia"/>
                    </w:rPr>
                    <w:t>不涉及</w:t>
                  </w:r>
                  <w:r>
                    <w:rPr>
                      <w:rFonts w:hint="default"/>
                    </w:rPr>
                    <w:t>农作物种植</w:t>
                  </w:r>
                  <w:r>
                    <w:t>。</w:t>
                  </w:r>
                </w:p>
                <w:p w14:paraId="518406F9">
                  <w:pPr>
                    <w:pStyle w:val="5"/>
                    <w:pageBreakBefore w:val="0"/>
                    <w:bidi w:val="0"/>
                    <w:jc w:val="both"/>
                  </w:pPr>
                  <w:r>
                    <w:t>3、项目</w:t>
                  </w:r>
                  <w:r>
                    <w:rPr>
                      <w:rFonts w:hint="eastAsia"/>
                      <w:lang w:val="en-US" w:eastAsia="zh-CN"/>
                    </w:rPr>
                    <w:t>厂房为租赁，技改设备安装区域利用原有预留区域，不涉及土建施工</w:t>
                  </w:r>
                  <w:r>
                    <w:t>。</w:t>
                  </w:r>
                </w:p>
                <w:p w14:paraId="2D59B89E">
                  <w:pPr>
                    <w:pStyle w:val="5"/>
                    <w:pageBreakBefore w:val="0"/>
                    <w:bidi w:val="0"/>
                    <w:jc w:val="both"/>
                    <w:rPr>
                      <w:rFonts w:hint="default"/>
                      <w:lang w:val="en-US" w:eastAsia="zh-CN"/>
                    </w:rPr>
                  </w:pPr>
                  <w:r>
                    <w:rPr>
                      <w:rFonts w:hint="eastAsia"/>
                      <w:lang w:val="en-US" w:eastAsia="zh-CN"/>
                    </w:rPr>
                    <w:t>4、本项目不涉及农业节水体系。</w:t>
                  </w:r>
                </w:p>
              </w:tc>
              <w:tc>
                <w:tcPr>
                  <w:tcW w:w="334" w:type="pct"/>
                  <w:tcBorders>
                    <w:tl2br w:val="nil"/>
                    <w:tr2bl w:val="nil"/>
                  </w:tcBorders>
                  <w:vAlign w:val="center"/>
                </w:tcPr>
                <w:p w14:paraId="7249E176">
                  <w:pPr>
                    <w:pStyle w:val="5"/>
                    <w:pageBreakBefore w:val="0"/>
                    <w:bidi w:val="0"/>
                  </w:pPr>
                  <w:r>
                    <w:t>符合</w:t>
                  </w:r>
                </w:p>
              </w:tc>
            </w:tr>
          </w:tbl>
          <w:p w14:paraId="6D7035BB">
            <w:pPr>
              <w:keepNext w:val="0"/>
              <w:keepLines w:val="0"/>
              <w:pageBreakBefore w:val="0"/>
              <w:kinsoku/>
              <w:overflowPunct/>
              <w:topLinePunct w:val="0"/>
              <w:autoSpaceDE/>
              <w:autoSpaceDN/>
              <w:bidi w:val="0"/>
              <w:adjustRightInd/>
              <w:snapToGrid/>
              <w:spacing w:line="360" w:lineRule="auto"/>
              <w:ind w:firstLine="482" w:firstLineChars="200"/>
              <w:jc w:val="both"/>
              <w:rPr>
                <w:b/>
                <w:bCs/>
                <w:lang w:val="en-US" w:eastAsia="zh-CN"/>
              </w:rPr>
            </w:pPr>
            <w:r>
              <w:rPr>
                <w:rFonts w:hint="eastAsia"/>
                <w:b/>
                <w:bCs/>
                <w:lang w:val="en-US" w:eastAsia="zh-CN"/>
              </w:rPr>
              <w:t>3、生态环境分区管控符合性分析</w:t>
            </w:r>
          </w:p>
          <w:p w14:paraId="3A1612FF">
            <w:pPr>
              <w:keepNext w:val="0"/>
              <w:keepLines w:val="0"/>
              <w:pageBreakBefore w:val="0"/>
              <w:kinsoku/>
              <w:overflowPunct/>
              <w:topLinePunct w:val="0"/>
              <w:autoSpaceDE/>
              <w:autoSpaceDN/>
              <w:bidi w:val="0"/>
              <w:adjustRightInd/>
              <w:snapToGrid/>
              <w:spacing w:line="360" w:lineRule="auto"/>
              <w:ind w:firstLine="480" w:firstLineChars="200"/>
              <w:jc w:val="both"/>
              <w:rPr>
                <w:rFonts w:hint="eastAsia"/>
              </w:rPr>
            </w:pPr>
            <w:r>
              <w:rPr>
                <w:rFonts w:hint="eastAsia"/>
                <w:lang w:val="en-US" w:eastAsia="zh-CN"/>
              </w:rPr>
              <w:t>（1）达州市</w:t>
            </w:r>
            <w:r>
              <w:rPr>
                <w:rFonts w:hint="eastAsia"/>
              </w:rPr>
              <w:t>环境管控单元分布</w:t>
            </w:r>
          </w:p>
          <w:p w14:paraId="6AA914B5">
            <w:pPr>
              <w:keepNext w:val="0"/>
              <w:keepLines w:val="0"/>
              <w:pageBreakBefore w:val="0"/>
              <w:kinsoku/>
              <w:overflowPunct/>
              <w:topLinePunct w:val="0"/>
              <w:autoSpaceDE/>
              <w:autoSpaceDN/>
              <w:bidi w:val="0"/>
              <w:adjustRightInd/>
              <w:snapToGrid/>
              <w:spacing w:line="360" w:lineRule="auto"/>
              <w:ind w:firstLine="480" w:firstLineChars="200"/>
              <w:jc w:val="both"/>
              <w:rPr>
                <w:rFonts w:hint="eastAsia"/>
              </w:rPr>
            </w:pPr>
            <w:r>
              <w:rPr>
                <w:rFonts w:hint="eastAsia"/>
                <w:lang w:val="en-US" w:eastAsia="zh-CN"/>
              </w:rPr>
              <w:t>达州市</w:t>
            </w:r>
            <w:r>
              <w:rPr>
                <w:rFonts w:hint="eastAsia"/>
              </w:rPr>
              <w:t>环境管控单元分布图如下图所示。</w:t>
            </w:r>
          </w:p>
          <w:p w14:paraId="4E9FA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kern w:val="0"/>
                <w:szCs w:val="24"/>
                <w:lang w:eastAsia="zh-CN"/>
              </w:rPr>
            </w:pPr>
            <w:r>
              <w:rPr>
                <w:rFonts w:ascii="Times New Roman" w:hAnsi="Times New Roman" w:eastAsiaTheme="minorEastAsia" w:cstheme="minorBidi"/>
                <w:szCs w:val="24"/>
              </w:rPr>
              <w:drawing>
                <wp:inline distT="0" distB="0" distL="114300" distR="114300">
                  <wp:extent cx="4615180" cy="3100705"/>
                  <wp:effectExtent l="0" t="0" r="1397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4615180" cy="3100705"/>
                          </a:xfrm>
                          <a:prstGeom prst="rect">
                            <a:avLst/>
                          </a:prstGeom>
                          <a:noFill/>
                          <a:ln>
                            <a:noFill/>
                          </a:ln>
                        </pic:spPr>
                      </pic:pic>
                    </a:graphicData>
                  </a:graphic>
                </wp:inline>
              </w:drawing>
            </w:r>
          </w:p>
          <w:p w14:paraId="4685A76C">
            <w:pPr>
              <w:pStyle w:val="7"/>
              <w:keepNext w:val="0"/>
              <w:keepLines w:val="0"/>
              <w:pageBreakBefore w:val="0"/>
              <w:kinsoku/>
              <w:overflowPunct/>
              <w:topLinePunct w:val="0"/>
              <w:autoSpaceDE/>
              <w:autoSpaceDN/>
              <w:bidi w:val="0"/>
              <w:adjustRightInd/>
              <w:snapToGrid/>
              <w:spacing w:line="360" w:lineRule="auto"/>
              <w:ind w:firstLine="422" w:firstLineChars="200"/>
              <w:jc w:val="center"/>
              <w:rPr>
                <w:b/>
                <w:bCs w:val="0"/>
                <w:lang w:val="en-US" w:eastAsia="zh-CN"/>
              </w:rPr>
            </w:pPr>
            <w:r>
              <w:rPr>
                <w:b/>
                <w:bCs w:val="0"/>
                <w:lang w:val="en-US" w:eastAsia="zh-CN"/>
              </w:rPr>
              <w:t>图</w:t>
            </w:r>
            <w:r>
              <w:rPr>
                <w:rFonts w:hint="eastAsia"/>
                <w:b/>
                <w:bCs w:val="0"/>
                <w:lang w:val="en-US" w:eastAsia="zh-CN"/>
              </w:rPr>
              <w:t xml:space="preserve">1-1  </w:t>
            </w:r>
            <w:r>
              <w:rPr>
                <w:b/>
                <w:bCs w:val="0"/>
                <w:lang w:val="en-US" w:eastAsia="zh-CN"/>
              </w:rPr>
              <w:t>项目与</w:t>
            </w:r>
            <w:r>
              <w:rPr>
                <w:rFonts w:hint="eastAsia"/>
                <w:b/>
                <w:bCs w:val="0"/>
                <w:lang w:val="en-US" w:eastAsia="zh-CN"/>
              </w:rPr>
              <w:t>达州市</w:t>
            </w:r>
            <w:r>
              <w:rPr>
                <w:b/>
                <w:bCs w:val="0"/>
                <w:lang w:val="en-US" w:eastAsia="zh-CN"/>
              </w:rPr>
              <w:t>生态环境管控单元相对位置图</w:t>
            </w:r>
          </w:p>
          <w:p w14:paraId="49E9E43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baseline"/>
              <w:rPr>
                <w:rFonts w:ascii="Times New Roman" w:hAnsi="Times New Roman" w:cs="Times New Roman" w:eastAsiaTheme="minorEastAsia"/>
                <w:szCs w:val="24"/>
              </w:rPr>
            </w:pPr>
            <w:r>
              <w:rPr>
                <w:rFonts w:ascii="Times New Roman" w:hAnsi="Times New Roman" w:cs="Times New Roman" w:eastAsiaTheme="minorEastAsia"/>
                <w:szCs w:val="24"/>
              </w:rPr>
              <w:t>（</w:t>
            </w:r>
            <w:r>
              <w:rPr>
                <w:rFonts w:hint="eastAsia" w:cs="Times New Roman" w:eastAsiaTheme="minorEastAsia"/>
                <w:szCs w:val="24"/>
                <w:lang w:val="en-US" w:eastAsia="zh-CN"/>
              </w:rPr>
              <w:t>2</w:t>
            </w:r>
            <w:r>
              <w:rPr>
                <w:rFonts w:ascii="Times New Roman" w:hAnsi="Times New Roman" w:cs="Times New Roman" w:eastAsiaTheme="minorEastAsia"/>
                <w:szCs w:val="24"/>
              </w:rPr>
              <w:t>）项目涉及的管控单元</w:t>
            </w:r>
          </w:p>
          <w:p w14:paraId="148FB71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baseline"/>
              <w:rPr>
                <w:rFonts w:hint="eastAsia" w:cs="Times New Roman" w:eastAsiaTheme="minorEastAsia"/>
                <w:szCs w:val="24"/>
                <w:lang w:val="en-US" w:eastAsia="zh-CN"/>
              </w:rPr>
            </w:pPr>
            <w:r>
              <w:rPr>
                <w:rFonts w:ascii="Times New Roman" w:hAnsi="Times New Roman" w:cs="Times New Roman" w:eastAsiaTheme="minorEastAsia"/>
                <w:szCs w:val="24"/>
              </w:rPr>
              <w:t>本项目建设地位于</w:t>
            </w:r>
            <w:r>
              <w:rPr>
                <w:rFonts w:hint="eastAsia" w:ascii="Times New Roman" w:hAnsi="Times New Roman" w:cs="Times New Roman" w:eastAsiaTheme="minorEastAsia"/>
                <w:szCs w:val="24"/>
                <w:lang w:val="en-US" w:eastAsia="zh-CN"/>
              </w:rPr>
              <w:t>四川省达州市通川区经济开发区魏兴大道1号</w:t>
            </w:r>
            <w:r>
              <w:rPr>
                <w:rFonts w:ascii="Times New Roman" w:hAnsi="Times New Roman" w:cs="Times New Roman" w:eastAsiaTheme="minorEastAsia"/>
                <w:szCs w:val="24"/>
              </w:rPr>
              <w:t>，根据</w:t>
            </w:r>
            <w:r>
              <w:rPr>
                <w:rFonts w:hint="eastAsia" w:ascii="Times New Roman" w:hAnsi="Times New Roman" w:cs="Times New Roman" w:eastAsiaTheme="minorEastAsia"/>
                <w:szCs w:val="24"/>
                <w:lang w:eastAsia="zh-CN"/>
              </w:rPr>
              <w:t>四川省生态环境厅</w:t>
            </w:r>
            <w:r>
              <w:rPr>
                <w:rFonts w:ascii="Times New Roman" w:hAnsi="Times New Roman" w:cs="Times New Roman" w:eastAsiaTheme="minorEastAsia"/>
                <w:szCs w:val="24"/>
              </w:rPr>
              <w:t>生态环境分区管控查询结果</w:t>
            </w:r>
            <w:r>
              <w:rPr>
                <w:rFonts w:hint="eastAsia" w:cs="Times New Roman" w:eastAsiaTheme="minorEastAsia"/>
                <w:szCs w:val="24"/>
                <w:lang w:val="en-US" w:eastAsia="zh-CN"/>
              </w:rPr>
              <w:t>如下：</w:t>
            </w:r>
          </w:p>
          <w:p w14:paraId="6F3B1352">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baseline"/>
              <w:rPr>
                <w:rFonts w:hint="eastAsia" w:cs="Times New Roman" w:eastAsiaTheme="minorEastAsia"/>
                <w:szCs w:val="24"/>
                <w:lang w:val="en-US" w:eastAsia="zh-CN"/>
              </w:rPr>
            </w:pPr>
            <w:r>
              <w:drawing>
                <wp:inline distT="0" distB="0" distL="0" distR="0">
                  <wp:extent cx="4800600" cy="2773680"/>
                  <wp:effectExtent l="0" t="0" r="0" b="7620"/>
                  <wp:docPr id="3" name="Drawing 0" descr="position-map-1761643190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0" descr="position-map-1761643190384.png"/>
                          <pic:cNvPicPr>
                            <a:picLocks noChangeAspect="1"/>
                          </pic:cNvPicPr>
                        </pic:nvPicPr>
                        <pic:blipFill>
                          <a:blip r:embed="rId21"/>
                          <a:stretch>
                            <a:fillRect/>
                          </a:stretch>
                        </pic:blipFill>
                        <pic:spPr>
                          <a:xfrm>
                            <a:off x="0" y="0"/>
                            <a:ext cx="4800600" cy="2773680"/>
                          </a:xfrm>
                          <a:prstGeom prst="rect">
                            <a:avLst/>
                          </a:prstGeom>
                        </pic:spPr>
                      </pic:pic>
                    </a:graphicData>
                  </a:graphic>
                </wp:inline>
              </w:drawing>
            </w:r>
          </w:p>
          <w:p w14:paraId="79D314D4">
            <w:pPr>
              <w:pStyle w:val="7"/>
              <w:ind w:firstLineChars="0"/>
              <w:jc w:val="center"/>
            </w:pPr>
            <w:r>
              <w:t>图</w:t>
            </w:r>
            <w:r>
              <w:rPr>
                <w:rFonts w:hint="eastAsia"/>
                <w:lang w:val="en-US" w:eastAsia="zh-CN"/>
              </w:rPr>
              <w:t>1-2</w:t>
            </w:r>
            <w:r>
              <w:t xml:space="preserve">  生态环境分区管控符合性分析系统截图</w:t>
            </w:r>
          </w:p>
          <w:p w14:paraId="3C53AB39">
            <w:r>
              <w:t>项目位于</w:t>
            </w:r>
            <w:r>
              <w:rPr>
                <w:rFonts w:hint="eastAsia" w:ascii="Times New Roman" w:hAnsi="Times New Roman" w:cs="Times New Roman" w:eastAsiaTheme="minorEastAsia"/>
                <w:szCs w:val="24"/>
                <w:lang w:val="en-US" w:eastAsia="zh-CN"/>
              </w:rPr>
              <w:t>达州市通川区</w:t>
            </w:r>
            <w:r>
              <w:rPr>
                <w:rFonts w:ascii="Times New Roman" w:hAnsi="Times New Roman" w:cs="Times New Roman" w:eastAsiaTheme="minorEastAsia"/>
                <w:szCs w:val="24"/>
              </w:rPr>
              <w:t>环境综合管控单元</w:t>
            </w:r>
            <w:r>
              <w:rPr>
                <w:rFonts w:hint="eastAsia" w:ascii="Times New Roman" w:hAnsi="Times New Roman" w:cs="Times New Roman" w:eastAsiaTheme="minorEastAsia"/>
                <w:szCs w:val="24"/>
                <w:lang w:val="en-US" w:eastAsia="zh-CN"/>
              </w:rPr>
              <w:t>工业重点管控单元</w:t>
            </w:r>
            <w:r>
              <w:t>（</w:t>
            </w:r>
            <w:r>
              <w:rPr>
                <w:rFonts w:cs="Times New Roman"/>
                <w:szCs w:val="24"/>
              </w:rPr>
              <w:t>管控单元名称：</w:t>
            </w:r>
            <w:r>
              <w:rPr>
                <w:rFonts w:hint="eastAsia" w:cs="Times New Roman"/>
                <w:szCs w:val="24"/>
                <w:lang w:val="en-US" w:eastAsia="zh-CN"/>
              </w:rPr>
              <w:t>达州市农产品加工集中区</w:t>
            </w:r>
            <w:r>
              <w:rPr>
                <w:rFonts w:cs="Times New Roman"/>
                <w:szCs w:val="24"/>
              </w:rPr>
              <w:t>，管控单元编号：</w:t>
            </w:r>
            <w:r>
              <w:rPr>
                <w:rFonts w:hint="default" w:cs="Times New Roman"/>
                <w:szCs w:val="24"/>
              </w:rPr>
              <w:t>ZH51170220002</w:t>
            </w:r>
            <w:r>
              <w:rPr>
                <w:rFonts w:cs="Times New Roman"/>
                <w:szCs w:val="24"/>
              </w:rPr>
              <w:t>）</w:t>
            </w:r>
            <w:r>
              <w:t>。</w:t>
            </w:r>
          </w:p>
          <w:p w14:paraId="72F7AAAB">
            <w:pPr>
              <w:pStyle w:val="7"/>
              <w:bidi w:val="0"/>
              <w:jc w:val="center"/>
              <w:rPr>
                <w:lang w:val="en-US" w:eastAsia="zh-CN"/>
              </w:rPr>
            </w:pPr>
            <w:r>
              <w:rPr>
                <w:lang w:val="en-US" w:eastAsia="zh-CN"/>
              </w:rPr>
              <w:t>表</w:t>
            </w:r>
            <w:r>
              <w:rPr>
                <w:rFonts w:hint="eastAsia"/>
                <w:lang w:val="en-US" w:eastAsia="zh-CN"/>
              </w:rPr>
              <w:t>1-3</w:t>
            </w:r>
            <w:r>
              <w:rPr>
                <w:lang w:val="en-US" w:eastAsia="zh-CN"/>
              </w:rPr>
              <w:t xml:space="preserve"> </w:t>
            </w:r>
            <w:r>
              <w:rPr>
                <w:rFonts w:hint="eastAsia"/>
                <w:lang w:val="en-US" w:eastAsia="zh-CN"/>
              </w:rPr>
              <w:t xml:space="preserve"> </w:t>
            </w:r>
            <w:r>
              <w:rPr>
                <w:lang w:val="en-US" w:eastAsia="zh-CN"/>
              </w:rPr>
              <w:t>项目涉及生态环境管控单元一览表</w:t>
            </w:r>
          </w:p>
          <w:tbl>
            <w:tblPr>
              <w:tblStyle w:val="30"/>
              <w:tblW w:w="9000"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542"/>
              <w:gridCol w:w="1290"/>
              <w:gridCol w:w="1880"/>
              <w:gridCol w:w="1986"/>
              <w:gridCol w:w="1434"/>
              <w:gridCol w:w="1868"/>
            </w:tblGrid>
            <w:tr w14:paraId="2DE7214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1114" w:hRule="atLeast"/>
              </w:trPr>
              <w:tc>
                <w:tcPr>
                  <w:tcW w:w="542" w:type="dxa"/>
                  <w:tcBorders>
                    <w:tl2br w:val="nil"/>
                    <w:tr2bl w:val="nil"/>
                  </w:tcBorders>
                  <w:vAlign w:val="center"/>
                </w:tcPr>
                <w:p w14:paraId="22F3F298">
                  <w:pPr>
                    <w:pStyle w:val="5"/>
                    <w:jc w:val="center"/>
                    <w:rPr>
                      <w:b/>
                      <w:bCs/>
                    </w:rPr>
                  </w:pPr>
                  <w:r>
                    <w:rPr>
                      <w:b/>
                      <w:bCs/>
                    </w:rPr>
                    <w:t>序号</w:t>
                  </w:r>
                </w:p>
              </w:tc>
              <w:tc>
                <w:tcPr>
                  <w:tcW w:w="1290" w:type="dxa"/>
                  <w:tcBorders>
                    <w:tl2br w:val="nil"/>
                    <w:tr2bl w:val="nil"/>
                  </w:tcBorders>
                  <w:vAlign w:val="center"/>
                </w:tcPr>
                <w:p w14:paraId="7BD1C7FD">
                  <w:pPr>
                    <w:pStyle w:val="5"/>
                    <w:jc w:val="center"/>
                    <w:rPr>
                      <w:b/>
                      <w:bCs/>
                    </w:rPr>
                  </w:pPr>
                  <w:r>
                    <w:rPr>
                      <w:b/>
                      <w:bCs/>
                    </w:rPr>
                    <w:t>涉及环境管控单元名称</w:t>
                  </w:r>
                </w:p>
              </w:tc>
              <w:tc>
                <w:tcPr>
                  <w:tcW w:w="1880" w:type="dxa"/>
                  <w:tcBorders>
                    <w:tl2br w:val="nil"/>
                    <w:tr2bl w:val="nil"/>
                  </w:tcBorders>
                  <w:vAlign w:val="center"/>
                </w:tcPr>
                <w:p w14:paraId="0FF7F2B6">
                  <w:pPr>
                    <w:pStyle w:val="5"/>
                    <w:jc w:val="center"/>
                    <w:rPr>
                      <w:b/>
                      <w:bCs/>
                    </w:rPr>
                  </w:pPr>
                  <w:r>
                    <w:rPr>
                      <w:b/>
                      <w:bCs/>
                    </w:rPr>
                    <w:t>涉及环境管控单元编码</w:t>
                  </w:r>
                </w:p>
              </w:tc>
              <w:tc>
                <w:tcPr>
                  <w:tcW w:w="1986" w:type="dxa"/>
                  <w:tcBorders>
                    <w:tl2br w:val="nil"/>
                    <w:tr2bl w:val="nil"/>
                  </w:tcBorders>
                  <w:vAlign w:val="center"/>
                </w:tcPr>
                <w:p w14:paraId="30D9F52F">
                  <w:pPr>
                    <w:pStyle w:val="5"/>
                    <w:jc w:val="center"/>
                    <w:rPr>
                      <w:b/>
                      <w:bCs/>
                    </w:rPr>
                  </w:pPr>
                  <w:r>
                    <w:rPr>
                      <w:b/>
                      <w:bCs/>
                    </w:rPr>
                    <w:t>与管控单元关系</w:t>
                  </w:r>
                </w:p>
              </w:tc>
              <w:tc>
                <w:tcPr>
                  <w:tcW w:w="1434" w:type="dxa"/>
                  <w:tcBorders>
                    <w:tl2br w:val="nil"/>
                    <w:tr2bl w:val="nil"/>
                  </w:tcBorders>
                  <w:vAlign w:val="center"/>
                </w:tcPr>
                <w:p w14:paraId="3FDD6E27">
                  <w:pPr>
                    <w:pStyle w:val="5"/>
                    <w:jc w:val="center"/>
                    <w:rPr>
                      <w:b/>
                      <w:bCs/>
                    </w:rPr>
                  </w:pPr>
                  <w:r>
                    <w:rPr>
                      <w:b/>
                      <w:bCs/>
                    </w:rPr>
                    <w:t>行政区划</w:t>
                  </w:r>
                </w:p>
              </w:tc>
              <w:tc>
                <w:tcPr>
                  <w:tcW w:w="1868" w:type="dxa"/>
                  <w:tcBorders>
                    <w:tl2br w:val="nil"/>
                    <w:tr2bl w:val="nil"/>
                  </w:tcBorders>
                  <w:vAlign w:val="center"/>
                </w:tcPr>
                <w:p w14:paraId="3562116B">
                  <w:pPr>
                    <w:pStyle w:val="5"/>
                    <w:jc w:val="center"/>
                    <w:rPr>
                      <w:b/>
                      <w:bCs/>
                    </w:rPr>
                  </w:pPr>
                  <w:r>
                    <w:rPr>
                      <w:b/>
                      <w:bCs/>
                    </w:rPr>
                    <w:t>环境管控单元类型</w:t>
                  </w:r>
                </w:p>
              </w:tc>
            </w:tr>
            <w:tr w14:paraId="6B27DBB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542" w:type="dxa"/>
                  <w:tcBorders>
                    <w:tl2br w:val="nil"/>
                    <w:tr2bl w:val="nil"/>
                  </w:tcBorders>
                  <w:vAlign w:val="center"/>
                </w:tcPr>
                <w:p w14:paraId="3C3D1115">
                  <w:pPr>
                    <w:pStyle w:val="5"/>
                    <w:jc w:val="center"/>
                  </w:pPr>
                  <w:r>
                    <w:t>1</w:t>
                  </w:r>
                </w:p>
              </w:tc>
              <w:tc>
                <w:tcPr>
                  <w:tcW w:w="1290" w:type="dxa"/>
                  <w:tcBorders>
                    <w:tl2br w:val="nil"/>
                    <w:tr2bl w:val="nil"/>
                  </w:tcBorders>
                  <w:vAlign w:val="center"/>
                </w:tcPr>
                <w:p w14:paraId="20DF02B8">
                  <w:pPr>
                    <w:pStyle w:val="5"/>
                    <w:jc w:val="center"/>
                  </w:pPr>
                  <w:r>
                    <w:t>达州市农产品加工集中区</w:t>
                  </w:r>
                </w:p>
              </w:tc>
              <w:tc>
                <w:tcPr>
                  <w:tcW w:w="1880" w:type="dxa"/>
                  <w:tcBorders>
                    <w:tl2br w:val="nil"/>
                    <w:tr2bl w:val="nil"/>
                  </w:tcBorders>
                  <w:vAlign w:val="center"/>
                </w:tcPr>
                <w:p w14:paraId="4E8693D5">
                  <w:pPr>
                    <w:pStyle w:val="5"/>
                    <w:jc w:val="center"/>
                  </w:pPr>
                  <w:r>
                    <w:t>ZH51170220002</w:t>
                  </w:r>
                </w:p>
              </w:tc>
              <w:tc>
                <w:tcPr>
                  <w:tcW w:w="1986" w:type="dxa"/>
                  <w:tcBorders>
                    <w:tl2br w:val="nil"/>
                    <w:tr2bl w:val="nil"/>
                  </w:tcBorders>
                  <w:vAlign w:val="center"/>
                </w:tcPr>
                <w:p w14:paraId="313CB07A">
                  <w:pPr>
                    <w:pStyle w:val="5"/>
                    <w:jc w:val="center"/>
                    <w:rPr>
                      <w:rFonts w:hint="eastAsia" w:eastAsia="宋体"/>
                      <w:lang w:eastAsia="zh-CN"/>
                    </w:rPr>
                  </w:pPr>
                  <w:r>
                    <w:t>107.50673658858143</w:t>
                  </w:r>
                  <w:r>
                    <w:rPr>
                      <w:rFonts w:hint="eastAsia"/>
                      <w:lang w:eastAsia="zh-CN"/>
                    </w:rPr>
                    <w:t>，</w:t>
                  </w:r>
                </w:p>
                <w:p w14:paraId="79C45D8A">
                  <w:pPr>
                    <w:pStyle w:val="5"/>
                    <w:jc w:val="center"/>
                  </w:pPr>
                  <w:r>
                    <w:t>31.360266927396573</w:t>
                  </w:r>
                </w:p>
              </w:tc>
              <w:tc>
                <w:tcPr>
                  <w:tcW w:w="1434" w:type="dxa"/>
                  <w:tcBorders>
                    <w:tl2br w:val="nil"/>
                    <w:tr2bl w:val="nil"/>
                  </w:tcBorders>
                  <w:vAlign w:val="center"/>
                </w:tcPr>
                <w:p w14:paraId="1AFB833C">
                  <w:pPr>
                    <w:pStyle w:val="5"/>
                    <w:jc w:val="center"/>
                  </w:pPr>
                  <w:r>
                    <w:t>达州市通川区</w:t>
                  </w:r>
                </w:p>
              </w:tc>
              <w:tc>
                <w:tcPr>
                  <w:tcW w:w="1868" w:type="dxa"/>
                  <w:tcBorders>
                    <w:tl2br w:val="nil"/>
                    <w:tr2bl w:val="nil"/>
                  </w:tcBorders>
                  <w:vAlign w:val="center"/>
                </w:tcPr>
                <w:p w14:paraId="0B155A9C">
                  <w:pPr>
                    <w:pStyle w:val="5"/>
                    <w:jc w:val="center"/>
                  </w:pPr>
                  <w:r>
                    <w:t>工业重点管控单元</w:t>
                  </w:r>
                </w:p>
              </w:tc>
            </w:tr>
          </w:tbl>
          <w:p w14:paraId="00DE3952">
            <w:pPr>
              <w:wordWrap/>
              <w:autoSpaceDE w:val="0"/>
              <w:autoSpaceDN w:val="0"/>
              <w:spacing w:before="97"/>
              <w:ind w:firstLine="480" w:firstLineChars="200"/>
              <w:jc w:val="both"/>
              <w:rPr>
                <w:rFonts w:hint="eastAsia" w:ascii="Times New Roman" w:hAnsi="Times New Roman" w:cs="Times New Roman" w:eastAsiaTheme="minorEastAsia"/>
                <w:szCs w:val="24"/>
                <w:lang w:val="en-US" w:eastAsia="zh-CN"/>
              </w:rPr>
            </w:pPr>
            <w:r>
              <w:rPr>
                <w:rFonts w:ascii="Times New Roman" w:hAnsi="Times New Roman" w:cs="Times New Roman" w:eastAsiaTheme="minorEastAsia"/>
                <w:szCs w:val="24"/>
              </w:rPr>
              <w:t>项目</w:t>
            </w:r>
            <w:r>
              <w:rPr>
                <w:rFonts w:hint="eastAsia" w:ascii="Times New Roman" w:hAnsi="Times New Roman" w:cs="Times New Roman" w:eastAsiaTheme="minorEastAsia"/>
                <w:szCs w:val="24"/>
                <w:lang w:eastAsia="zh-CN"/>
              </w:rPr>
              <w:t>涉及</w:t>
            </w:r>
            <w:r>
              <w:rPr>
                <w:rFonts w:hint="eastAsia" w:ascii="Times New Roman" w:hAnsi="Times New Roman" w:cs="Times New Roman" w:eastAsiaTheme="minorEastAsia"/>
                <w:szCs w:val="24"/>
                <w:lang w:val="en-US" w:eastAsia="zh-CN"/>
              </w:rPr>
              <w:t>的</w:t>
            </w:r>
            <w:r>
              <w:rPr>
                <w:rFonts w:ascii="Times New Roman" w:hAnsi="Times New Roman" w:cs="Times New Roman" w:eastAsiaTheme="minorEastAsia"/>
                <w:szCs w:val="24"/>
              </w:rPr>
              <w:t>环境管控单元</w:t>
            </w:r>
            <w:r>
              <w:rPr>
                <w:rFonts w:hint="eastAsia" w:ascii="Times New Roman" w:hAnsi="Times New Roman" w:cs="Times New Roman" w:eastAsiaTheme="minorEastAsia"/>
                <w:szCs w:val="24"/>
                <w:lang w:val="en-US" w:eastAsia="zh-CN"/>
              </w:rPr>
              <w:t>5</w:t>
            </w:r>
            <w:r>
              <w:rPr>
                <w:rFonts w:ascii="Times New Roman" w:hAnsi="Times New Roman" w:cs="Times New Roman" w:eastAsiaTheme="minorEastAsia"/>
                <w:szCs w:val="24"/>
              </w:rPr>
              <w:t>个，详见表</w:t>
            </w:r>
            <w:r>
              <w:rPr>
                <w:rFonts w:hint="eastAsia" w:ascii="Times New Roman" w:hAnsi="Times New Roman" w:cs="Times New Roman" w:eastAsiaTheme="minorEastAsia"/>
                <w:szCs w:val="24"/>
                <w:lang w:val="en-US" w:eastAsia="zh-CN"/>
              </w:rPr>
              <w:t>1-</w:t>
            </w:r>
            <w:r>
              <w:rPr>
                <w:rFonts w:hint="eastAsia" w:cs="Times New Roman" w:eastAsiaTheme="minorEastAsia"/>
                <w:szCs w:val="24"/>
                <w:lang w:val="en-US" w:eastAsia="zh-CN"/>
              </w:rPr>
              <w:t>4</w:t>
            </w:r>
            <w:r>
              <w:rPr>
                <w:rFonts w:hint="eastAsia" w:ascii="Times New Roman" w:hAnsi="Times New Roman" w:cs="Times New Roman" w:eastAsiaTheme="minorEastAsia"/>
                <w:szCs w:val="24"/>
                <w:lang w:val="en-US" w:eastAsia="zh-CN"/>
              </w:rPr>
              <w:t>。</w:t>
            </w:r>
          </w:p>
          <w:p w14:paraId="04BA0A23">
            <w:pPr>
              <w:pStyle w:val="7"/>
              <w:bidi w:val="0"/>
              <w:jc w:val="center"/>
              <w:rPr>
                <w:lang w:val="en-US" w:eastAsia="zh-CN"/>
              </w:rPr>
            </w:pPr>
            <w:r>
              <w:rPr>
                <w:lang w:val="en-US" w:eastAsia="zh-CN"/>
              </w:rPr>
              <w:t>表</w:t>
            </w:r>
            <w:r>
              <w:rPr>
                <w:rFonts w:hint="eastAsia"/>
                <w:lang w:val="en-US" w:eastAsia="zh-CN"/>
              </w:rPr>
              <w:t>1-4</w:t>
            </w:r>
            <w:r>
              <w:rPr>
                <w:lang w:val="en-US" w:eastAsia="zh-CN"/>
              </w:rPr>
              <w:t xml:space="preserve"> </w:t>
            </w:r>
            <w:r>
              <w:rPr>
                <w:rFonts w:hint="eastAsia"/>
                <w:lang w:val="en-US" w:eastAsia="zh-CN"/>
              </w:rPr>
              <w:t xml:space="preserve"> </w:t>
            </w:r>
            <w:r>
              <w:rPr>
                <w:lang w:val="en-US" w:eastAsia="zh-CN"/>
              </w:rPr>
              <w:t>项目涉及环境要素管控分区一览表</w:t>
            </w:r>
          </w:p>
          <w:tbl>
            <w:tblPr>
              <w:tblStyle w:val="30"/>
              <w:tblW w:w="8761" w:type="dxa"/>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750"/>
              <w:gridCol w:w="1939"/>
              <w:gridCol w:w="1857"/>
              <w:gridCol w:w="1392"/>
              <w:gridCol w:w="1367"/>
              <w:gridCol w:w="1456"/>
            </w:tblGrid>
            <w:tr w14:paraId="732C7DE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919" w:hRule="atLeast"/>
              </w:trPr>
              <w:tc>
                <w:tcPr>
                  <w:tcW w:w="750" w:type="dxa"/>
                  <w:tcBorders>
                    <w:tl2br w:val="nil"/>
                    <w:tr2bl w:val="nil"/>
                  </w:tcBorders>
                  <w:vAlign w:val="center"/>
                </w:tcPr>
                <w:p w14:paraId="0B56A69B">
                  <w:pPr>
                    <w:pStyle w:val="7"/>
                    <w:bidi w:val="0"/>
                    <w:jc w:val="center"/>
                    <w:rPr>
                      <w:b/>
                      <w:bCs/>
                      <w:lang w:val="en-US" w:eastAsia="zh-CN"/>
                    </w:rPr>
                  </w:pPr>
                  <w:r>
                    <w:rPr>
                      <w:b/>
                      <w:bCs/>
                      <w:lang w:val="en-US" w:eastAsia="zh-CN"/>
                    </w:rPr>
                    <w:t>序号</w:t>
                  </w:r>
                </w:p>
              </w:tc>
              <w:tc>
                <w:tcPr>
                  <w:tcW w:w="1939" w:type="dxa"/>
                  <w:tcBorders>
                    <w:tl2br w:val="nil"/>
                    <w:tr2bl w:val="nil"/>
                  </w:tcBorders>
                  <w:vAlign w:val="center"/>
                </w:tcPr>
                <w:p w14:paraId="1CCD930F">
                  <w:pPr>
                    <w:pStyle w:val="7"/>
                    <w:bidi w:val="0"/>
                    <w:jc w:val="center"/>
                    <w:rPr>
                      <w:b/>
                      <w:bCs/>
                      <w:lang w:val="en-US" w:eastAsia="zh-CN"/>
                    </w:rPr>
                  </w:pPr>
                  <w:r>
                    <w:rPr>
                      <w:b/>
                      <w:bCs/>
                      <w:lang w:val="en-US" w:eastAsia="zh-CN"/>
                    </w:rPr>
                    <w:t>涉及环境要素管控分区名称</w:t>
                  </w:r>
                </w:p>
              </w:tc>
              <w:tc>
                <w:tcPr>
                  <w:tcW w:w="1857" w:type="dxa"/>
                  <w:tcBorders>
                    <w:tl2br w:val="nil"/>
                    <w:tr2bl w:val="nil"/>
                  </w:tcBorders>
                  <w:vAlign w:val="center"/>
                </w:tcPr>
                <w:p w14:paraId="65644B4B">
                  <w:pPr>
                    <w:pStyle w:val="7"/>
                    <w:bidi w:val="0"/>
                    <w:jc w:val="center"/>
                    <w:rPr>
                      <w:b/>
                      <w:bCs/>
                      <w:lang w:val="en-US" w:eastAsia="zh-CN"/>
                    </w:rPr>
                  </w:pPr>
                  <w:r>
                    <w:rPr>
                      <w:b/>
                      <w:bCs/>
                      <w:lang w:val="en-US" w:eastAsia="zh-CN"/>
                    </w:rPr>
                    <w:t>涉及环境要素管控分区编码</w:t>
                  </w:r>
                </w:p>
              </w:tc>
              <w:tc>
                <w:tcPr>
                  <w:tcW w:w="1392" w:type="dxa"/>
                  <w:tcBorders>
                    <w:tl2br w:val="nil"/>
                    <w:tr2bl w:val="nil"/>
                  </w:tcBorders>
                  <w:vAlign w:val="center"/>
                </w:tcPr>
                <w:p w14:paraId="643FD0BF">
                  <w:pPr>
                    <w:pStyle w:val="7"/>
                    <w:bidi w:val="0"/>
                    <w:jc w:val="center"/>
                    <w:rPr>
                      <w:b/>
                      <w:bCs/>
                      <w:lang w:val="en-US" w:eastAsia="zh-CN"/>
                    </w:rPr>
                  </w:pPr>
                  <w:r>
                    <w:rPr>
                      <w:b/>
                      <w:bCs/>
                      <w:lang w:val="en-US" w:eastAsia="zh-CN"/>
                    </w:rPr>
                    <w:t>行政区划</w:t>
                  </w:r>
                </w:p>
              </w:tc>
              <w:tc>
                <w:tcPr>
                  <w:tcW w:w="1367" w:type="dxa"/>
                  <w:tcBorders>
                    <w:tl2br w:val="nil"/>
                    <w:tr2bl w:val="nil"/>
                  </w:tcBorders>
                  <w:vAlign w:val="center"/>
                </w:tcPr>
                <w:p w14:paraId="19580621">
                  <w:pPr>
                    <w:pStyle w:val="7"/>
                    <w:bidi w:val="0"/>
                    <w:jc w:val="center"/>
                    <w:rPr>
                      <w:b/>
                      <w:bCs/>
                      <w:lang w:val="en-US" w:eastAsia="zh-CN"/>
                    </w:rPr>
                  </w:pPr>
                  <w:r>
                    <w:rPr>
                      <w:b/>
                      <w:bCs/>
                      <w:lang w:val="en-US" w:eastAsia="zh-CN"/>
                    </w:rPr>
                    <w:t>环境要素类型</w:t>
                  </w:r>
                </w:p>
              </w:tc>
              <w:tc>
                <w:tcPr>
                  <w:tcW w:w="1456" w:type="dxa"/>
                  <w:tcBorders>
                    <w:tl2br w:val="nil"/>
                    <w:tr2bl w:val="nil"/>
                  </w:tcBorders>
                  <w:vAlign w:val="center"/>
                </w:tcPr>
                <w:p w14:paraId="3F9A5D0C">
                  <w:pPr>
                    <w:pStyle w:val="7"/>
                    <w:bidi w:val="0"/>
                    <w:jc w:val="center"/>
                    <w:rPr>
                      <w:b/>
                      <w:bCs/>
                      <w:lang w:val="en-US" w:eastAsia="zh-CN"/>
                    </w:rPr>
                  </w:pPr>
                  <w:r>
                    <w:rPr>
                      <w:b/>
                      <w:bCs/>
                      <w:lang w:val="en-US" w:eastAsia="zh-CN"/>
                    </w:rPr>
                    <w:t>环境要素细类</w:t>
                  </w:r>
                </w:p>
              </w:tc>
            </w:tr>
            <w:tr w14:paraId="6E119E7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50" w:type="dxa"/>
                  <w:tcBorders>
                    <w:tl2br w:val="nil"/>
                    <w:tr2bl w:val="nil"/>
                  </w:tcBorders>
                  <w:vAlign w:val="center"/>
                </w:tcPr>
                <w:p w14:paraId="23D0A886">
                  <w:pPr>
                    <w:pStyle w:val="5"/>
                    <w:bidi w:val="0"/>
                    <w:jc w:val="center"/>
                    <w:rPr>
                      <w:lang w:val="en-US" w:eastAsia="zh-CN"/>
                    </w:rPr>
                  </w:pPr>
                  <w:r>
                    <w:rPr>
                      <w:lang w:val="en-US" w:eastAsia="zh-CN"/>
                    </w:rPr>
                    <w:t>1</w:t>
                  </w:r>
                </w:p>
              </w:tc>
              <w:tc>
                <w:tcPr>
                  <w:tcW w:w="1939" w:type="dxa"/>
                  <w:tcBorders>
                    <w:tl2br w:val="nil"/>
                    <w:tr2bl w:val="nil"/>
                  </w:tcBorders>
                  <w:vAlign w:val="center"/>
                </w:tcPr>
                <w:p w14:paraId="4CD1F278">
                  <w:pPr>
                    <w:pStyle w:val="5"/>
                    <w:bidi w:val="0"/>
                    <w:jc w:val="center"/>
                    <w:rPr>
                      <w:lang w:val="en-US" w:eastAsia="zh-CN"/>
                    </w:rPr>
                  </w:pPr>
                  <w:r>
                    <w:rPr>
                      <w:lang w:val="en-US" w:eastAsia="zh-CN"/>
                    </w:rPr>
                    <w:t>州河-通川区-车家河-控制单元</w:t>
                  </w:r>
                </w:p>
              </w:tc>
              <w:tc>
                <w:tcPr>
                  <w:tcW w:w="1857" w:type="dxa"/>
                  <w:tcBorders>
                    <w:tl2br w:val="nil"/>
                    <w:tr2bl w:val="nil"/>
                  </w:tcBorders>
                  <w:vAlign w:val="center"/>
                </w:tcPr>
                <w:p w14:paraId="488943B4">
                  <w:pPr>
                    <w:pStyle w:val="5"/>
                    <w:bidi w:val="0"/>
                    <w:jc w:val="center"/>
                    <w:rPr>
                      <w:lang w:val="en-US" w:eastAsia="zh-CN"/>
                    </w:rPr>
                  </w:pPr>
                  <w:r>
                    <w:rPr>
                      <w:lang w:val="en-US" w:eastAsia="zh-CN"/>
                    </w:rPr>
                    <w:t>YS5117022210001</w:t>
                  </w:r>
                </w:p>
              </w:tc>
              <w:tc>
                <w:tcPr>
                  <w:tcW w:w="1392" w:type="dxa"/>
                  <w:tcBorders>
                    <w:tl2br w:val="nil"/>
                    <w:tr2bl w:val="nil"/>
                  </w:tcBorders>
                  <w:vAlign w:val="center"/>
                </w:tcPr>
                <w:p w14:paraId="5B3060BF">
                  <w:pPr>
                    <w:pStyle w:val="5"/>
                    <w:bidi w:val="0"/>
                    <w:jc w:val="center"/>
                    <w:rPr>
                      <w:lang w:val="en-US" w:eastAsia="zh-CN"/>
                    </w:rPr>
                  </w:pPr>
                  <w:r>
                    <w:rPr>
                      <w:lang w:val="en-US" w:eastAsia="zh-CN"/>
                    </w:rPr>
                    <w:t>达州市通川区</w:t>
                  </w:r>
                </w:p>
              </w:tc>
              <w:tc>
                <w:tcPr>
                  <w:tcW w:w="1367" w:type="dxa"/>
                  <w:tcBorders>
                    <w:tl2br w:val="nil"/>
                    <w:tr2bl w:val="nil"/>
                  </w:tcBorders>
                  <w:vAlign w:val="center"/>
                </w:tcPr>
                <w:p w14:paraId="08340BFD">
                  <w:pPr>
                    <w:pStyle w:val="5"/>
                    <w:bidi w:val="0"/>
                    <w:jc w:val="center"/>
                    <w:rPr>
                      <w:lang w:val="en-US" w:eastAsia="zh-CN"/>
                    </w:rPr>
                  </w:pPr>
                  <w:r>
                    <w:rPr>
                      <w:lang w:val="en-US" w:eastAsia="zh-CN"/>
                    </w:rPr>
                    <w:t>水</w:t>
                  </w:r>
                </w:p>
              </w:tc>
              <w:tc>
                <w:tcPr>
                  <w:tcW w:w="1456" w:type="dxa"/>
                  <w:tcBorders>
                    <w:tl2br w:val="nil"/>
                    <w:tr2bl w:val="nil"/>
                  </w:tcBorders>
                  <w:vAlign w:val="center"/>
                </w:tcPr>
                <w:p w14:paraId="780502F4">
                  <w:pPr>
                    <w:pStyle w:val="5"/>
                    <w:bidi w:val="0"/>
                    <w:jc w:val="center"/>
                    <w:rPr>
                      <w:lang w:val="en-US" w:eastAsia="zh-CN"/>
                    </w:rPr>
                  </w:pPr>
                  <w:r>
                    <w:rPr>
                      <w:lang w:val="en-US" w:eastAsia="zh-CN"/>
                    </w:rPr>
                    <w:t>水环境工业污染重点管控区</w:t>
                  </w:r>
                </w:p>
              </w:tc>
            </w:tr>
            <w:tr w14:paraId="070C6A9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50" w:type="dxa"/>
                  <w:tcBorders>
                    <w:tl2br w:val="nil"/>
                    <w:tr2bl w:val="nil"/>
                  </w:tcBorders>
                  <w:vAlign w:val="center"/>
                </w:tcPr>
                <w:p w14:paraId="619C7D69">
                  <w:pPr>
                    <w:pStyle w:val="5"/>
                    <w:bidi w:val="0"/>
                    <w:jc w:val="center"/>
                    <w:rPr>
                      <w:lang w:val="en-US" w:eastAsia="zh-CN"/>
                    </w:rPr>
                  </w:pPr>
                  <w:r>
                    <w:rPr>
                      <w:lang w:val="en-US" w:eastAsia="zh-CN"/>
                    </w:rPr>
                    <w:t>2</w:t>
                  </w:r>
                </w:p>
              </w:tc>
              <w:tc>
                <w:tcPr>
                  <w:tcW w:w="1939" w:type="dxa"/>
                  <w:tcBorders>
                    <w:tl2br w:val="nil"/>
                    <w:tr2bl w:val="nil"/>
                  </w:tcBorders>
                  <w:vAlign w:val="center"/>
                </w:tcPr>
                <w:p w14:paraId="2370B6FE">
                  <w:pPr>
                    <w:pStyle w:val="5"/>
                    <w:bidi w:val="0"/>
                    <w:jc w:val="center"/>
                    <w:rPr>
                      <w:lang w:val="en-US" w:eastAsia="zh-CN"/>
                    </w:rPr>
                  </w:pPr>
                  <w:r>
                    <w:rPr>
                      <w:lang w:val="en-US" w:eastAsia="zh-CN"/>
                    </w:rPr>
                    <w:t>达州市农产品加工集中区</w:t>
                  </w:r>
                </w:p>
              </w:tc>
              <w:tc>
                <w:tcPr>
                  <w:tcW w:w="1857" w:type="dxa"/>
                  <w:tcBorders>
                    <w:tl2br w:val="nil"/>
                    <w:tr2bl w:val="nil"/>
                  </w:tcBorders>
                  <w:vAlign w:val="center"/>
                </w:tcPr>
                <w:p w14:paraId="480EFFFF">
                  <w:pPr>
                    <w:pStyle w:val="5"/>
                    <w:bidi w:val="0"/>
                    <w:jc w:val="center"/>
                    <w:rPr>
                      <w:lang w:val="en-US" w:eastAsia="zh-CN"/>
                    </w:rPr>
                  </w:pPr>
                  <w:r>
                    <w:rPr>
                      <w:lang w:val="en-US" w:eastAsia="zh-CN"/>
                    </w:rPr>
                    <w:t>YS5117022310001</w:t>
                  </w:r>
                </w:p>
              </w:tc>
              <w:tc>
                <w:tcPr>
                  <w:tcW w:w="1392" w:type="dxa"/>
                  <w:tcBorders>
                    <w:tl2br w:val="nil"/>
                    <w:tr2bl w:val="nil"/>
                  </w:tcBorders>
                  <w:vAlign w:val="center"/>
                </w:tcPr>
                <w:p w14:paraId="2128BC40">
                  <w:pPr>
                    <w:pStyle w:val="5"/>
                    <w:bidi w:val="0"/>
                    <w:jc w:val="center"/>
                    <w:rPr>
                      <w:lang w:val="en-US" w:eastAsia="zh-CN"/>
                    </w:rPr>
                  </w:pPr>
                  <w:r>
                    <w:rPr>
                      <w:lang w:val="en-US" w:eastAsia="zh-CN"/>
                    </w:rPr>
                    <w:t>达州市通川区</w:t>
                  </w:r>
                </w:p>
              </w:tc>
              <w:tc>
                <w:tcPr>
                  <w:tcW w:w="1367" w:type="dxa"/>
                  <w:tcBorders>
                    <w:tl2br w:val="nil"/>
                    <w:tr2bl w:val="nil"/>
                  </w:tcBorders>
                  <w:vAlign w:val="center"/>
                </w:tcPr>
                <w:p w14:paraId="7A04D234">
                  <w:pPr>
                    <w:pStyle w:val="5"/>
                    <w:bidi w:val="0"/>
                    <w:jc w:val="center"/>
                    <w:rPr>
                      <w:lang w:val="en-US" w:eastAsia="zh-CN"/>
                    </w:rPr>
                  </w:pPr>
                  <w:r>
                    <w:rPr>
                      <w:lang w:val="en-US" w:eastAsia="zh-CN"/>
                    </w:rPr>
                    <w:t>大气</w:t>
                  </w:r>
                </w:p>
              </w:tc>
              <w:tc>
                <w:tcPr>
                  <w:tcW w:w="1456" w:type="dxa"/>
                  <w:tcBorders>
                    <w:tl2br w:val="nil"/>
                    <w:tr2bl w:val="nil"/>
                  </w:tcBorders>
                  <w:vAlign w:val="center"/>
                </w:tcPr>
                <w:p w14:paraId="2124238F">
                  <w:pPr>
                    <w:pStyle w:val="5"/>
                    <w:bidi w:val="0"/>
                    <w:jc w:val="center"/>
                    <w:rPr>
                      <w:lang w:val="en-US" w:eastAsia="zh-CN"/>
                    </w:rPr>
                  </w:pPr>
                  <w:r>
                    <w:rPr>
                      <w:lang w:val="en-US" w:eastAsia="zh-CN"/>
                    </w:rPr>
                    <w:t>大气环境高排放重点管控区</w:t>
                  </w:r>
                </w:p>
              </w:tc>
            </w:tr>
            <w:tr w14:paraId="631B091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50" w:type="dxa"/>
                  <w:tcBorders>
                    <w:tl2br w:val="nil"/>
                    <w:tr2bl w:val="nil"/>
                  </w:tcBorders>
                  <w:vAlign w:val="center"/>
                </w:tcPr>
                <w:p w14:paraId="11B20645">
                  <w:pPr>
                    <w:pStyle w:val="5"/>
                    <w:bidi w:val="0"/>
                    <w:jc w:val="center"/>
                    <w:rPr>
                      <w:lang w:val="en-US" w:eastAsia="zh-CN"/>
                    </w:rPr>
                  </w:pPr>
                  <w:r>
                    <w:rPr>
                      <w:lang w:val="en-US" w:eastAsia="zh-CN"/>
                    </w:rPr>
                    <w:t>3</w:t>
                  </w:r>
                </w:p>
              </w:tc>
              <w:tc>
                <w:tcPr>
                  <w:tcW w:w="1939" w:type="dxa"/>
                  <w:tcBorders>
                    <w:tl2br w:val="nil"/>
                    <w:tr2bl w:val="nil"/>
                  </w:tcBorders>
                  <w:vAlign w:val="center"/>
                </w:tcPr>
                <w:p w14:paraId="4531363B">
                  <w:pPr>
                    <w:pStyle w:val="5"/>
                    <w:bidi w:val="0"/>
                    <w:jc w:val="center"/>
                    <w:rPr>
                      <w:lang w:val="en-US" w:eastAsia="zh-CN"/>
                    </w:rPr>
                  </w:pPr>
                  <w:r>
                    <w:rPr>
                      <w:lang w:val="en-US" w:eastAsia="zh-CN"/>
                    </w:rPr>
                    <w:t>通川区城镇开发边界</w:t>
                  </w:r>
                </w:p>
              </w:tc>
              <w:tc>
                <w:tcPr>
                  <w:tcW w:w="1857" w:type="dxa"/>
                  <w:tcBorders>
                    <w:tl2br w:val="nil"/>
                    <w:tr2bl w:val="nil"/>
                  </w:tcBorders>
                  <w:vAlign w:val="center"/>
                </w:tcPr>
                <w:p w14:paraId="7B10F83A">
                  <w:pPr>
                    <w:pStyle w:val="5"/>
                    <w:bidi w:val="0"/>
                    <w:jc w:val="center"/>
                    <w:rPr>
                      <w:lang w:val="en-US" w:eastAsia="zh-CN"/>
                    </w:rPr>
                  </w:pPr>
                  <w:r>
                    <w:rPr>
                      <w:lang w:val="en-US" w:eastAsia="zh-CN"/>
                    </w:rPr>
                    <w:t>YS5117022530001</w:t>
                  </w:r>
                </w:p>
              </w:tc>
              <w:tc>
                <w:tcPr>
                  <w:tcW w:w="1392" w:type="dxa"/>
                  <w:tcBorders>
                    <w:tl2br w:val="nil"/>
                    <w:tr2bl w:val="nil"/>
                  </w:tcBorders>
                  <w:vAlign w:val="center"/>
                </w:tcPr>
                <w:p w14:paraId="329A536C">
                  <w:pPr>
                    <w:pStyle w:val="5"/>
                    <w:bidi w:val="0"/>
                    <w:jc w:val="center"/>
                    <w:rPr>
                      <w:lang w:val="en-US" w:eastAsia="zh-CN"/>
                    </w:rPr>
                  </w:pPr>
                  <w:r>
                    <w:rPr>
                      <w:lang w:val="en-US" w:eastAsia="zh-CN"/>
                    </w:rPr>
                    <w:t>达州市通川区</w:t>
                  </w:r>
                </w:p>
              </w:tc>
              <w:tc>
                <w:tcPr>
                  <w:tcW w:w="1367" w:type="dxa"/>
                  <w:tcBorders>
                    <w:tl2br w:val="nil"/>
                    <w:tr2bl w:val="nil"/>
                  </w:tcBorders>
                  <w:vAlign w:val="center"/>
                </w:tcPr>
                <w:p w14:paraId="003CE317">
                  <w:pPr>
                    <w:pStyle w:val="5"/>
                    <w:bidi w:val="0"/>
                    <w:jc w:val="center"/>
                    <w:rPr>
                      <w:lang w:val="en-US" w:eastAsia="zh-CN"/>
                    </w:rPr>
                  </w:pPr>
                  <w:r>
                    <w:rPr>
                      <w:lang w:val="en-US" w:eastAsia="zh-CN"/>
                    </w:rPr>
                    <w:t>自然资源</w:t>
                  </w:r>
                </w:p>
              </w:tc>
              <w:tc>
                <w:tcPr>
                  <w:tcW w:w="1456" w:type="dxa"/>
                  <w:tcBorders>
                    <w:tl2br w:val="nil"/>
                    <w:tr2bl w:val="nil"/>
                  </w:tcBorders>
                  <w:vAlign w:val="center"/>
                </w:tcPr>
                <w:p w14:paraId="508B215E">
                  <w:pPr>
                    <w:pStyle w:val="5"/>
                    <w:bidi w:val="0"/>
                    <w:jc w:val="center"/>
                    <w:rPr>
                      <w:lang w:val="en-US" w:eastAsia="zh-CN"/>
                    </w:rPr>
                  </w:pPr>
                  <w:r>
                    <w:rPr>
                      <w:lang w:val="en-US" w:eastAsia="zh-CN"/>
                    </w:rPr>
                    <w:t>土地资源重点管控区</w:t>
                  </w:r>
                </w:p>
              </w:tc>
            </w:tr>
            <w:tr w14:paraId="095AAE0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50" w:type="dxa"/>
                  <w:tcBorders>
                    <w:tl2br w:val="nil"/>
                    <w:tr2bl w:val="nil"/>
                  </w:tcBorders>
                  <w:vAlign w:val="center"/>
                </w:tcPr>
                <w:p w14:paraId="47CD4A3B">
                  <w:pPr>
                    <w:pStyle w:val="5"/>
                    <w:bidi w:val="0"/>
                    <w:jc w:val="center"/>
                    <w:rPr>
                      <w:lang w:val="en-US" w:eastAsia="zh-CN"/>
                    </w:rPr>
                  </w:pPr>
                  <w:r>
                    <w:rPr>
                      <w:lang w:val="en-US" w:eastAsia="zh-CN"/>
                    </w:rPr>
                    <w:t>4</w:t>
                  </w:r>
                </w:p>
              </w:tc>
              <w:tc>
                <w:tcPr>
                  <w:tcW w:w="1939" w:type="dxa"/>
                  <w:tcBorders>
                    <w:tl2br w:val="nil"/>
                    <w:tr2bl w:val="nil"/>
                  </w:tcBorders>
                  <w:vAlign w:val="center"/>
                </w:tcPr>
                <w:p w14:paraId="439A5A62">
                  <w:pPr>
                    <w:pStyle w:val="5"/>
                    <w:bidi w:val="0"/>
                    <w:jc w:val="center"/>
                    <w:rPr>
                      <w:lang w:val="en-US" w:eastAsia="zh-CN"/>
                    </w:rPr>
                  </w:pPr>
                  <w:r>
                    <w:rPr>
                      <w:lang w:val="en-US" w:eastAsia="zh-CN"/>
                    </w:rPr>
                    <w:t>通川区自然资源重点管控区</w:t>
                  </w:r>
                </w:p>
              </w:tc>
              <w:tc>
                <w:tcPr>
                  <w:tcW w:w="1857" w:type="dxa"/>
                  <w:tcBorders>
                    <w:tl2br w:val="nil"/>
                    <w:tr2bl w:val="nil"/>
                  </w:tcBorders>
                  <w:vAlign w:val="center"/>
                </w:tcPr>
                <w:p w14:paraId="5A4D33BD">
                  <w:pPr>
                    <w:pStyle w:val="5"/>
                    <w:bidi w:val="0"/>
                    <w:jc w:val="center"/>
                    <w:rPr>
                      <w:lang w:val="en-US" w:eastAsia="zh-CN"/>
                    </w:rPr>
                  </w:pPr>
                  <w:r>
                    <w:rPr>
                      <w:lang w:val="en-US" w:eastAsia="zh-CN"/>
                    </w:rPr>
                    <w:t>YS5117022550001</w:t>
                  </w:r>
                </w:p>
              </w:tc>
              <w:tc>
                <w:tcPr>
                  <w:tcW w:w="1392" w:type="dxa"/>
                  <w:tcBorders>
                    <w:tl2br w:val="nil"/>
                    <w:tr2bl w:val="nil"/>
                  </w:tcBorders>
                  <w:vAlign w:val="center"/>
                </w:tcPr>
                <w:p w14:paraId="09061003">
                  <w:pPr>
                    <w:pStyle w:val="5"/>
                    <w:bidi w:val="0"/>
                    <w:jc w:val="center"/>
                    <w:rPr>
                      <w:lang w:val="en-US" w:eastAsia="zh-CN"/>
                    </w:rPr>
                  </w:pPr>
                  <w:r>
                    <w:rPr>
                      <w:lang w:val="en-US" w:eastAsia="zh-CN"/>
                    </w:rPr>
                    <w:t>达州市通川区</w:t>
                  </w:r>
                </w:p>
              </w:tc>
              <w:tc>
                <w:tcPr>
                  <w:tcW w:w="1367" w:type="dxa"/>
                  <w:tcBorders>
                    <w:tl2br w:val="nil"/>
                    <w:tr2bl w:val="nil"/>
                  </w:tcBorders>
                  <w:vAlign w:val="center"/>
                </w:tcPr>
                <w:p w14:paraId="7F52207E">
                  <w:pPr>
                    <w:pStyle w:val="5"/>
                    <w:bidi w:val="0"/>
                    <w:jc w:val="center"/>
                    <w:rPr>
                      <w:lang w:val="en-US" w:eastAsia="zh-CN"/>
                    </w:rPr>
                  </w:pPr>
                  <w:r>
                    <w:rPr>
                      <w:lang w:val="en-US" w:eastAsia="zh-CN"/>
                    </w:rPr>
                    <w:t>自然资源</w:t>
                  </w:r>
                </w:p>
              </w:tc>
              <w:tc>
                <w:tcPr>
                  <w:tcW w:w="1456" w:type="dxa"/>
                  <w:tcBorders>
                    <w:tl2br w:val="nil"/>
                    <w:tr2bl w:val="nil"/>
                  </w:tcBorders>
                  <w:vAlign w:val="center"/>
                </w:tcPr>
                <w:p w14:paraId="03CB55EC">
                  <w:pPr>
                    <w:pStyle w:val="5"/>
                    <w:bidi w:val="0"/>
                    <w:jc w:val="center"/>
                    <w:rPr>
                      <w:lang w:val="en-US" w:eastAsia="zh-CN"/>
                    </w:rPr>
                  </w:pPr>
                  <w:r>
                    <w:rPr>
                      <w:lang w:val="en-US" w:eastAsia="zh-CN"/>
                    </w:rPr>
                    <w:t>自然资源重点管控区</w:t>
                  </w:r>
                </w:p>
              </w:tc>
            </w:tr>
            <w:tr w14:paraId="54E68FE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500" w:hRule="atLeast"/>
              </w:trPr>
              <w:tc>
                <w:tcPr>
                  <w:tcW w:w="750" w:type="dxa"/>
                  <w:tcBorders>
                    <w:tl2br w:val="nil"/>
                    <w:tr2bl w:val="nil"/>
                  </w:tcBorders>
                  <w:vAlign w:val="center"/>
                </w:tcPr>
                <w:p w14:paraId="6F53A063">
                  <w:pPr>
                    <w:pStyle w:val="5"/>
                    <w:bidi w:val="0"/>
                    <w:jc w:val="center"/>
                    <w:rPr>
                      <w:lang w:val="en-US" w:eastAsia="zh-CN"/>
                    </w:rPr>
                  </w:pPr>
                  <w:r>
                    <w:rPr>
                      <w:lang w:val="en-US" w:eastAsia="zh-CN"/>
                    </w:rPr>
                    <w:t>5</w:t>
                  </w:r>
                </w:p>
              </w:tc>
              <w:tc>
                <w:tcPr>
                  <w:tcW w:w="1939" w:type="dxa"/>
                  <w:tcBorders>
                    <w:tl2br w:val="nil"/>
                    <w:tr2bl w:val="nil"/>
                  </w:tcBorders>
                  <w:vAlign w:val="center"/>
                </w:tcPr>
                <w:p w14:paraId="38810544">
                  <w:pPr>
                    <w:pStyle w:val="5"/>
                    <w:bidi w:val="0"/>
                    <w:jc w:val="center"/>
                    <w:rPr>
                      <w:lang w:val="en-US" w:eastAsia="zh-CN"/>
                    </w:rPr>
                  </w:pPr>
                  <w:r>
                    <w:rPr>
                      <w:lang w:val="en-US" w:eastAsia="zh-CN"/>
                    </w:rPr>
                    <w:t>通川区其他区域</w:t>
                  </w:r>
                </w:p>
              </w:tc>
              <w:tc>
                <w:tcPr>
                  <w:tcW w:w="1857" w:type="dxa"/>
                  <w:tcBorders>
                    <w:tl2br w:val="nil"/>
                    <w:tr2bl w:val="nil"/>
                  </w:tcBorders>
                  <w:vAlign w:val="center"/>
                </w:tcPr>
                <w:p w14:paraId="44094083">
                  <w:pPr>
                    <w:pStyle w:val="5"/>
                    <w:bidi w:val="0"/>
                    <w:jc w:val="center"/>
                    <w:rPr>
                      <w:lang w:val="en-US" w:eastAsia="zh-CN"/>
                    </w:rPr>
                  </w:pPr>
                  <w:r>
                    <w:rPr>
                      <w:lang w:val="en-US" w:eastAsia="zh-CN"/>
                    </w:rPr>
                    <w:t>YS5117023110001</w:t>
                  </w:r>
                </w:p>
              </w:tc>
              <w:tc>
                <w:tcPr>
                  <w:tcW w:w="1392" w:type="dxa"/>
                  <w:tcBorders>
                    <w:tl2br w:val="nil"/>
                    <w:tr2bl w:val="nil"/>
                  </w:tcBorders>
                  <w:vAlign w:val="center"/>
                </w:tcPr>
                <w:p w14:paraId="33FF943B">
                  <w:pPr>
                    <w:pStyle w:val="5"/>
                    <w:bidi w:val="0"/>
                    <w:jc w:val="center"/>
                    <w:rPr>
                      <w:lang w:val="en-US" w:eastAsia="zh-CN"/>
                    </w:rPr>
                  </w:pPr>
                  <w:r>
                    <w:rPr>
                      <w:lang w:val="en-US" w:eastAsia="zh-CN"/>
                    </w:rPr>
                    <w:t>达州市通川区</w:t>
                  </w:r>
                </w:p>
              </w:tc>
              <w:tc>
                <w:tcPr>
                  <w:tcW w:w="1367" w:type="dxa"/>
                  <w:tcBorders>
                    <w:tl2br w:val="nil"/>
                    <w:tr2bl w:val="nil"/>
                  </w:tcBorders>
                  <w:vAlign w:val="center"/>
                </w:tcPr>
                <w:p w14:paraId="2E8481C2">
                  <w:pPr>
                    <w:pStyle w:val="5"/>
                    <w:bidi w:val="0"/>
                    <w:jc w:val="center"/>
                    <w:rPr>
                      <w:lang w:val="en-US" w:eastAsia="zh-CN"/>
                    </w:rPr>
                  </w:pPr>
                  <w:r>
                    <w:rPr>
                      <w:lang w:val="en-US" w:eastAsia="zh-CN"/>
                    </w:rPr>
                    <w:t>生态</w:t>
                  </w:r>
                </w:p>
              </w:tc>
              <w:tc>
                <w:tcPr>
                  <w:tcW w:w="1456" w:type="dxa"/>
                  <w:tcBorders>
                    <w:tl2br w:val="nil"/>
                    <w:tr2bl w:val="nil"/>
                  </w:tcBorders>
                  <w:vAlign w:val="center"/>
                </w:tcPr>
                <w:p w14:paraId="621D06E9">
                  <w:pPr>
                    <w:pStyle w:val="5"/>
                    <w:bidi w:val="0"/>
                    <w:jc w:val="center"/>
                    <w:rPr>
                      <w:lang w:val="en-US" w:eastAsia="zh-CN"/>
                    </w:rPr>
                  </w:pPr>
                  <w:r>
                    <w:rPr>
                      <w:lang w:val="en-US" w:eastAsia="zh-CN"/>
                    </w:rPr>
                    <w:t>一般管控区</w:t>
                  </w:r>
                </w:p>
              </w:tc>
            </w:tr>
          </w:tbl>
          <w:p w14:paraId="230DC170">
            <w:pPr>
              <w:keepNext w:val="0"/>
              <w:spacing w:after="0"/>
              <w:ind w:firstLine="480" w:firstLineChars="200"/>
              <w:jc w:val="both"/>
              <w:rPr>
                <w:rFonts w:hint="eastAsia"/>
                <w:lang w:eastAsia="zh-CN"/>
              </w:rPr>
            </w:pPr>
          </w:p>
          <w:p w14:paraId="2C6C785F">
            <w:pPr>
              <w:keepNext w:val="0"/>
              <w:spacing w:after="0"/>
              <w:ind w:firstLine="480" w:firstLineChars="200"/>
              <w:jc w:val="both"/>
              <w:rPr>
                <w:rFonts w:hint="default"/>
                <w:lang w:val="en-US" w:eastAsia="zh-CN"/>
              </w:rPr>
            </w:pPr>
            <w:r>
              <w:rPr>
                <w:rFonts w:hint="eastAsia"/>
                <w:lang w:eastAsia="zh-CN"/>
              </w:rPr>
              <w:t>（</w:t>
            </w:r>
            <w:r>
              <w:rPr>
                <w:rFonts w:hint="eastAsia"/>
                <w:lang w:val="en-US" w:eastAsia="zh-CN"/>
              </w:rPr>
              <w:t>3</w:t>
            </w:r>
            <w:r>
              <w:rPr>
                <w:rFonts w:hint="eastAsia"/>
                <w:lang w:eastAsia="zh-CN"/>
              </w:rPr>
              <w:t>）所属经济区要求</w:t>
            </w:r>
            <w:r>
              <w:rPr>
                <w:rFonts w:hint="eastAsia"/>
                <w:lang w:val="en-US" w:eastAsia="zh-CN"/>
              </w:rPr>
              <w:t>符合性分析</w:t>
            </w:r>
          </w:p>
          <w:p w14:paraId="276D480F">
            <w:pPr>
              <w:pStyle w:val="7"/>
              <w:keepNext/>
              <w:spacing w:after="0"/>
              <w:ind w:firstLineChars="0"/>
              <w:jc w:val="center"/>
            </w:pPr>
            <w:r>
              <w:t>表</w:t>
            </w:r>
            <w:r>
              <w:rPr>
                <w:rFonts w:hint="eastAsia"/>
                <w:lang w:val="en-US" w:eastAsia="zh-CN"/>
              </w:rPr>
              <w:t>1-5</w:t>
            </w:r>
            <w:r>
              <w:t xml:space="preserve">  项目与</w:t>
            </w:r>
            <w:r>
              <w:rPr>
                <w:rFonts w:hint="eastAsia"/>
                <w:lang w:val="en-US" w:eastAsia="zh-CN"/>
              </w:rPr>
              <w:t>川东北</w:t>
            </w:r>
            <w:r>
              <w:rPr>
                <w:rFonts w:hint="eastAsia"/>
              </w:rPr>
              <w:t>经济区</w:t>
            </w:r>
            <w:r>
              <w:t>符合性分析表</w:t>
            </w:r>
          </w:p>
          <w:tbl>
            <w:tblPr>
              <w:tblStyle w:val="30"/>
              <w:tblW w:w="8918"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812"/>
              <w:gridCol w:w="987"/>
              <w:gridCol w:w="3777"/>
              <w:gridCol w:w="2730"/>
              <w:gridCol w:w="612"/>
            </w:tblGrid>
            <w:tr w14:paraId="1A84E7F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jc w:val="center"/>
              </w:trPr>
              <w:tc>
                <w:tcPr>
                  <w:tcW w:w="812" w:type="dxa"/>
                  <w:tcBorders>
                    <w:tl2br w:val="nil"/>
                    <w:tr2bl w:val="nil"/>
                  </w:tcBorders>
                  <w:vAlign w:val="center"/>
                </w:tcPr>
                <w:p w14:paraId="588BC119">
                  <w:pPr>
                    <w:pStyle w:val="5"/>
                    <w:jc w:val="center"/>
                    <w:rPr>
                      <w:b/>
                      <w:bCs/>
                    </w:rPr>
                  </w:pPr>
                  <w:r>
                    <w:rPr>
                      <w:b/>
                      <w:bCs/>
                    </w:rPr>
                    <w:t>经济区名称</w:t>
                  </w:r>
                </w:p>
              </w:tc>
              <w:tc>
                <w:tcPr>
                  <w:tcW w:w="987" w:type="dxa"/>
                  <w:tcBorders>
                    <w:tl2br w:val="nil"/>
                    <w:tr2bl w:val="nil"/>
                  </w:tcBorders>
                  <w:vAlign w:val="center"/>
                </w:tcPr>
                <w:p w14:paraId="49FE750B">
                  <w:pPr>
                    <w:pStyle w:val="5"/>
                    <w:jc w:val="center"/>
                    <w:rPr>
                      <w:b/>
                      <w:bCs/>
                    </w:rPr>
                  </w:pPr>
                  <w:r>
                    <w:rPr>
                      <w:b/>
                      <w:bCs/>
                    </w:rPr>
                    <w:t>标题</w:t>
                  </w:r>
                </w:p>
              </w:tc>
              <w:tc>
                <w:tcPr>
                  <w:tcW w:w="3777" w:type="dxa"/>
                  <w:tcBorders>
                    <w:tl2br w:val="nil"/>
                    <w:tr2bl w:val="nil"/>
                  </w:tcBorders>
                  <w:vAlign w:val="center"/>
                </w:tcPr>
                <w:p w14:paraId="49A7C1BB">
                  <w:pPr>
                    <w:pStyle w:val="5"/>
                    <w:jc w:val="center"/>
                    <w:rPr>
                      <w:b/>
                      <w:bCs/>
                    </w:rPr>
                  </w:pPr>
                  <w:r>
                    <w:rPr>
                      <w:b/>
                      <w:bCs/>
                    </w:rPr>
                    <w:t>内容</w:t>
                  </w:r>
                </w:p>
              </w:tc>
              <w:tc>
                <w:tcPr>
                  <w:tcW w:w="2730" w:type="dxa"/>
                  <w:tcBorders>
                    <w:tl2br w:val="nil"/>
                    <w:tr2bl w:val="nil"/>
                  </w:tcBorders>
                  <w:vAlign w:val="center"/>
                </w:tcPr>
                <w:p w14:paraId="3E0B15BF">
                  <w:pPr>
                    <w:pStyle w:val="5"/>
                    <w:ind w:left="0" w:leftChars="0" w:firstLineChars="0"/>
                    <w:jc w:val="center"/>
                    <w:rPr>
                      <w:rFonts w:hint="eastAsia"/>
                      <w:b/>
                      <w:bCs/>
                      <w:lang w:val="en-US" w:eastAsia="zh-CN"/>
                    </w:rPr>
                  </w:pPr>
                  <w:r>
                    <w:rPr>
                      <w:rFonts w:hint="eastAsia"/>
                      <w:b/>
                      <w:bCs/>
                      <w:lang w:val="en-US" w:eastAsia="zh-CN"/>
                    </w:rPr>
                    <w:t>本项目情况</w:t>
                  </w:r>
                </w:p>
              </w:tc>
              <w:tc>
                <w:tcPr>
                  <w:tcW w:w="612" w:type="dxa"/>
                  <w:tcBorders>
                    <w:tl2br w:val="nil"/>
                    <w:tr2bl w:val="nil"/>
                  </w:tcBorders>
                  <w:vAlign w:val="center"/>
                </w:tcPr>
                <w:p w14:paraId="4E7012C0">
                  <w:pPr>
                    <w:pStyle w:val="5"/>
                    <w:ind w:left="0" w:leftChars="0" w:firstLineChars="0"/>
                    <w:jc w:val="center"/>
                    <w:rPr>
                      <w:rFonts w:hint="eastAsia"/>
                      <w:b/>
                      <w:bCs/>
                      <w:lang w:val="en-US" w:eastAsia="zh-CN"/>
                    </w:rPr>
                  </w:pPr>
                  <w:r>
                    <w:rPr>
                      <w:rFonts w:hint="eastAsia"/>
                      <w:b/>
                      <w:bCs/>
                      <w:lang w:val="en-US" w:eastAsia="zh-CN"/>
                    </w:rPr>
                    <w:t>符合性</w:t>
                  </w:r>
                </w:p>
              </w:tc>
            </w:tr>
            <w:tr w14:paraId="681A17D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jc w:val="center"/>
              </w:trPr>
              <w:tc>
                <w:tcPr>
                  <w:tcW w:w="812" w:type="dxa"/>
                  <w:vMerge w:val="restart"/>
                  <w:tcBorders>
                    <w:tl2br w:val="nil"/>
                    <w:tr2bl w:val="nil"/>
                  </w:tcBorders>
                  <w:vAlign w:val="center"/>
                </w:tcPr>
                <w:p w14:paraId="743A9DCF">
                  <w:pPr>
                    <w:pStyle w:val="5"/>
                    <w:jc w:val="left"/>
                  </w:pPr>
                  <w:r>
                    <w:t>川东北经济区</w:t>
                  </w:r>
                </w:p>
              </w:tc>
              <w:tc>
                <w:tcPr>
                  <w:tcW w:w="987" w:type="dxa"/>
                  <w:tcBorders>
                    <w:tl2br w:val="nil"/>
                    <w:tr2bl w:val="nil"/>
                  </w:tcBorders>
                  <w:vAlign w:val="center"/>
                </w:tcPr>
                <w:p w14:paraId="315A6891">
                  <w:pPr>
                    <w:pStyle w:val="5"/>
                    <w:jc w:val="center"/>
                  </w:pPr>
                  <w:r>
                    <w:t>区域特点</w:t>
                  </w:r>
                </w:p>
              </w:tc>
              <w:tc>
                <w:tcPr>
                  <w:tcW w:w="3777" w:type="dxa"/>
                  <w:tcBorders>
                    <w:tl2br w:val="nil"/>
                    <w:tr2bl w:val="nil"/>
                  </w:tcBorders>
                  <w:vAlign w:val="center"/>
                </w:tcPr>
                <w:p w14:paraId="09A993DC">
                  <w:pPr>
                    <w:pStyle w:val="5"/>
                    <w:jc w:val="both"/>
                  </w:pPr>
                  <w:r>
                    <w:t>南充、达州、广安、广元、巴中5市内大部分区域属于省级层面重点开发区，是一般管控单元的集中分布区域。该区域发展定位为东向北向出川综合交通枢纽和川渝陕甘结合部区域经济中心。</w:t>
                  </w:r>
                </w:p>
              </w:tc>
              <w:tc>
                <w:tcPr>
                  <w:tcW w:w="2730" w:type="dxa"/>
                  <w:tcBorders>
                    <w:tl2br w:val="nil"/>
                    <w:tr2bl w:val="nil"/>
                  </w:tcBorders>
                  <w:shd w:val="clear" w:color="auto" w:fill="auto"/>
                  <w:vAlign w:val="center"/>
                </w:tcPr>
                <w:p w14:paraId="17506B4B">
                  <w:pPr>
                    <w:pStyle w:val="5"/>
                    <w:widowControl/>
                    <w:ind w:firstLineChars="0"/>
                    <w:jc w:val="both"/>
                    <w:rPr>
                      <w:lang w:val="en-US" w:eastAsia="zh-CN"/>
                    </w:rPr>
                  </w:pPr>
                  <w:r>
                    <w:rPr>
                      <w:rFonts w:hint="eastAsia"/>
                    </w:rPr>
                    <w:t>本项目为</w:t>
                  </w:r>
                  <w:r>
                    <w:rPr>
                      <w:rFonts w:hint="eastAsia"/>
                      <w:lang w:val="en-US" w:eastAsia="zh-CN"/>
                    </w:rPr>
                    <w:t>氢能源混合动力系统和氢能源两轮车技改项目</w:t>
                  </w:r>
                  <w:r>
                    <w:rPr>
                      <w:rFonts w:hint="eastAsia"/>
                    </w:rPr>
                    <w:t>，位于</w:t>
                  </w:r>
                  <w:r>
                    <w:rPr>
                      <w:rFonts w:hint="eastAsia"/>
                      <w:lang w:val="en-US" w:eastAsia="zh-CN"/>
                    </w:rPr>
                    <w:t>达州市通川区</w:t>
                  </w:r>
                  <w:r>
                    <w:rPr>
                      <w:rFonts w:hint="eastAsia"/>
                    </w:rPr>
                    <w:t>，位于国家层面重点开发区内。</w:t>
                  </w:r>
                </w:p>
              </w:tc>
              <w:tc>
                <w:tcPr>
                  <w:tcW w:w="612" w:type="dxa"/>
                  <w:tcBorders>
                    <w:tl2br w:val="nil"/>
                    <w:tr2bl w:val="nil"/>
                  </w:tcBorders>
                  <w:vAlign w:val="center"/>
                </w:tcPr>
                <w:p w14:paraId="232D7654">
                  <w:pPr>
                    <w:pStyle w:val="5"/>
                    <w:jc w:val="center"/>
                    <w:rPr>
                      <w:rFonts w:hint="eastAsia"/>
                      <w:lang w:val="en-US" w:eastAsia="zh-CN"/>
                    </w:rPr>
                  </w:pPr>
                  <w:r>
                    <w:rPr>
                      <w:rFonts w:hint="eastAsia"/>
                      <w:lang w:val="en-US" w:eastAsia="zh-CN"/>
                    </w:rPr>
                    <w:t>符合</w:t>
                  </w:r>
                </w:p>
              </w:tc>
            </w:tr>
            <w:tr w14:paraId="7C9DFC4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jc w:val="center"/>
              </w:trPr>
              <w:tc>
                <w:tcPr>
                  <w:tcW w:w="812" w:type="dxa"/>
                  <w:vMerge w:val="continue"/>
                  <w:tcBorders>
                    <w:tl2br w:val="nil"/>
                    <w:tr2bl w:val="nil"/>
                  </w:tcBorders>
                  <w:vAlign w:val="center"/>
                </w:tcPr>
                <w:p w14:paraId="039BE5FD">
                  <w:pPr>
                    <w:pStyle w:val="5"/>
                    <w:jc w:val="left"/>
                  </w:pPr>
                </w:p>
              </w:tc>
              <w:tc>
                <w:tcPr>
                  <w:tcW w:w="987" w:type="dxa"/>
                  <w:tcBorders>
                    <w:tl2br w:val="nil"/>
                    <w:tr2bl w:val="nil"/>
                  </w:tcBorders>
                  <w:vAlign w:val="center"/>
                </w:tcPr>
                <w:p w14:paraId="03BC1BA5">
                  <w:pPr>
                    <w:pStyle w:val="5"/>
                    <w:jc w:val="center"/>
                  </w:pPr>
                  <w:r>
                    <w:t>发展定位与目标</w:t>
                  </w:r>
                </w:p>
              </w:tc>
              <w:tc>
                <w:tcPr>
                  <w:tcW w:w="3777" w:type="dxa"/>
                  <w:tcBorders>
                    <w:tl2br w:val="nil"/>
                    <w:tr2bl w:val="nil"/>
                  </w:tcBorders>
                  <w:vAlign w:val="center"/>
                </w:tcPr>
                <w:p w14:paraId="1D751331">
                  <w:pPr>
                    <w:pStyle w:val="5"/>
                    <w:jc w:val="both"/>
                  </w:pPr>
                  <w:r>
                    <w:t>围绕做强支撑更有力的次级增长极，对省域经济副中心、区域中心城市、其他市（州）以及国省新区、各类高新区经开区提出明确要求；围绕推动欠发达地区跨越发展，提出加快补齐发展短板，巩固拓展脱贫攻坚成果，增强脱贫群众内生发展动力，形成先发带后发、先富帮后富的区域发展新格局。同时大力推动成渝地区双城经济圈建设，进一步加强与重庆方面全方位协作，强化双核联动、双圈互动，突出成渝主轴、南北两翼，合力打造带动全国高质量发展的重要增长极和新的动力源。</w:t>
                  </w:r>
                </w:p>
              </w:tc>
              <w:tc>
                <w:tcPr>
                  <w:tcW w:w="2730" w:type="dxa"/>
                  <w:tcBorders>
                    <w:tl2br w:val="nil"/>
                    <w:tr2bl w:val="nil"/>
                  </w:tcBorders>
                  <w:shd w:val="clear" w:color="auto" w:fill="auto"/>
                  <w:vAlign w:val="center"/>
                </w:tcPr>
                <w:p w14:paraId="5F1B5C29">
                  <w:pPr>
                    <w:pStyle w:val="5"/>
                    <w:widowControl/>
                    <w:ind w:firstLineChars="0"/>
                    <w:jc w:val="both"/>
                    <w:rPr>
                      <w:rFonts w:hint="default"/>
                      <w:lang w:val="en-US" w:eastAsia="zh-CN"/>
                    </w:rPr>
                  </w:pPr>
                  <w:r>
                    <w:rPr>
                      <w:rFonts w:hint="eastAsia"/>
                      <w:lang w:eastAsia="zh-CN"/>
                    </w:rPr>
                    <w:t>本项目为</w:t>
                  </w:r>
                  <w:r>
                    <w:rPr>
                      <w:rFonts w:hint="eastAsia"/>
                      <w:lang w:val="en-US" w:eastAsia="zh-CN"/>
                    </w:rPr>
                    <w:t>氢能源混合动力系统和氢能源两轮车技改项目，为鼓励发展的行业，其可发展性和进步性较大。</w:t>
                  </w:r>
                </w:p>
              </w:tc>
              <w:tc>
                <w:tcPr>
                  <w:tcW w:w="612" w:type="dxa"/>
                  <w:tcBorders>
                    <w:tl2br w:val="nil"/>
                    <w:tr2bl w:val="nil"/>
                  </w:tcBorders>
                  <w:vAlign w:val="center"/>
                </w:tcPr>
                <w:p w14:paraId="34D12314">
                  <w:pPr>
                    <w:pStyle w:val="5"/>
                    <w:ind w:firstLineChars="0"/>
                    <w:jc w:val="center"/>
                  </w:pPr>
                  <w:r>
                    <w:rPr>
                      <w:rFonts w:hint="eastAsia"/>
                      <w:lang w:val="en-US" w:eastAsia="zh-CN"/>
                    </w:rPr>
                    <w:t>符合</w:t>
                  </w:r>
                </w:p>
              </w:tc>
            </w:tr>
            <w:tr w14:paraId="25ACDCC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jc w:val="center"/>
              </w:trPr>
              <w:tc>
                <w:tcPr>
                  <w:tcW w:w="812" w:type="dxa"/>
                  <w:vMerge w:val="continue"/>
                  <w:tcBorders>
                    <w:tl2br w:val="nil"/>
                    <w:tr2bl w:val="nil"/>
                  </w:tcBorders>
                  <w:vAlign w:val="center"/>
                </w:tcPr>
                <w:p w14:paraId="7E8F5315">
                  <w:pPr>
                    <w:pStyle w:val="5"/>
                    <w:jc w:val="left"/>
                  </w:pPr>
                </w:p>
              </w:tc>
              <w:tc>
                <w:tcPr>
                  <w:tcW w:w="987" w:type="dxa"/>
                  <w:tcBorders>
                    <w:tl2br w:val="nil"/>
                    <w:tr2bl w:val="nil"/>
                  </w:tcBorders>
                  <w:vAlign w:val="center"/>
                </w:tcPr>
                <w:p w14:paraId="12355298">
                  <w:pPr>
                    <w:pStyle w:val="5"/>
                    <w:jc w:val="center"/>
                  </w:pPr>
                  <w:r>
                    <w:t>区域突出生态环境问题</w:t>
                  </w:r>
                </w:p>
              </w:tc>
              <w:tc>
                <w:tcPr>
                  <w:tcW w:w="3777" w:type="dxa"/>
                  <w:tcBorders>
                    <w:tl2br w:val="nil"/>
                    <w:tr2bl w:val="nil"/>
                  </w:tcBorders>
                  <w:vAlign w:val="center"/>
                </w:tcPr>
                <w:p w14:paraId="6FE48D6A">
                  <w:pPr>
                    <w:pStyle w:val="5"/>
                    <w:jc w:val="both"/>
                  </w:pPr>
                  <w:r>
                    <w:t>1、小流域污染问题突出，嘉陵江及渠江部分支流部分河段水环境承载力不足，乡镇污水基础设施建设滞后；出川断面多，水质要求高，保护压力大。</w:t>
                  </w:r>
                </w:p>
                <w:p w14:paraId="2AC304DA">
                  <w:pPr>
                    <w:pStyle w:val="5"/>
                    <w:jc w:val="both"/>
                  </w:pPr>
                  <w:r>
                    <w:t>2、区域嘉陵江流域存在输入性水环境风险问题。</w:t>
                  </w:r>
                </w:p>
                <w:p w14:paraId="776B006B">
                  <w:pPr>
                    <w:pStyle w:val="5"/>
                    <w:jc w:val="both"/>
                  </w:pPr>
                  <w:r>
                    <w:t>3、达州、广安大气污染问题须重视。</w:t>
                  </w:r>
                </w:p>
              </w:tc>
              <w:tc>
                <w:tcPr>
                  <w:tcW w:w="2730" w:type="dxa"/>
                  <w:tcBorders>
                    <w:tl2br w:val="nil"/>
                    <w:tr2bl w:val="nil"/>
                  </w:tcBorders>
                  <w:shd w:val="clear" w:color="auto" w:fill="auto"/>
                  <w:vAlign w:val="center"/>
                </w:tcPr>
                <w:p w14:paraId="4E9FD252">
                  <w:pPr>
                    <w:pStyle w:val="5"/>
                    <w:widowControl/>
                    <w:ind w:firstLineChars="0"/>
                    <w:jc w:val="both"/>
                    <w:rPr>
                      <w:rFonts w:hint="eastAsia"/>
                      <w:lang w:eastAsia="zh-CN"/>
                    </w:rPr>
                  </w:pPr>
                  <w:r>
                    <w:rPr>
                      <w:rFonts w:hint="eastAsia"/>
                    </w:rPr>
                    <w:t>1、本项目</w:t>
                  </w:r>
                  <w:r>
                    <w:rPr>
                      <w:rFonts w:hint="eastAsia"/>
                      <w:lang w:val="en-US" w:eastAsia="zh-CN"/>
                    </w:rPr>
                    <w:t>仅产生生活污水</w:t>
                  </w:r>
                  <w:r>
                    <w:rPr>
                      <w:rFonts w:hint="eastAsia"/>
                      <w:lang w:eastAsia="zh-CN"/>
                    </w:rPr>
                    <w:t>。生活污水</w:t>
                  </w:r>
                  <w:r>
                    <w:rPr>
                      <w:rFonts w:hint="eastAsia"/>
                      <w:lang w:val="en-US" w:eastAsia="zh-CN"/>
                    </w:rPr>
                    <w:t>经园区已建的一体化污水处理设施</w:t>
                  </w:r>
                  <w:r>
                    <w:rPr>
                      <w:rFonts w:hint="eastAsia"/>
                      <w:lang w:eastAsia="zh-CN"/>
                    </w:rPr>
                    <w:t>达到《污水综合排放标准》（GB8978-1996）三级标准</w:t>
                  </w:r>
                  <w:r>
                    <w:rPr>
                      <w:rFonts w:hint="eastAsia"/>
                      <w:lang w:val="en-US" w:eastAsia="zh-CN"/>
                    </w:rPr>
                    <w:t>后，排入</w:t>
                  </w:r>
                  <w:r>
                    <w:rPr>
                      <w:rFonts w:hint="eastAsia"/>
                      <w:lang w:eastAsia="zh-CN"/>
                    </w:rPr>
                    <w:t>园区</w:t>
                  </w:r>
                  <w:r>
                    <w:rPr>
                      <w:rFonts w:hint="eastAsia"/>
                      <w:lang w:val="en-US" w:eastAsia="zh-CN"/>
                    </w:rPr>
                    <w:t>市政污水管网，输送至魏兴场镇污水处理厂，处理后尾水达《城镇污水处理厂污染物排放标准》（GB18918—2002）一级A标准后，排入州河。</w:t>
                  </w:r>
                </w:p>
                <w:p w14:paraId="33D050BA">
                  <w:pPr>
                    <w:pStyle w:val="5"/>
                    <w:ind w:firstLineChars="0"/>
                    <w:jc w:val="both"/>
                    <w:rPr>
                      <w:rFonts w:hint="default"/>
                      <w:lang w:val="en-US" w:eastAsia="zh-CN"/>
                    </w:rPr>
                  </w:pPr>
                  <w:r>
                    <w:rPr>
                      <w:rFonts w:hint="eastAsia"/>
                    </w:rPr>
                    <w:t>2、</w:t>
                  </w:r>
                  <w:r>
                    <w:rPr>
                      <w:rFonts w:hint="eastAsia"/>
                      <w:lang w:val="en-US" w:eastAsia="zh-CN"/>
                    </w:rPr>
                    <w:t>本项目污水经魏兴场镇污水处理厂处理后对州河、嘉陵江的输入性水环境风险贡献较小。</w:t>
                  </w:r>
                </w:p>
                <w:p w14:paraId="50518B2A">
                  <w:pPr>
                    <w:pStyle w:val="5"/>
                    <w:ind w:firstLineChars="0"/>
                    <w:jc w:val="both"/>
                    <w:rPr>
                      <w:rFonts w:hint="default"/>
                      <w:lang w:val="en-US" w:eastAsia="zh-CN"/>
                    </w:rPr>
                  </w:pPr>
                  <w:r>
                    <w:rPr>
                      <w:rFonts w:hint="eastAsia"/>
                    </w:rPr>
                    <w:t>3、本项目</w:t>
                  </w:r>
                  <w:r>
                    <w:rPr>
                      <w:rFonts w:hint="eastAsia"/>
                      <w:lang w:val="en-US" w:eastAsia="zh-CN"/>
                    </w:rPr>
                    <w:t>位于达州市，所用胶粘剂属于低VOCs原料，排放少量VOC</w:t>
                  </w:r>
                  <w:r>
                    <w:rPr>
                      <w:rFonts w:hint="eastAsia"/>
                      <w:vertAlign w:val="subscript"/>
                      <w:lang w:val="en-US" w:eastAsia="zh-CN"/>
                    </w:rPr>
                    <w:t>S</w:t>
                  </w:r>
                  <w:r>
                    <w:rPr>
                      <w:rFonts w:hint="eastAsia"/>
                      <w:lang w:val="en-US" w:eastAsia="zh-CN"/>
                    </w:rPr>
                    <w:t>，经密闭管道收集，二级活性炭吸附装置处理后，由25m高排气筒达标排放。</w:t>
                  </w:r>
                </w:p>
              </w:tc>
              <w:tc>
                <w:tcPr>
                  <w:tcW w:w="612" w:type="dxa"/>
                  <w:tcBorders>
                    <w:tl2br w:val="nil"/>
                    <w:tr2bl w:val="nil"/>
                  </w:tcBorders>
                  <w:vAlign w:val="center"/>
                </w:tcPr>
                <w:p w14:paraId="2738F608">
                  <w:pPr>
                    <w:pStyle w:val="5"/>
                    <w:ind w:firstLineChars="0"/>
                    <w:jc w:val="center"/>
                  </w:pPr>
                  <w:r>
                    <w:rPr>
                      <w:rFonts w:hint="eastAsia"/>
                      <w:lang w:val="en-US" w:eastAsia="zh-CN"/>
                    </w:rPr>
                    <w:t>符合</w:t>
                  </w:r>
                </w:p>
              </w:tc>
            </w:tr>
            <w:tr w14:paraId="024BB9C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rPr>
                <w:jc w:val="center"/>
              </w:trPr>
              <w:tc>
                <w:tcPr>
                  <w:tcW w:w="812" w:type="dxa"/>
                  <w:vMerge w:val="continue"/>
                  <w:tcBorders>
                    <w:tl2br w:val="nil"/>
                    <w:tr2bl w:val="nil"/>
                  </w:tcBorders>
                  <w:vAlign w:val="center"/>
                </w:tcPr>
                <w:p w14:paraId="7B058E6E">
                  <w:pPr>
                    <w:pStyle w:val="5"/>
                    <w:jc w:val="left"/>
                  </w:pPr>
                </w:p>
              </w:tc>
              <w:tc>
                <w:tcPr>
                  <w:tcW w:w="987" w:type="dxa"/>
                  <w:tcBorders>
                    <w:tl2br w:val="nil"/>
                    <w:tr2bl w:val="nil"/>
                  </w:tcBorders>
                  <w:vAlign w:val="center"/>
                </w:tcPr>
                <w:p w14:paraId="058FC6BF">
                  <w:pPr>
                    <w:pStyle w:val="5"/>
                    <w:jc w:val="center"/>
                  </w:pPr>
                  <w:r>
                    <w:t>总体管控要求</w:t>
                  </w:r>
                </w:p>
              </w:tc>
              <w:tc>
                <w:tcPr>
                  <w:tcW w:w="3777" w:type="dxa"/>
                  <w:tcBorders>
                    <w:tl2br w:val="nil"/>
                    <w:tr2bl w:val="nil"/>
                  </w:tcBorders>
                  <w:vAlign w:val="center"/>
                </w:tcPr>
                <w:p w14:paraId="182048D5">
                  <w:pPr>
                    <w:pStyle w:val="5"/>
                    <w:jc w:val="both"/>
                  </w:pPr>
                  <w:r>
                    <w:t>1、控制农村面源污染，提高污水收集处理率，加快乡镇污水处理基础设施建设。2、建设流域水环境风险联防联控体系。提高大气污染治理水平。</w:t>
                  </w:r>
                </w:p>
              </w:tc>
              <w:tc>
                <w:tcPr>
                  <w:tcW w:w="2730" w:type="dxa"/>
                  <w:tcBorders>
                    <w:tl2br w:val="nil"/>
                    <w:tr2bl w:val="nil"/>
                  </w:tcBorders>
                  <w:shd w:val="clear" w:color="auto" w:fill="auto"/>
                  <w:vAlign w:val="center"/>
                </w:tcPr>
                <w:p w14:paraId="4D18BFF4">
                  <w:pPr>
                    <w:pStyle w:val="5"/>
                    <w:ind w:firstLineChars="0"/>
                    <w:jc w:val="both"/>
                    <w:rPr>
                      <w:rFonts w:hint="eastAsia"/>
                      <w:lang w:val="en-US" w:eastAsia="zh-CN"/>
                    </w:rPr>
                  </w:pPr>
                  <w:r>
                    <w:rPr>
                      <w:rFonts w:hint="eastAsia"/>
                      <w:lang w:val="en-US" w:eastAsia="zh-CN"/>
                    </w:rPr>
                    <w:t>1、本项目不涉及农村面源污染。</w:t>
                  </w:r>
                </w:p>
                <w:p w14:paraId="101299FE">
                  <w:pPr>
                    <w:pStyle w:val="5"/>
                    <w:ind w:firstLine="0" w:firstLineChars="0"/>
                    <w:jc w:val="both"/>
                    <w:rPr>
                      <w:rFonts w:hint="default"/>
                      <w:lang w:val="en-US" w:eastAsia="zh-CN"/>
                    </w:rPr>
                  </w:pPr>
                  <w:r>
                    <w:rPr>
                      <w:rFonts w:hint="eastAsia"/>
                      <w:lang w:val="en-US" w:eastAsia="zh-CN"/>
                    </w:rPr>
                    <w:t>2、加入</w:t>
                  </w:r>
                  <w:r>
                    <w:t>流域水环境风险联防联控体系。</w:t>
                  </w:r>
                  <w:r>
                    <w:rPr>
                      <w:rFonts w:hint="eastAsia"/>
                      <w:lang w:val="en-US" w:eastAsia="zh-CN"/>
                    </w:rPr>
                    <w:t>本项目排放少量VOC</w:t>
                  </w:r>
                  <w:r>
                    <w:rPr>
                      <w:rFonts w:hint="eastAsia"/>
                      <w:vertAlign w:val="subscript"/>
                      <w:lang w:val="en-US" w:eastAsia="zh-CN"/>
                    </w:rPr>
                    <w:t>S</w:t>
                  </w:r>
                  <w:r>
                    <w:rPr>
                      <w:rFonts w:hint="eastAsia"/>
                      <w:lang w:val="en-US" w:eastAsia="zh-CN"/>
                    </w:rPr>
                    <w:t>，经密闭管道收集，二级活性炭吸附装置处理后，由25m高排气筒排放。</w:t>
                  </w:r>
                </w:p>
              </w:tc>
              <w:tc>
                <w:tcPr>
                  <w:tcW w:w="612" w:type="dxa"/>
                  <w:tcBorders>
                    <w:tl2br w:val="nil"/>
                    <w:tr2bl w:val="nil"/>
                  </w:tcBorders>
                  <w:vAlign w:val="center"/>
                </w:tcPr>
                <w:p w14:paraId="2E169224">
                  <w:pPr>
                    <w:pStyle w:val="5"/>
                    <w:ind w:firstLineChars="0"/>
                    <w:jc w:val="center"/>
                  </w:pPr>
                  <w:r>
                    <w:rPr>
                      <w:rFonts w:hint="eastAsia"/>
                      <w:lang w:val="en-US" w:eastAsia="zh-CN"/>
                    </w:rPr>
                    <w:t>符合</w:t>
                  </w:r>
                </w:p>
              </w:tc>
            </w:tr>
          </w:tbl>
          <w:p w14:paraId="7634C10B">
            <w:pPr>
              <w:wordWrap/>
              <w:autoSpaceDE/>
              <w:autoSpaceDN/>
              <w:spacing w:before="0" w:beforeLines="-2147483648" w:after="100"/>
              <w:ind w:firstLine="480" w:firstLineChars="200"/>
              <w:jc w:val="both"/>
              <w:rPr>
                <w:rFonts w:ascii="Times New Roman" w:hAnsi="Times New Roman" w:cs="Times New Roman" w:eastAsiaTheme="minorEastAsia"/>
                <w:b w:val="0"/>
                <w:bCs w:val="0"/>
                <w:kern w:val="0"/>
                <w:szCs w:val="24"/>
              </w:rPr>
            </w:pPr>
            <w:r>
              <w:rPr>
                <w:rFonts w:ascii="Times New Roman" w:hAnsi="Times New Roman" w:cs="Times New Roman" w:eastAsiaTheme="minorEastAsia"/>
                <w:b w:val="0"/>
                <w:bCs w:val="0"/>
                <w:kern w:val="0"/>
                <w:szCs w:val="24"/>
              </w:rPr>
              <w:t>（</w:t>
            </w:r>
            <w:r>
              <w:rPr>
                <w:rFonts w:hint="eastAsia" w:cs="Times New Roman" w:eastAsiaTheme="minorEastAsia"/>
                <w:b w:val="0"/>
                <w:bCs w:val="0"/>
                <w:kern w:val="0"/>
                <w:szCs w:val="24"/>
                <w:lang w:val="en-US" w:eastAsia="zh-CN"/>
              </w:rPr>
              <w:t>4</w:t>
            </w:r>
            <w:r>
              <w:rPr>
                <w:rFonts w:ascii="Times New Roman" w:hAnsi="Times New Roman" w:cs="Times New Roman" w:eastAsiaTheme="minorEastAsia"/>
                <w:b w:val="0"/>
                <w:bCs w:val="0"/>
                <w:kern w:val="0"/>
                <w:szCs w:val="24"/>
              </w:rPr>
              <w:t>）生态环境</w:t>
            </w:r>
            <w:r>
              <w:rPr>
                <w:rFonts w:hint="eastAsia" w:cs="Times New Roman" w:eastAsiaTheme="minorEastAsia"/>
                <w:b w:val="0"/>
                <w:bCs w:val="0"/>
                <w:kern w:val="0"/>
                <w:szCs w:val="24"/>
                <w:lang w:val="en-US" w:eastAsia="zh-CN"/>
              </w:rPr>
              <w:t>准入</w:t>
            </w:r>
            <w:r>
              <w:rPr>
                <w:rFonts w:ascii="Times New Roman" w:hAnsi="Times New Roman" w:cs="Times New Roman" w:eastAsiaTheme="minorEastAsia"/>
                <w:b w:val="0"/>
                <w:bCs w:val="0"/>
                <w:kern w:val="0"/>
                <w:szCs w:val="24"/>
              </w:rPr>
              <w:t>清单符合性分析</w:t>
            </w:r>
          </w:p>
          <w:p w14:paraId="72CD359E">
            <w:pPr>
              <w:wordWrap/>
              <w:spacing w:line="360" w:lineRule="auto"/>
              <w:ind w:firstLine="480" w:firstLineChars="200"/>
              <w:jc w:val="both"/>
              <w:textAlignment w:val="auto"/>
            </w:pPr>
            <w:r>
              <w:t>本项目与</w:t>
            </w:r>
            <w:r>
              <w:rPr>
                <w:rFonts w:hint="eastAsia"/>
                <w:lang w:val="en-US" w:eastAsia="zh-CN"/>
              </w:rPr>
              <w:t>达州市</w:t>
            </w:r>
            <w:r>
              <w:t>普适性管控要求符合性分析见表</w:t>
            </w:r>
            <w:r>
              <w:rPr>
                <w:rFonts w:hint="eastAsia"/>
              </w:rPr>
              <w:t>1</w:t>
            </w:r>
            <w:r>
              <w:t>-</w:t>
            </w:r>
            <w:r>
              <w:rPr>
                <w:rFonts w:hint="eastAsia"/>
                <w:lang w:val="en-US" w:eastAsia="zh-CN"/>
              </w:rPr>
              <w:t>6</w:t>
            </w:r>
            <w:r>
              <w:t>。</w:t>
            </w:r>
          </w:p>
          <w:p w14:paraId="0715720F">
            <w:pPr>
              <w:pStyle w:val="7"/>
              <w:ind w:firstLineChars="0"/>
              <w:jc w:val="center"/>
            </w:pPr>
            <w:r>
              <w:t>表</w:t>
            </w:r>
            <w:r>
              <w:rPr>
                <w:rFonts w:hint="eastAsia"/>
                <w:lang w:val="en-US" w:eastAsia="zh-CN"/>
              </w:rPr>
              <w:t>1-6</w:t>
            </w:r>
            <w:r>
              <w:t xml:space="preserve">  项目与环境管控单元准入清单符合性分析</w:t>
            </w:r>
          </w:p>
          <w:tbl>
            <w:tblPr>
              <w:tblStyle w:val="30"/>
              <w:tblW w:w="8859"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745"/>
              <w:gridCol w:w="419"/>
              <w:gridCol w:w="390"/>
              <w:gridCol w:w="960"/>
              <w:gridCol w:w="3045"/>
              <w:gridCol w:w="2709"/>
              <w:gridCol w:w="591"/>
            </w:tblGrid>
            <w:tr w14:paraId="637BC67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45" w:type="dxa"/>
                  <w:tcBorders>
                    <w:tl2br w:val="nil"/>
                    <w:tr2bl w:val="nil"/>
                  </w:tcBorders>
                  <w:vAlign w:val="center"/>
                </w:tcPr>
                <w:p w14:paraId="24895247">
                  <w:pPr>
                    <w:pStyle w:val="5"/>
                    <w:jc w:val="center"/>
                    <w:rPr>
                      <w:b/>
                      <w:bCs/>
                    </w:rPr>
                  </w:pPr>
                  <w:r>
                    <w:rPr>
                      <w:b/>
                      <w:bCs/>
                    </w:rPr>
                    <w:t>市州</w:t>
                  </w:r>
                </w:p>
              </w:tc>
              <w:tc>
                <w:tcPr>
                  <w:tcW w:w="419" w:type="dxa"/>
                  <w:tcBorders>
                    <w:tl2br w:val="nil"/>
                    <w:tr2bl w:val="nil"/>
                  </w:tcBorders>
                  <w:vAlign w:val="center"/>
                </w:tcPr>
                <w:p w14:paraId="5912E3A9">
                  <w:pPr>
                    <w:pStyle w:val="5"/>
                    <w:jc w:val="center"/>
                    <w:rPr>
                      <w:b/>
                      <w:bCs/>
                    </w:rPr>
                  </w:pPr>
                  <w:r>
                    <w:rPr>
                      <w:b/>
                      <w:bCs/>
                    </w:rPr>
                    <w:t>涉及县区</w:t>
                  </w:r>
                </w:p>
              </w:tc>
              <w:tc>
                <w:tcPr>
                  <w:tcW w:w="390" w:type="dxa"/>
                  <w:tcBorders>
                    <w:tl2br w:val="nil"/>
                    <w:tr2bl w:val="nil"/>
                  </w:tcBorders>
                  <w:vAlign w:val="center"/>
                </w:tcPr>
                <w:p w14:paraId="76C6651C">
                  <w:pPr>
                    <w:pStyle w:val="5"/>
                    <w:jc w:val="center"/>
                    <w:rPr>
                      <w:b/>
                      <w:bCs/>
                    </w:rPr>
                  </w:pPr>
                  <w:r>
                    <w:rPr>
                      <w:b/>
                      <w:bCs/>
                    </w:rPr>
                    <w:t>区域名称</w:t>
                  </w:r>
                </w:p>
              </w:tc>
              <w:tc>
                <w:tcPr>
                  <w:tcW w:w="960" w:type="dxa"/>
                  <w:tcBorders>
                    <w:tl2br w:val="nil"/>
                    <w:tr2bl w:val="nil"/>
                  </w:tcBorders>
                  <w:vAlign w:val="center"/>
                </w:tcPr>
                <w:p w14:paraId="154615A5">
                  <w:pPr>
                    <w:pStyle w:val="5"/>
                    <w:jc w:val="center"/>
                    <w:rPr>
                      <w:b/>
                      <w:bCs/>
                    </w:rPr>
                  </w:pPr>
                  <w:r>
                    <w:rPr>
                      <w:b/>
                      <w:bCs/>
                    </w:rPr>
                    <w:t>管控类别</w:t>
                  </w:r>
                </w:p>
              </w:tc>
              <w:tc>
                <w:tcPr>
                  <w:tcW w:w="3045" w:type="dxa"/>
                  <w:tcBorders>
                    <w:tl2br w:val="nil"/>
                    <w:tr2bl w:val="nil"/>
                  </w:tcBorders>
                  <w:vAlign w:val="center"/>
                </w:tcPr>
                <w:p w14:paraId="636AAA74">
                  <w:pPr>
                    <w:pStyle w:val="5"/>
                    <w:jc w:val="center"/>
                    <w:rPr>
                      <w:b/>
                      <w:bCs/>
                    </w:rPr>
                  </w:pPr>
                  <w:r>
                    <w:rPr>
                      <w:b/>
                      <w:bCs/>
                    </w:rPr>
                    <w:t>管控要求</w:t>
                  </w:r>
                </w:p>
              </w:tc>
              <w:tc>
                <w:tcPr>
                  <w:tcW w:w="2709" w:type="dxa"/>
                  <w:tcBorders>
                    <w:tl2br w:val="nil"/>
                    <w:tr2bl w:val="nil"/>
                  </w:tcBorders>
                  <w:shd w:val="clear" w:color="auto" w:fill="auto"/>
                  <w:vAlign w:val="center"/>
                </w:tcPr>
                <w:p w14:paraId="0F722A3C">
                  <w:pPr>
                    <w:pStyle w:val="5"/>
                    <w:ind w:left="0" w:leftChars="0" w:firstLineChars="0"/>
                    <w:jc w:val="center"/>
                    <w:rPr>
                      <w:rFonts w:hint="eastAsia"/>
                      <w:b/>
                      <w:bCs/>
                      <w:lang w:val="en-US" w:eastAsia="zh-CN"/>
                    </w:rPr>
                  </w:pPr>
                  <w:r>
                    <w:rPr>
                      <w:rFonts w:hint="eastAsia"/>
                      <w:b/>
                      <w:bCs/>
                      <w:lang w:val="en-US" w:eastAsia="zh-CN"/>
                    </w:rPr>
                    <w:t>本项目情况</w:t>
                  </w:r>
                </w:p>
              </w:tc>
              <w:tc>
                <w:tcPr>
                  <w:tcW w:w="591" w:type="dxa"/>
                  <w:tcBorders>
                    <w:tl2br w:val="nil"/>
                    <w:tr2bl w:val="nil"/>
                  </w:tcBorders>
                  <w:shd w:val="clear" w:color="auto" w:fill="auto"/>
                  <w:vAlign w:val="center"/>
                </w:tcPr>
                <w:p w14:paraId="43181FC4">
                  <w:pPr>
                    <w:pStyle w:val="5"/>
                    <w:ind w:left="0" w:leftChars="0" w:firstLineChars="0"/>
                    <w:jc w:val="center"/>
                    <w:rPr>
                      <w:rFonts w:hint="eastAsia"/>
                      <w:b/>
                      <w:bCs/>
                      <w:lang w:val="en-US" w:eastAsia="zh-CN"/>
                    </w:rPr>
                  </w:pPr>
                  <w:r>
                    <w:rPr>
                      <w:rFonts w:hint="eastAsia"/>
                      <w:b/>
                      <w:bCs/>
                      <w:lang w:val="en-US" w:eastAsia="zh-CN"/>
                    </w:rPr>
                    <w:t>符合性</w:t>
                  </w:r>
                </w:p>
              </w:tc>
            </w:tr>
            <w:tr w14:paraId="0EF8A4D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45" w:type="dxa"/>
                  <w:vMerge w:val="restart"/>
                  <w:tcBorders>
                    <w:tl2br w:val="nil"/>
                    <w:tr2bl w:val="nil"/>
                  </w:tcBorders>
                  <w:vAlign w:val="center"/>
                </w:tcPr>
                <w:p w14:paraId="33320290">
                  <w:pPr>
                    <w:pStyle w:val="5"/>
                    <w:jc w:val="center"/>
                  </w:pPr>
                  <w:r>
                    <w:t>达州市</w:t>
                  </w:r>
                </w:p>
              </w:tc>
              <w:tc>
                <w:tcPr>
                  <w:tcW w:w="419" w:type="dxa"/>
                  <w:vMerge w:val="restart"/>
                  <w:tcBorders>
                    <w:tl2br w:val="nil"/>
                    <w:tr2bl w:val="nil"/>
                  </w:tcBorders>
                  <w:vAlign w:val="center"/>
                </w:tcPr>
                <w:p w14:paraId="3FF3F63C">
                  <w:pPr>
                    <w:pStyle w:val="5"/>
                    <w:jc w:val="center"/>
                  </w:pPr>
                  <w:r>
                    <w:t>通川区+达川区+宣汉县+开江县+大竹县+渠县+万源市</w:t>
                  </w:r>
                </w:p>
              </w:tc>
              <w:tc>
                <w:tcPr>
                  <w:tcW w:w="390" w:type="dxa"/>
                  <w:vMerge w:val="restart"/>
                  <w:tcBorders>
                    <w:tl2br w:val="nil"/>
                    <w:tr2bl w:val="nil"/>
                  </w:tcBorders>
                  <w:vAlign w:val="center"/>
                </w:tcPr>
                <w:p w14:paraId="12990877">
                  <w:pPr>
                    <w:pStyle w:val="5"/>
                    <w:jc w:val="center"/>
                  </w:pPr>
                  <w:r>
                    <w:t>通川区+达川区+宣汉县+开江县+大竹县+渠县+万源市</w:t>
                  </w:r>
                </w:p>
              </w:tc>
              <w:tc>
                <w:tcPr>
                  <w:tcW w:w="960" w:type="dxa"/>
                  <w:tcBorders>
                    <w:tl2br w:val="nil"/>
                    <w:tr2bl w:val="nil"/>
                  </w:tcBorders>
                  <w:vAlign w:val="center"/>
                </w:tcPr>
                <w:p w14:paraId="53B7B81E">
                  <w:pPr>
                    <w:pStyle w:val="5"/>
                    <w:jc w:val="center"/>
                  </w:pPr>
                  <w:r>
                    <w:t>空间布局约束</w:t>
                  </w:r>
                </w:p>
              </w:tc>
              <w:tc>
                <w:tcPr>
                  <w:tcW w:w="3045" w:type="dxa"/>
                  <w:tcBorders>
                    <w:tl2br w:val="nil"/>
                    <w:tr2bl w:val="nil"/>
                  </w:tcBorders>
                  <w:vAlign w:val="center"/>
                </w:tcPr>
                <w:p w14:paraId="36ECE5C4">
                  <w:pPr>
                    <w:pStyle w:val="5"/>
                    <w:ind w:left="0" w:leftChars="0" w:firstLineChars="0"/>
                    <w:jc w:val="both"/>
                    <w:rPr>
                      <w:rFonts w:hint="eastAsia"/>
                      <w:b w:val="0"/>
                      <w:bCs w:val="0"/>
                      <w:lang w:eastAsia="zh-CN"/>
                    </w:rPr>
                  </w:pPr>
                  <w:r>
                    <w:rPr>
                      <w:b w:val="0"/>
                      <w:bCs w:val="0"/>
                    </w:rPr>
                    <w:t>禁止开发建设活动的要求</w:t>
                  </w:r>
                  <w:r>
                    <w:rPr>
                      <w:rFonts w:hint="eastAsia"/>
                      <w:b w:val="0"/>
                      <w:bCs w:val="0"/>
                      <w:lang w:eastAsia="zh-CN"/>
                    </w:rPr>
                    <w:t>：</w:t>
                  </w:r>
                </w:p>
                <w:p w14:paraId="08282F61">
                  <w:pPr>
                    <w:pStyle w:val="5"/>
                    <w:ind w:left="0" w:leftChars="0" w:firstLineChars="0"/>
                    <w:jc w:val="both"/>
                    <w:rPr>
                      <w:b w:val="0"/>
                      <w:bCs w:val="0"/>
                    </w:rPr>
                  </w:pPr>
                  <w:r>
                    <w:rPr>
                      <w:rFonts w:hint="eastAsia"/>
                      <w:b w:val="0"/>
                      <w:bCs w:val="0"/>
                      <w:lang w:val="en-US" w:eastAsia="zh-CN"/>
                    </w:rPr>
                    <w:t>1.</w:t>
                  </w:r>
                  <w:r>
                    <w:rPr>
                      <w:b w:val="0"/>
                      <w:bCs w:val="0"/>
                    </w:rPr>
                    <w:t>禁止在长江干支流、重要湖泊岸线一公里范围内新建、扩建化工园区和化工项目，严控新建石油化工、煤化工、涉磷、造纸、印染、制革等项目。</w:t>
                  </w:r>
                </w:p>
                <w:p w14:paraId="7201508C">
                  <w:pPr>
                    <w:pStyle w:val="5"/>
                    <w:ind w:left="0" w:leftChars="0" w:firstLineChars="0"/>
                    <w:jc w:val="both"/>
                    <w:rPr>
                      <w:b w:val="0"/>
                      <w:bCs w:val="0"/>
                    </w:rPr>
                  </w:pPr>
                  <w:r>
                    <w:rPr>
                      <w:rFonts w:hint="eastAsia"/>
                      <w:b w:val="0"/>
                      <w:bCs w:val="0"/>
                      <w:lang w:val="en-US" w:eastAsia="zh-CN"/>
                    </w:rPr>
                    <w:t>2.</w:t>
                  </w:r>
                  <w:r>
                    <w:rPr>
                      <w:b w:val="0"/>
                      <w:bCs w:val="0"/>
                    </w:rPr>
                    <w:t>禁止从事《长江经济带发展负面清单指南（试行）》禁止准入类事项。</w:t>
                  </w:r>
                </w:p>
                <w:p w14:paraId="4E61F59C">
                  <w:pPr>
                    <w:pStyle w:val="5"/>
                    <w:ind w:left="0" w:leftChars="0" w:firstLineChars="0"/>
                    <w:jc w:val="both"/>
                    <w:rPr>
                      <w:b w:val="0"/>
                      <w:bCs w:val="0"/>
                    </w:rPr>
                  </w:pPr>
                  <w:r>
                    <w:rPr>
                      <w:rFonts w:hint="eastAsia"/>
                      <w:b w:val="0"/>
                      <w:bCs w:val="0"/>
                      <w:lang w:val="en-US" w:eastAsia="zh-CN"/>
                    </w:rPr>
                    <w:t>-</w:t>
                  </w:r>
                  <w:r>
                    <w:rPr>
                      <w:b w:val="0"/>
                      <w:bCs w:val="0"/>
                    </w:rPr>
                    <w:t>引进项目应符合园区规划环评和区域产业准入及负面清单要求。-禁止新建不符合国家产业政策和行业准入条件的高污染项目。</w:t>
                  </w:r>
                </w:p>
                <w:p w14:paraId="095BFCE7">
                  <w:pPr>
                    <w:pStyle w:val="5"/>
                    <w:ind w:left="0" w:leftChars="0" w:firstLineChars="0"/>
                    <w:jc w:val="both"/>
                    <w:rPr>
                      <w:b w:val="0"/>
                      <w:bCs w:val="0"/>
                    </w:rPr>
                  </w:pPr>
                  <w:r>
                    <w:rPr>
                      <w:b w:val="0"/>
                      <w:bCs w:val="0"/>
                    </w:rPr>
                    <w:t>-工业园区禁止新建高污染燃料锅炉。</w:t>
                  </w:r>
                </w:p>
                <w:p w14:paraId="2AB95828">
                  <w:pPr>
                    <w:pStyle w:val="5"/>
                    <w:ind w:left="0" w:leftChars="0" w:firstLineChars="0"/>
                    <w:jc w:val="both"/>
                    <w:rPr>
                      <w:b w:val="0"/>
                      <w:bCs w:val="0"/>
                    </w:rPr>
                  </w:pPr>
                  <w:r>
                    <w:rPr>
                      <w:b w:val="0"/>
                      <w:bCs w:val="0"/>
                    </w:rPr>
                    <w:t>-禁止在长江流域河湖管理范围内倾倒、填埋、堆放、弃置、处理固体废物。</w:t>
                  </w:r>
                </w:p>
                <w:p w14:paraId="744BFF00">
                  <w:pPr>
                    <w:pStyle w:val="5"/>
                    <w:ind w:left="0" w:leftChars="0" w:firstLineChars="0"/>
                    <w:jc w:val="both"/>
                    <w:rPr>
                      <w:b w:val="0"/>
                      <w:bCs w:val="0"/>
                    </w:rPr>
                  </w:pPr>
                  <w:r>
                    <w:rPr>
                      <w:b w:val="0"/>
                      <w:bCs w:val="0"/>
                    </w:rPr>
                    <w:t>-未通过认定的化工园区，不得新建、改扩建化工项目（安全、环保、节能和智能化改造项目除外），按属地原则依法依规妥善做好未通过认定化工园区及园内企业的转型、关闭、处置及监管工作。</w:t>
                  </w:r>
                </w:p>
                <w:p w14:paraId="20BBF18C">
                  <w:pPr>
                    <w:pStyle w:val="5"/>
                    <w:ind w:left="0" w:leftChars="0" w:firstLineChars="0"/>
                    <w:jc w:val="both"/>
                    <w:rPr>
                      <w:rFonts w:hint="eastAsia"/>
                      <w:b w:val="0"/>
                      <w:bCs w:val="0"/>
                      <w:lang w:eastAsia="zh-CN"/>
                    </w:rPr>
                  </w:pPr>
                  <w:r>
                    <w:rPr>
                      <w:b w:val="0"/>
                      <w:bCs w:val="0"/>
                    </w:rPr>
                    <w:t>限制开发建设活动的要求</w:t>
                  </w:r>
                  <w:r>
                    <w:rPr>
                      <w:rFonts w:hint="eastAsia"/>
                      <w:b w:val="0"/>
                      <w:bCs w:val="0"/>
                      <w:lang w:eastAsia="zh-CN"/>
                    </w:rPr>
                    <w:t>：</w:t>
                  </w:r>
                </w:p>
                <w:p w14:paraId="6E1B641A">
                  <w:pPr>
                    <w:pStyle w:val="5"/>
                    <w:ind w:left="0" w:leftChars="0" w:firstLineChars="0"/>
                    <w:jc w:val="both"/>
                    <w:rPr>
                      <w:b w:val="0"/>
                      <w:bCs w:val="0"/>
                    </w:rPr>
                  </w:pPr>
                  <w:r>
                    <w:rPr>
                      <w:b w:val="0"/>
                      <w:bCs w:val="0"/>
                    </w:rPr>
                    <w:t>-严格控制污染物新增排放量，对新建排放二氧化硫、氮氧化物、工业烟粉尘和VOC</w:t>
                  </w:r>
                  <w:r>
                    <w:rPr>
                      <w:b w:val="0"/>
                      <w:bCs w:val="0"/>
                      <w:vertAlign w:val="subscript"/>
                    </w:rPr>
                    <w:t>S</w:t>
                  </w:r>
                  <w:r>
                    <w:rPr>
                      <w:b w:val="0"/>
                      <w:bCs w:val="0"/>
                    </w:rPr>
                    <w:t>的项目实施现役源2倍削减量替代。</w:t>
                  </w:r>
                </w:p>
                <w:p w14:paraId="57E383F3">
                  <w:pPr>
                    <w:pStyle w:val="5"/>
                    <w:ind w:left="0" w:leftChars="0" w:firstLineChars="0"/>
                    <w:jc w:val="both"/>
                    <w:rPr>
                      <w:b w:val="0"/>
                      <w:bCs w:val="0"/>
                    </w:rPr>
                  </w:pPr>
                  <w:r>
                    <w:rPr>
                      <w:b w:val="0"/>
                      <w:bCs w:val="0"/>
                    </w:rPr>
                    <w:t>-严格实施环评制度，将细颗粒物达标情况纳入规划环评和相关项目环评内容，加快制定颗粒物、VOCS排放总量管理配套政策。</w:t>
                  </w:r>
                </w:p>
                <w:p w14:paraId="2F824A36">
                  <w:pPr>
                    <w:pStyle w:val="5"/>
                    <w:ind w:left="0" w:leftChars="0" w:firstLineChars="0"/>
                    <w:jc w:val="both"/>
                    <w:rPr>
                      <w:b w:val="0"/>
                      <w:bCs w:val="0"/>
                    </w:rPr>
                  </w:pPr>
                  <w:r>
                    <w:rPr>
                      <w:b w:val="0"/>
                      <w:bCs w:val="0"/>
                    </w:rPr>
                    <w:t>-严格控制新建、扩建燃煤发电项目。</w:t>
                  </w:r>
                </w:p>
                <w:p w14:paraId="236B6667">
                  <w:pPr>
                    <w:pStyle w:val="5"/>
                    <w:ind w:left="0" w:leftChars="0" w:firstLineChars="0"/>
                    <w:jc w:val="both"/>
                    <w:rPr>
                      <w:b w:val="0"/>
                      <w:bCs w:val="0"/>
                    </w:rPr>
                  </w:pPr>
                  <w:r>
                    <w:rPr>
                      <w:b w:val="0"/>
                      <w:bCs w:val="0"/>
                    </w:rPr>
                    <w:t>-严控达州市主城区上游沿岸地区新建石油化工、煤化工、涉磷、造纸、印染、制革等项目。</w:t>
                  </w:r>
                </w:p>
                <w:p w14:paraId="61328802">
                  <w:pPr>
                    <w:pStyle w:val="5"/>
                    <w:ind w:left="0" w:leftChars="0" w:firstLineChars="0"/>
                    <w:jc w:val="both"/>
                    <w:rPr>
                      <w:rFonts w:hint="eastAsia"/>
                      <w:b w:val="0"/>
                      <w:bCs w:val="0"/>
                      <w:lang w:eastAsia="zh-CN"/>
                    </w:rPr>
                  </w:pPr>
                  <w:r>
                    <w:rPr>
                      <w:b w:val="0"/>
                      <w:bCs w:val="0"/>
                    </w:rPr>
                    <w:t>不符合空间布局要求活动的退出要求</w:t>
                  </w:r>
                  <w:r>
                    <w:rPr>
                      <w:rFonts w:hint="eastAsia"/>
                      <w:b w:val="0"/>
                      <w:bCs w:val="0"/>
                      <w:lang w:eastAsia="zh-CN"/>
                    </w:rPr>
                    <w:t>：</w:t>
                  </w:r>
                </w:p>
                <w:p w14:paraId="0D795A87">
                  <w:pPr>
                    <w:pStyle w:val="5"/>
                    <w:ind w:left="0" w:leftChars="0" w:firstLineChars="0"/>
                    <w:jc w:val="both"/>
                    <w:rPr>
                      <w:b w:val="0"/>
                      <w:bCs w:val="0"/>
                    </w:rPr>
                  </w:pPr>
                  <w:r>
                    <w:rPr>
                      <w:b w:val="0"/>
                      <w:bCs w:val="0"/>
                    </w:rPr>
                    <w:t>-现有属于禁止引入产业门类的企业，应按相关规定限期整治或退出。</w:t>
                  </w:r>
                </w:p>
                <w:p w14:paraId="4A8E6107">
                  <w:pPr>
                    <w:pStyle w:val="5"/>
                    <w:ind w:left="0" w:leftChars="0" w:firstLineChars="0"/>
                    <w:jc w:val="both"/>
                    <w:rPr>
                      <w:b w:val="0"/>
                      <w:bCs w:val="0"/>
                    </w:rPr>
                  </w:pPr>
                  <w:r>
                    <w:rPr>
                      <w:b w:val="0"/>
                      <w:bCs w:val="0"/>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1AD67613">
                  <w:pPr>
                    <w:pStyle w:val="5"/>
                    <w:ind w:left="0" w:leftChars="0" w:firstLineChars="0"/>
                    <w:jc w:val="both"/>
                    <w:rPr>
                      <w:b w:val="0"/>
                      <w:bCs w:val="0"/>
                    </w:rPr>
                  </w:pPr>
                  <w:r>
                    <w:rPr>
                      <w:b w:val="0"/>
                      <w:bCs w:val="0"/>
                    </w:rPr>
                    <w:t>-引导重污染产业退出或搬迁、企业分类退城入园，逐步打破近水靠城的历史工业布局。加大城市区域现有装备水平低、环保设施差的微小企业“关、停、并、转”实施力度，清理建成区上风向重点涉气项目。</w:t>
                  </w:r>
                </w:p>
                <w:p w14:paraId="1DD54919">
                  <w:pPr>
                    <w:pStyle w:val="5"/>
                    <w:ind w:left="0" w:leftChars="0" w:firstLineChars="0"/>
                    <w:jc w:val="both"/>
                    <w:rPr>
                      <w:b w:val="0"/>
                      <w:bCs w:val="0"/>
                    </w:rPr>
                  </w:pPr>
                  <w:r>
                    <w:rPr>
                      <w:b w:val="0"/>
                      <w:bCs w:val="0"/>
                    </w:rPr>
                    <w:t>-石化、现代煤化工项目应纳入国家产业规划。新建、扩建石化、化工、焦化、有色金属冶炼、平板玻璃项目应布设在依法合规设立并经规划环评的产业园区。</w:t>
                  </w:r>
                </w:p>
                <w:p w14:paraId="598C4BFC">
                  <w:pPr>
                    <w:pStyle w:val="5"/>
                    <w:ind w:left="0" w:leftChars="0" w:firstLineChars="0"/>
                    <w:jc w:val="both"/>
                    <w:rPr>
                      <w:rFonts w:hint="eastAsia"/>
                      <w:b w:val="0"/>
                      <w:bCs w:val="0"/>
                      <w:lang w:eastAsia="zh-CN"/>
                    </w:rPr>
                  </w:pPr>
                  <w:r>
                    <w:rPr>
                      <w:b w:val="0"/>
                      <w:bCs w:val="0"/>
                    </w:rPr>
                    <w:t>其他空间布局约束要求</w:t>
                  </w:r>
                  <w:r>
                    <w:rPr>
                      <w:rFonts w:hint="eastAsia"/>
                      <w:b w:val="0"/>
                      <w:bCs w:val="0"/>
                      <w:lang w:eastAsia="zh-CN"/>
                    </w:rPr>
                    <w:t>：</w:t>
                  </w:r>
                </w:p>
                <w:p w14:paraId="7A3D5C34">
                  <w:pPr>
                    <w:pStyle w:val="5"/>
                    <w:ind w:left="0" w:leftChars="0" w:firstLineChars="0"/>
                    <w:jc w:val="both"/>
                    <w:rPr>
                      <w:rFonts w:hint="default"/>
                      <w:b w:val="0"/>
                      <w:bCs w:val="0"/>
                      <w:lang w:val="en-US" w:eastAsia="zh-CN"/>
                    </w:rPr>
                  </w:pPr>
                  <w:r>
                    <w:rPr>
                      <w:rFonts w:hint="eastAsia"/>
                      <w:b w:val="0"/>
                      <w:bCs w:val="0"/>
                      <w:lang w:val="en-US" w:eastAsia="zh-CN"/>
                    </w:rPr>
                    <w:t>/</w:t>
                  </w:r>
                </w:p>
              </w:tc>
              <w:tc>
                <w:tcPr>
                  <w:tcW w:w="2709" w:type="dxa"/>
                  <w:tcBorders>
                    <w:tl2br w:val="nil"/>
                    <w:tr2bl w:val="nil"/>
                  </w:tcBorders>
                  <w:vAlign w:val="center"/>
                </w:tcPr>
                <w:p w14:paraId="43059B0F">
                  <w:pPr>
                    <w:pStyle w:val="5"/>
                    <w:ind w:left="0" w:leftChars="0" w:firstLineChars="0"/>
                    <w:jc w:val="both"/>
                    <w:rPr>
                      <w:rFonts w:hint="eastAsia"/>
                      <w:b w:val="0"/>
                      <w:bCs w:val="0"/>
                      <w:lang w:eastAsia="zh-CN"/>
                    </w:rPr>
                  </w:pPr>
                  <w:r>
                    <w:rPr>
                      <w:b w:val="0"/>
                      <w:bCs w:val="0"/>
                    </w:rPr>
                    <w:t>禁止开发建设活动的要求</w:t>
                  </w:r>
                  <w:r>
                    <w:rPr>
                      <w:rFonts w:hint="eastAsia"/>
                      <w:b w:val="0"/>
                      <w:bCs w:val="0"/>
                      <w:lang w:eastAsia="zh-CN"/>
                    </w:rPr>
                    <w:t>：</w:t>
                  </w:r>
                </w:p>
                <w:p w14:paraId="3BBCBC71">
                  <w:pPr>
                    <w:pStyle w:val="5"/>
                    <w:pageBreakBefore w:val="0"/>
                    <w:bidi w:val="0"/>
                    <w:jc w:val="both"/>
                    <w:rPr>
                      <w:rFonts w:hint="default"/>
                      <w:b w:val="0"/>
                      <w:bCs w:val="0"/>
                      <w:lang w:val="en-US" w:eastAsia="zh-CN"/>
                    </w:rPr>
                  </w:pPr>
                  <w:r>
                    <w:rPr>
                      <w:b w:val="0"/>
                      <w:bCs w:val="0"/>
                    </w:rPr>
                    <w:t>1、</w:t>
                  </w:r>
                  <w:r>
                    <w:rPr>
                      <w:rFonts w:hint="eastAsia"/>
                      <w:b w:val="0"/>
                      <w:bCs w:val="0"/>
                      <w:lang w:val="en-US" w:eastAsia="zh-CN"/>
                    </w:rPr>
                    <w:t>项目厂房位于达州通川经开区，</w:t>
                  </w:r>
                  <w:r>
                    <w:rPr>
                      <w:rFonts w:hint="eastAsia"/>
                      <w:b w:val="0"/>
                      <w:bCs w:val="0"/>
                    </w:rPr>
                    <w:t>不在</w:t>
                  </w:r>
                  <w:r>
                    <w:rPr>
                      <w:rFonts w:hint="default"/>
                      <w:b w:val="0"/>
                      <w:bCs w:val="0"/>
                    </w:rPr>
                    <w:t>长江干支流岸线1千米范围内</w:t>
                  </w:r>
                  <w:r>
                    <w:rPr>
                      <w:rFonts w:hint="eastAsia"/>
                      <w:b w:val="0"/>
                      <w:bCs w:val="0"/>
                      <w:lang w:eastAsia="zh-CN"/>
                    </w:rPr>
                    <w:t>；</w:t>
                  </w:r>
                  <w:r>
                    <w:rPr>
                      <w:rFonts w:hint="eastAsia"/>
                      <w:b w:val="0"/>
                      <w:bCs w:val="0"/>
                      <w:lang w:val="en-US" w:eastAsia="zh-CN"/>
                    </w:rPr>
                    <w:t>不属于严控产业；</w:t>
                  </w:r>
                </w:p>
                <w:p w14:paraId="7BA92E67">
                  <w:pPr>
                    <w:pStyle w:val="5"/>
                    <w:pageBreakBefore w:val="0"/>
                    <w:bidi w:val="0"/>
                    <w:jc w:val="both"/>
                    <w:rPr>
                      <w:rFonts w:hint="eastAsia"/>
                      <w:b w:val="0"/>
                      <w:bCs w:val="0"/>
                      <w:lang w:val="en-US" w:eastAsia="zh-CN"/>
                    </w:rPr>
                  </w:pPr>
                  <w:r>
                    <w:rPr>
                      <w:rFonts w:hint="eastAsia"/>
                      <w:b w:val="0"/>
                      <w:bCs w:val="0"/>
                      <w:lang w:val="en-US" w:eastAsia="zh-CN"/>
                    </w:rPr>
                    <w:t>2、本项目氢能源混合动力系统和氢能源两轮车的生产，不属于禁止准入类事项；</w:t>
                  </w:r>
                </w:p>
                <w:p w14:paraId="6C20AF3B">
                  <w:pPr>
                    <w:pStyle w:val="5"/>
                    <w:jc w:val="both"/>
                    <w:rPr>
                      <w:rFonts w:hint="default"/>
                      <w:b w:val="0"/>
                      <w:bCs w:val="0"/>
                      <w:lang w:val="en-US" w:eastAsia="zh-CN"/>
                    </w:rPr>
                  </w:pPr>
                  <w:r>
                    <w:rPr>
                      <w:rFonts w:hint="eastAsia"/>
                      <w:b w:val="0"/>
                      <w:bCs w:val="0"/>
                      <w:lang w:val="en-US" w:eastAsia="zh-CN"/>
                    </w:rPr>
                    <w:t>3、本项目符合园区规划环评和区域产业准入及负面清单要求；</w:t>
                  </w:r>
                </w:p>
                <w:p w14:paraId="7538420F">
                  <w:pPr>
                    <w:pStyle w:val="5"/>
                    <w:pageBreakBefore w:val="0"/>
                    <w:bidi w:val="0"/>
                    <w:jc w:val="both"/>
                    <w:rPr>
                      <w:rFonts w:hint="default"/>
                      <w:b w:val="0"/>
                      <w:bCs w:val="0"/>
                      <w:lang w:val="en-US" w:eastAsia="zh-CN"/>
                    </w:rPr>
                  </w:pPr>
                  <w:r>
                    <w:rPr>
                      <w:rFonts w:hint="eastAsia"/>
                      <w:b w:val="0"/>
                      <w:bCs w:val="0"/>
                      <w:lang w:val="en-US" w:eastAsia="zh-CN"/>
                    </w:rPr>
                    <w:t>4、本项目不涉及锅炉的使用；</w:t>
                  </w:r>
                </w:p>
                <w:p w14:paraId="31651A52">
                  <w:pPr>
                    <w:pStyle w:val="5"/>
                    <w:keepNext w:val="0"/>
                    <w:keepLines w:val="0"/>
                    <w:pageBreakBefore w:val="0"/>
                    <w:widowControl/>
                    <w:kinsoku/>
                    <w:wordWrap/>
                    <w:overflowPunct/>
                    <w:topLinePunct w:val="0"/>
                    <w:autoSpaceDE/>
                    <w:autoSpaceDN/>
                    <w:bidi w:val="0"/>
                    <w:adjustRightInd/>
                    <w:snapToGrid/>
                    <w:ind w:left="0" w:firstLine="0" w:firstLineChars="0"/>
                    <w:jc w:val="both"/>
                    <w:textAlignment w:val="auto"/>
                    <w:rPr>
                      <w:rFonts w:hint="default"/>
                      <w:b w:val="0"/>
                      <w:bCs w:val="0"/>
                      <w:lang w:val="en-US" w:eastAsia="zh-CN"/>
                    </w:rPr>
                  </w:pPr>
                  <w:r>
                    <w:rPr>
                      <w:rFonts w:hint="eastAsia"/>
                      <w:b w:val="0"/>
                      <w:bCs w:val="0"/>
                      <w:lang w:val="en-US" w:eastAsia="zh-CN"/>
                    </w:rPr>
                    <w:t>5、项目产生固体废物均得到有效处置；</w:t>
                  </w:r>
                </w:p>
                <w:p w14:paraId="28E8F328">
                  <w:pPr>
                    <w:pStyle w:val="5"/>
                    <w:jc w:val="both"/>
                    <w:rPr>
                      <w:rFonts w:hint="eastAsia"/>
                      <w:b w:val="0"/>
                      <w:bCs w:val="0"/>
                      <w:lang w:val="en-US" w:eastAsia="zh-CN"/>
                    </w:rPr>
                  </w:pPr>
                  <w:r>
                    <w:rPr>
                      <w:rFonts w:hint="eastAsia"/>
                      <w:b w:val="0"/>
                      <w:bCs w:val="0"/>
                      <w:lang w:val="en-US" w:eastAsia="zh-CN"/>
                    </w:rPr>
                    <w:t>6、本项目位于达州市农产品加工集中区，已通过认定。</w:t>
                  </w:r>
                </w:p>
                <w:p w14:paraId="23DBFEB6">
                  <w:pPr>
                    <w:pStyle w:val="5"/>
                    <w:jc w:val="both"/>
                    <w:rPr>
                      <w:rFonts w:hint="eastAsia"/>
                      <w:b w:val="0"/>
                      <w:bCs w:val="0"/>
                      <w:lang w:eastAsia="zh-CN"/>
                    </w:rPr>
                  </w:pPr>
                  <w:r>
                    <w:rPr>
                      <w:b w:val="0"/>
                      <w:bCs w:val="0"/>
                    </w:rPr>
                    <w:t>限制开发建设活动的要求</w:t>
                  </w:r>
                  <w:r>
                    <w:rPr>
                      <w:rFonts w:hint="eastAsia"/>
                      <w:b w:val="0"/>
                      <w:bCs w:val="0"/>
                      <w:lang w:eastAsia="zh-CN"/>
                    </w:rPr>
                    <w:t>：</w:t>
                  </w:r>
                </w:p>
                <w:p w14:paraId="76B06260">
                  <w:pPr>
                    <w:pStyle w:val="5"/>
                    <w:ind w:left="0" w:leftChars="0" w:firstLineChars="0"/>
                    <w:jc w:val="both"/>
                    <w:rPr>
                      <w:rFonts w:hint="eastAsia"/>
                      <w:b w:val="0"/>
                      <w:bCs w:val="0"/>
                      <w:highlight w:val="none"/>
                      <w:lang w:eastAsia="zh-CN"/>
                    </w:rPr>
                  </w:pPr>
                  <w:r>
                    <w:rPr>
                      <w:rFonts w:hint="eastAsia"/>
                      <w:b w:val="0"/>
                      <w:bCs w:val="0"/>
                      <w:highlight w:val="none"/>
                      <w:lang w:val="en-US" w:eastAsia="zh-CN"/>
                    </w:rPr>
                    <w:t>1、本项目现有项目不排放</w:t>
                  </w:r>
                  <w:r>
                    <w:rPr>
                      <w:b w:val="0"/>
                      <w:bCs w:val="0"/>
                      <w:highlight w:val="none"/>
                    </w:rPr>
                    <w:t>VOC</w:t>
                  </w:r>
                  <w:r>
                    <w:rPr>
                      <w:b w:val="0"/>
                      <w:bCs w:val="0"/>
                      <w:highlight w:val="none"/>
                      <w:vertAlign w:val="subscript"/>
                    </w:rPr>
                    <w:t>S</w:t>
                  </w:r>
                  <w:r>
                    <w:rPr>
                      <w:rFonts w:hint="eastAsia"/>
                      <w:b w:val="0"/>
                      <w:bCs w:val="0"/>
                      <w:highlight w:val="none"/>
                      <w:lang w:eastAsia="zh-CN"/>
                    </w:rPr>
                    <w:t>；</w:t>
                  </w:r>
                </w:p>
                <w:p w14:paraId="6AF865F6">
                  <w:pPr>
                    <w:pStyle w:val="5"/>
                    <w:ind w:left="0" w:leftChars="0" w:firstLineChars="0"/>
                    <w:jc w:val="both"/>
                    <w:rPr>
                      <w:rFonts w:hint="eastAsia"/>
                      <w:b w:val="0"/>
                      <w:bCs w:val="0"/>
                      <w:lang w:eastAsia="zh-CN"/>
                    </w:rPr>
                  </w:pPr>
                  <w:r>
                    <w:rPr>
                      <w:rFonts w:hint="eastAsia"/>
                      <w:b w:val="0"/>
                      <w:bCs w:val="0"/>
                      <w:lang w:val="en-US" w:eastAsia="zh-CN"/>
                    </w:rPr>
                    <w:t>2、项目</w:t>
                  </w:r>
                  <w:r>
                    <w:rPr>
                      <w:b w:val="0"/>
                      <w:bCs w:val="0"/>
                    </w:rPr>
                    <w:t>严格实施环评制度</w:t>
                  </w:r>
                  <w:r>
                    <w:rPr>
                      <w:rFonts w:hint="eastAsia"/>
                      <w:b w:val="0"/>
                      <w:bCs w:val="0"/>
                      <w:lang w:eastAsia="zh-CN"/>
                    </w:rPr>
                    <w:t>；</w:t>
                  </w:r>
                </w:p>
                <w:p w14:paraId="04BD57F3">
                  <w:pPr>
                    <w:pStyle w:val="5"/>
                    <w:ind w:left="0" w:leftChars="0" w:firstLineChars="0"/>
                    <w:jc w:val="both"/>
                    <w:rPr>
                      <w:rFonts w:hint="eastAsia"/>
                      <w:b w:val="0"/>
                      <w:bCs w:val="0"/>
                      <w:lang w:val="en-US" w:eastAsia="zh-CN"/>
                    </w:rPr>
                  </w:pPr>
                  <w:r>
                    <w:rPr>
                      <w:rFonts w:hint="eastAsia"/>
                      <w:b w:val="0"/>
                      <w:bCs w:val="0"/>
                      <w:lang w:val="en-US" w:eastAsia="zh-CN"/>
                    </w:rPr>
                    <w:t>3、项目不属于燃煤发电；</w:t>
                  </w:r>
                </w:p>
                <w:p w14:paraId="571926A1">
                  <w:pPr>
                    <w:pStyle w:val="5"/>
                    <w:ind w:left="0" w:leftChars="0" w:firstLineChars="0"/>
                    <w:jc w:val="both"/>
                    <w:rPr>
                      <w:b w:val="0"/>
                      <w:bCs w:val="0"/>
                    </w:rPr>
                  </w:pPr>
                  <w:r>
                    <w:rPr>
                      <w:rFonts w:hint="eastAsia"/>
                      <w:b w:val="0"/>
                      <w:bCs w:val="0"/>
                      <w:lang w:val="en-US" w:eastAsia="zh-CN"/>
                    </w:rPr>
                    <w:t>4、项目不属于</w:t>
                  </w:r>
                  <w:r>
                    <w:rPr>
                      <w:b w:val="0"/>
                      <w:bCs w:val="0"/>
                    </w:rPr>
                    <w:t>石油化工、煤化工、涉磷、造纸、印染、制革等项目。</w:t>
                  </w:r>
                </w:p>
                <w:p w14:paraId="29FD74AD">
                  <w:pPr>
                    <w:pStyle w:val="5"/>
                    <w:keepNext w:val="0"/>
                    <w:keepLines w:val="0"/>
                    <w:pageBreakBefore w:val="0"/>
                    <w:widowControl w:val="0"/>
                    <w:kinsoku/>
                    <w:wordWrap/>
                    <w:overflowPunct/>
                    <w:topLinePunct w:val="0"/>
                    <w:autoSpaceDE/>
                    <w:autoSpaceDN/>
                    <w:bidi w:val="0"/>
                    <w:adjustRightInd/>
                    <w:snapToGrid/>
                    <w:ind w:firstLineChars="0"/>
                    <w:jc w:val="both"/>
                    <w:textAlignment w:val="auto"/>
                    <w:rPr>
                      <w:rFonts w:hint="eastAsia"/>
                      <w:b w:val="0"/>
                      <w:bCs w:val="0"/>
                      <w:lang w:eastAsia="zh-CN"/>
                    </w:rPr>
                  </w:pPr>
                  <w:r>
                    <w:rPr>
                      <w:b w:val="0"/>
                      <w:bCs w:val="0"/>
                    </w:rPr>
                    <w:t>不符合空间布局要求活动的退出要求</w:t>
                  </w:r>
                  <w:r>
                    <w:rPr>
                      <w:rFonts w:hint="eastAsia"/>
                      <w:b w:val="0"/>
                      <w:bCs w:val="0"/>
                      <w:lang w:eastAsia="zh-CN"/>
                    </w:rPr>
                    <w:t>：</w:t>
                  </w:r>
                </w:p>
                <w:p w14:paraId="60CF4F5E">
                  <w:pPr>
                    <w:pStyle w:val="5"/>
                    <w:ind w:left="0" w:leftChars="0" w:firstLineChars="0"/>
                    <w:jc w:val="both"/>
                    <w:rPr>
                      <w:rFonts w:hint="eastAsia"/>
                      <w:b w:val="0"/>
                      <w:bCs w:val="0"/>
                      <w:lang w:val="en-US" w:eastAsia="zh-CN"/>
                    </w:rPr>
                  </w:pPr>
                  <w:r>
                    <w:rPr>
                      <w:rFonts w:hint="eastAsia"/>
                      <w:b w:val="0"/>
                      <w:bCs w:val="0"/>
                      <w:lang w:val="en-US" w:eastAsia="zh-CN"/>
                    </w:rPr>
                    <w:t>项目</w:t>
                  </w:r>
                  <w:r>
                    <w:rPr>
                      <w:b w:val="0"/>
                      <w:bCs w:val="0"/>
                      <w:lang w:val="en-US" w:eastAsia="zh-CN"/>
                    </w:rPr>
                    <w:t>国民经济行业类别</w:t>
                  </w:r>
                  <w:r>
                    <w:rPr>
                      <w:rFonts w:hint="eastAsia"/>
                      <w:b w:val="0"/>
                      <w:bCs w:val="0"/>
                      <w:lang w:val="en-US" w:eastAsia="zh-CN"/>
                    </w:rPr>
                    <w:t>为</w:t>
                  </w:r>
                  <w:r>
                    <w:rPr>
                      <w:rFonts w:hint="default"/>
                      <w:b w:val="0"/>
                      <w:bCs w:val="0"/>
                      <w:lang w:val="en-US" w:eastAsia="zh-CN"/>
                    </w:rPr>
                    <w:t>C3770助动车制造</w:t>
                  </w:r>
                  <w:r>
                    <w:rPr>
                      <w:rFonts w:hint="eastAsia"/>
                      <w:b w:val="0"/>
                      <w:bCs w:val="0"/>
                      <w:lang w:val="en-US" w:eastAsia="zh-CN"/>
                    </w:rPr>
                    <w:t>、</w:t>
                  </w:r>
                  <w:r>
                    <w:rPr>
                      <w:rFonts w:hint="default"/>
                      <w:b w:val="0"/>
                      <w:bCs w:val="0"/>
                      <w:lang w:val="en-US" w:eastAsia="zh-CN"/>
                    </w:rPr>
                    <w:t>C3849其他电池制造</w:t>
                  </w:r>
                  <w:r>
                    <w:rPr>
                      <w:rFonts w:hint="eastAsia"/>
                      <w:b w:val="0"/>
                      <w:bCs w:val="0"/>
                      <w:lang w:val="en-US" w:eastAsia="zh-CN"/>
                    </w:rPr>
                    <w:t>，产品为氢能源混合动力系统和氢能源两轮车，不属于</w:t>
                  </w:r>
                  <w:r>
                    <w:rPr>
                      <w:b w:val="0"/>
                      <w:bCs w:val="0"/>
                    </w:rPr>
                    <w:t>禁止引入产业门类的企业</w:t>
                  </w:r>
                  <w:r>
                    <w:rPr>
                      <w:rFonts w:hint="eastAsia"/>
                      <w:b w:val="0"/>
                      <w:bCs w:val="0"/>
                      <w:lang w:eastAsia="zh-CN"/>
                    </w:rPr>
                    <w:t>、</w:t>
                  </w:r>
                  <w:r>
                    <w:rPr>
                      <w:rFonts w:hint="eastAsia"/>
                      <w:b w:val="0"/>
                      <w:bCs w:val="0"/>
                      <w:lang w:val="en-US" w:eastAsia="zh-CN"/>
                    </w:rPr>
                    <w:t>钢铁企业、重污染企业、以及</w:t>
                  </w:r>
                  <w:r>
                    <w:rPr>
                      <w:b w:val="0"/>
                      <w:bCs w:val="0"/>
                    </w:rPr>
                    <w:t>石化、现代煤化工项目</w:t>
                  </w:r>
                  <w:r>
                    <w:rPr>
                      <w:rFonts w:hint="eastAsia"/>
                      <w:b w:val="0"/>
                      <w:bCs w:val="0"/>
                      <w:lang w:eastAsia="zh-CN"/>
                    </w:rPr>
                    <w:t>。</w:t>
                  </w:r>
                </w:p>
                <w:p w14:paraId="26895075">
                  <w:pPr>
                    <w:pStyle w:val="5"/>
                    <w:jc w:val="both"/>
                    <w:rPr>
                      <w:rFonts w:hint="default"/>
                      <w:b w:val="0"/>
                      <w:bCs w:val="0"/>
                      <w:lang w:val="en-US" w:eastAsia="zh-CN"/>
                    </w:rPr>
                  </w:pPr>
                </w:p>
              </w:tc>
              <w:tc>
                <w:tcPr>
                  <w:tcW w:w="591" w:type="dxa"/>
                  <w:tcBorders>
                    <w:tl2br w:val="nil"/>
                    <w:tr2bl w:val="nil"/>
                  </w:tcBorders>
                  <w:vAlign w:val="center"/>
                </w:tcPr>
                <w:p w14:paraId="4E8BA76F">
                  <w:pPr>
                    <w:pStyle w:val="5"/>
                    <w:jc w:val="center"/>
                    <w:rPr>
                      <w:rFonts w:hint="default"/>
                      <w:lang w:val="en-US" w:eastAsia="zh-CN"/>
                    </w:rPr>
                  </w:pPr>
                  <w:r>
                    <w:rPr>
                      <w:rFonts w:hint="eastAsia"/>
                      <w:lang w:val="en-US" w:eastAsia="zh-CN"/>
                    </w:rPr>
                    <w:t>符合</w:t>
                  </w:r>
                </w:p>
              </w:tc>
            </w:tr>
            <w:tr w14:paraId="7B2C73F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45" w:type="dxa"/>
                  <w:vMerge w:val="continue"/>
                  <w:tcBorders>
                    <w:tl2br w:val="nil"/>
                    <w:tr2bl w:val="nil"/>
                  </w:tcBorders>
                  <w:vAlign w:val="center"/>
                </w:tcPr>
                <w:p w14:paraId="624E990A">
                  <w:pPr>
                    <w:pStyle w:val="5"/>
                    <w:jc w:val="left"/>
                  </w:pPr>
                </w:p>
              </w:tc>
              <w:tc>
                <w:tcPr>
                  <w:tcW w:w="419" w:type="dxa"/>
                  <w:vMerge w:val="continue"/>
                  <w:tcBorders>
                    <w:tl2br w:val="nil"/>
                    <w:tr2bl w:val="nil"/>
                  </w:tcBorders>
                  <w:vAlign w:val="center"/>
                </w:tcPr>
                <w:p w14:paraId="677D9740">
                  <w:pPr>
                    <w:pStyle w:val="5"/>
                    <w:jc w:val="left"/>
                  </w:pPr>
                </w:p>
              </w:tc>
              <w:tc>
                <w:tcPr>
                  <w:tcW w:w="390" w:type="dxa"/>
                  <w:vMerge w:val="continue"/>
                  <w:tcBorders>
                    <w:tl2br w:val="nil"/>
                    <w:tr2bl w:val="nil"/>
                  </w:tcBorders>
                  <w:vAlign w:val="center"/>
                </w:tcPr>
                <w:p w14:paraId="0A3B0617">
                  <w:pPr>
                    <w:pStyle w:val="5"/>
                    <w:jc w:val="left"/>
                  </w:pPr>
                </w:p>
              </w:tc>
              <w:tc>
                <w:tcPr>
                  <w:tcW w:w="960" w:type="dxa"/>
                  <w:tcBorders>
                    <w:tl2br w:val="nil"/>
                    <w:tr2bl w:val="nil"/>
                  </w:tcBorders>
                  <w:vAlign w:val="center"/>
                </w:tcPr>
                <w:p w14:paraId="7B1A67C5">
                  <w:pPr>
                    <w:pStyle w:val="5"/>
                    <w:jc w:val="center"/>
                  </w:pPr>
                  <w:r>
                    <w:t>污染物排放管控</w:t>
                  </w:r>
                </w:p>
              </w:tc>
              <w:tc>
                <w:tcPr>
                  <w:tcW w:w="3045" w:type="dxa"/>
                  <w:tcBorders>
                    <w:tl2br w:val="nil"/>
                    <w:tr2bl w:val="nil"/>
                  </w:tcBorders>
                  <w:vAlign w:val="center"/>
                </w:tcPr>
                <w:p w14:paraId="748E6DE0">
                  <w:pPr>
                    <w:pStyle w:val="5"/>
                    <w:jc w:val="both"/>
                    <w:rPr>
                      <w:rFonts w:hint="eastAsia"/>
                      <w:lang w:eastAsia="zh-CN"/>
                    </w:rPr>
                  </w:pPr>
                  <w:r>
                    <w:t>允许排放量要求</w:t>
                  </w:r>
                  <w:r>
                    <w:rPr>
                      <w:rFonts w:hint="eastAsia"/>
                      <w:lang w:eastAsia="zh-CN"/>
                    </w:rPr>
                    <w:t>：</w:t>
                  </w:r>
                </w:p>
                <w:p w14:paraId="1CBB0666">
                  <w:pPr>
                    <w:pStyle w:val="5"/>
                    <w:jc w:val="both"/>
                  </w:pPr>
                  <w:r>
                    <w:t>达州市2025年水污染物允许排放量COD4396.41t，氨氮418.7t，TP45.36t；达州市2025年大气污染物一次PM2.5 5805t、SO</w:t>
                  </w:r>
                  <w:r>
                    <w:rPr>
                      <w:vertAlign w:val="subscript"/>
                    </w:rPr>
                    <w:t>2</w:t>
                  </w:r>
                  <w:r>
                    <w:t xml:space="preserve"> 12773t、NO</w:t>
                  </w:r>
                  <w:r>
                    <w:rPr>
                      <w:vertAlign w:val="subscript"/>
                    </w:rPr>
                    <w:t>x</w:t>
                  </w:r>
                  <w:r>
                    <w:rPr>
                      <w:rFonts w:hint="eastAsia"/>
                      <w:lang w:val="en-US" w:eastAsia="zh-CN"/>
                    </w:rPr>
                    <w:t xml:space="preserve"> </w:t>
                  </w:r>
                  <w:r>
                    <w:t>11892t、VOCs 13969t</w:t>
                  </w:r>
                </w:p>
                <w:p w14:paraId="2AC339BF">
                  <w:pPr>
                    <w:pStyle w:val="5"/>
                    <w:jc w:val="both"/>
                  </w:pPr>
                  <w:r>
                    <w:t>现有源提标升级改造</w:t>
                  </w:r>
                </w:p>
                <w:p w14:paraId="00E4F076">
                  <w:pPr>
                    <w:pStyle w:val="5"/>
                    <w:jc w:val="both"/>
                  </w:pPr>
                  <w:r>
                    <w:t>污水收集处理率达100%；</w:t>
                  </w:r>
                </w:p>
                <w:p w14:paraId="2D3580C2">
                  <w:pPr>
                    <w:pStyle w:val="5"/>
                    <w:jc w:val="both"/>
                  </w:pPr>
                  <w: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734C0012">
                  <w:pPr>
                    <w:pStyle w:val="5"/>
                    <w:jc w:val="both"/>
                  </w:pPr>
                  <w: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13671088">
                  <w:pPr>
                    <w:pStyle w:val="5"/>
                    <w:jc w:val="both"/>
                  </w:pPr>
                  <w: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11512CA6">
                  <w:pPr>
                    <w:pStyle w:val="5"/>
                    <w:jc w:val="both"/>
                  </w:pPr>
                  <w:r>
                    <w:t>其他污染物排放管控要求</w:t>
                  </w:r>
                </w:p>
                <w:p w14:paraId="540D2FA4">
                  <w:pPr>
                    <w:pStyle w:val="5"/>
                    <w:jc w:val="both"/>
                  </w:pPr>
                  <w: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剩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w:t>
                  </w:r>
                  <w:r>
                    <w:rPr>
                      <w:rFonts w:hint="eastAsia"/>
                      <w:lang w:eastAsia="zh-CN"/>
                    </w:rPr>
                    <w:t>（</w:t>
                  </w:r>
                  <w:r>
                    <w:t>以下称重点区域</w:t>
                  </w:r>
                  <w:r>
                    <w:rPr>
                      <w:rFonts w:hint="eastAsia"/>
                      <w:lang w:eastAsia="zh-CN"/>
                    </w:rPr>
                    <w:t>）</w:t>
                  </w:r>
                  <w:r>
                    <w:t>内新建耗煤项目还应严格按规定采取煤炭消费减量替代措施，不得使用高污染燃料作为煤炭减量替代措施</w:t>
                  </w:r>
                  <w:r>
                    <w:rPr>
                      <w:rFonts w:hint="eastAsia"/>
                      <w:lang w:eastAsia="zh-CN"/>
                    </w:rPr>
                    <w:t>；</w:t>
                  </w:r>
                  <w:r>
                    <w:t>重点区域执行大气污染物特别排放限值，严禁新增钢铁、电力、水泥、玻璃、砖瓦、陶瓷、焦化、电解铝、有色等重点行业大气污染物排放。钢铁行业新建应参考达州市“三线一单”生态环境分区管控中钢铁行业资源环境绩效准入门槛。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化工园区应按照分类收集，分质处理的要求，配备专业化工生产废水集中处理设施（独立建设或依托骨干企业）及专管或明管输送的配套管网，化工生产废水纳管率达到100%。入河排污口设置应符合相关规定。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落实《四川省深入打好重污染天气消除、臭氧污染防治和柴油货车污染</w:t>
                  </w:r>
                  <w:r>
                    <w:rPr>
                      <w:rFonts w:hint="eastAsia"/>
                      <w:lang w:eastAsia="zh-CN"/>
                    </w:rPr>
                    <w:t>防治</w:t>
                  </w:r>
                  <w:r>
                    <w:t>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2709" w:type="dxa"/>
                  <w:tcBorders>
                    <w:tl2br w:val="nil"/>
                    <w:tr2bl w:val="nil"/>
                  </w:tcBorders>
                  <w:vAlign w:val="center"/>
                </w:tcPr>
                <w:p w14:paraId="621B9CC9">
                  <w:pPr>
                    <w:pStyle w:val="5"/>
                    <w:jc w:val="both"/>
                    <w:rPr>
                      <w:rFonts w:hint="eastAsia"/>
                      <w:lang w:eastAsia="zh-CN"/>
                    </w:rPr>
                  </w:pPr>
                  <w:r>
                    <w:t>允许排放量要求</w:t>
                  </w:r>
                  <w:r>
                    <w:rPr>
                      <w:rFonts w:hint="eastAsia"/>
                      <w:lang w:eastAsia="zh-CN"/>
                    </w:rPr>
                    <w:t>：</w:t>
                  </w:r>
                </w:p>
                <w:p w14:paraId="755D4D57">
                  <w:pPr>
                    <w:pStyle w:val="5"/>
                    <w:jc w:val="both"/>
                    <w:rPr>
                      <w:rFonts w:hint="eastAsia"/>
                      <w:lang w:val="en-US" w:eastAsia="zh-CN"/>
                    </w:rPr>
                  </w:pPr>
                  <w:r>
                    <w:rPr>
                      <w:rFonts w:hint="eastAsia"/>
                      <w:lang w:val="en-US" w:eastAsia="zh-CN"/>
                    </w:rPr>
                    <w:t>严格执行</w:t>
                  </w:r>
                  <w:r>
                    <w:t>水污染物允许排放量</w:t>
                  </w:r>
                  <w:r>
                    <w:rPr>
                      <w:rFonts w:hint="eastAsia"/>
                      <w:lang w:eastAsia="zh-CN"/>
                    </w:rPr>
                    <w:t>、</w:t>
                  </w:r>
                  <w:r>
                    <w:t>大气污染物</w:t>
                  </w:r>
                  <w:r>
                    <w:rPr>
                      <w:rFonts w:hint="eastAsia"/>
                      <w:lang w:val="en-US" w:eastAsia="zh-CN"/>
                    </w:rPr>
                    <w:t>限值；</w:t>
                  </w:r>
                </w:p>
                <w:p w14:paraId="1D00C241">
                  <w:pPr>
                    <w:pStyle w:val="5"/>
                    <w:jc w:val="both"/>
                    <w:rPr>
                      <w:rFonts w:hint="eastAsia"/>
                      <w:lang w:eastAsia="zh-CN"/>
                    </w:rPr>
                  </w:pPr>
                  <w:r>
                    <w:t>现有源提标升级改造</w:t>
                  </w:r>
                  <w:r>
                    <w:rPr>
                      <w:rFonts w:hint="eastAsia"/>
                      <w:lang w:eastAsia="zh-CN"/>
                    </w:rPr>
                    <w:t>：</w:t>
                  </w:r>
                </w:p>
                <w:p w14:paraId="2A6E52CF">
                  <w:pPr>
                    <w:pStyle w:val="5"/>
                    <w:jc w:val="both"/>
                    <w:rPr>
                      <w:rFonts w:hint="default"/>
                      <w:lang w:val="en-US" w:eastAsia="zh-CN"/>
                    </w:rPr>
                  </w:pPr>
                  <w:r>
                    <w:rPr>
                      <w:rFonts w:hint="eastAsia"/>
                      <w:lang w:val="en-US" w:eastAsia="zh-CN"/>
                    </w:rPr>
                    <w:t>1、项目不产生生产废水，生活污水经过园区一体化污水处理设施和魏兴污水处理厂处理后达标排放；</w:t>
                  </w:r>
                </w:p>
                <w:p w14:paraId="3008D189">
                  <w:pPr>
                    <w:pStyle w:val="5"/>
                    <w:jc w:val="both"/>
                    <w:rPr>
                      <w:rFonts w:hint="eastAsia"/>
                      <w:lang w:eastAsia="zh-CN"/>
                    </w:rPr>
                  </w:pPr>
                  <w:r>
                    <w:rPr>
                      <w:rFonts w:hint="eastAsia"/>
                      <w:lang w:val="en-US" w:eastAsia="zh-CN"/>
                    </w:rPr>
                    <w:t>2、项目不属于钢铁行业，不使用</w:t>
                  </w:r>
                  <w:r>
                    <w:t>工业炉窑</w:t>
                  </w:r>
                  <w:r>
                    <w:rPr>
                      <w:rFonts w:hint="eastAsia"/>
                      <w:lang w:eastAsia="zh-CN"/>
                    </w:rPr>
                    <w:t>。</w:t>
                  </w:r>
                </w:p>
                <w:p w14:paraId="6937B4AD">
                  <w:pPr>
                    <w:pStyle w:val="5"/>
                    <w:jc w:val="both"/>
                    <w:rPr>
                      <w:rFonts w:hint="eastAsia"/>
                      <w:lang w:val="en-US" w:eastAsia="zh-CN"/>
                    </w:rPr>
                  </w:pPr>
                  <w:r>
                    <w:rPr>
                      <w:rFonts w:hint="eastAsia"/>
                      <w:lang w:val="en-US" w:eastAsia="zh-CN"/>
                    </w:rPr>
                    <w:t>3、</w:t>
                  </w:r>
                  <w:r>
                    <w:t>园区及企业雨污分流系统</w:t>
                  </w:r>
                  <w:r>
                    <w:rPr>
                      <w:rFonts w:hint="eastAsia"/>
                      <w:lang w:val="en-US" w:eastAsia="zh-CN"/>
                    </w:rPr>
                    <w:t>完备。</w:t>
                  </w:r>
                </w:p>
                <w:p w14:paraId="6E2696ED">
                  <w:pPr>
                    <w:pStyle w:val="5"/>
                    <w:jc w:val="both"/>
                    <w:rPr>
                      <w:rFonts w:hint="eastAsia"/>
                      <w:lang w:eastAsia="zh-CN"/>
                    </w:rPr>
                  </w:pPr>
                  <w:r>
                    <w:t>其他污染物排放管控要求</w:t>
                  </w:r>
                  <w:r>
                    <w:rPr>
                      <w:rFonts w:hint="eastAsia"/>
                      <w:lang w:eastAsia="zh-CN"/>
                    </w:rPr>
                    <w:t>：</w:t>
                  </w:r>
                </w:p>
                <w:p w14:paraId="0FCC5443">
                  <w:pPr>
                    <w:pStyle w:val="5"/>
                    <w:jc w:val="both"/>
                    <w:rPr>
                      <w:rFonts w:hint="eastAsia"/>
                      <w:lang w:eastAsia="zh-CN"/>
                    </w:rPr>
                  </w:pPr>
                  <w:r>
                    <w:rPr>
                      <w:rFonts w:hint="eastAsia"/>
                      <w:lang w:val="en-US" w:eastAsia="zh-CN"/>
                    </w:rPr>
                    <w:t>1、本项目</w:t>
                  </w:r>
                  <w:r>
                    <w:t>VOCs实施现役源倍量削减量替代</w:t>
                  </w:r>
                  <w:r>
                    <w:rPr>
                      <w:rFonts w:hint="eastAsia"/>
                      <w:lang w:eastAsia="zh-CN"/>
                    </w:rPr>
                    <w:t>；</w:t>
                  </w:r>
                </w:p>
                <w:p w14:paraId="6A1F444E">
                  <w:pPr>
                    <w:pStyle w:val="5"/>
                    <w:jc w:val="both"/>
                    <w:rPr>
                      <w:rFonts w:hint="eastAsia"/>
                      <w:lang w:val="en-US" w:eastAsia="zh-CN"/>
                    </w:rPr>
                  </w:pPr>
                  <w:r>
                    <w:rPr>
                      <w:rFonts w:hint="eastAsia"/>
                      <w:lang w:val="en-US" w:eastAsia="zh-CN"/>
                    </w:rPr>
                    <w:t>2、项目产生的固废均得到有效处置；</w:t>
                  </w:r>
                </w:p>
                <w:p w14:paraId="22162311">
                  <w:pPr>
                    <w:pStyle w:val="5"/>
                    <w:jc w:val="both"/>
                  </w:pPr>
                  <w:r>
                    <w:rPr>
                      <w:rFonts w:hint="eastAsia"/>
                      <w:lang w:val="en-US" w:eastAsia="zh-CN"/>
                    </w:rPr>
                    <w:t>3、项目不属于</w:t>
                  </w:r>
                  <w:r>
                    <w:t>钢铁、电力、水泥、玻璃、砖瓦、陶瓷、焦化、电解铝、有色等重点行业大气污染物排放。</w:t>
                  </w:r>
                </w:p>
                <w:p w14:paraId="771D05A7">
                  <w:pPr>
                    <w:pStyle w:val="5"/>
                    <w:jc w:val="both"/>
                    <w:rPr>
                      <w:rFonts w:hint="default"/>
                      <w:lang w:val="en-US" w:eastAsia="zh-CN"/>
                    </w:rPr>
                  </w:pPr>
                  <w:r>
                    <w:rPr>
                      <w:rFonts w:hint="eastAsia"/>
                      <w:lang w:val="en-US" w:eastAsia="zh-CN"/>
                    </w:rPr>
                    <w:t>4、</w:t>
                  </w:r>
                  <w:r>
                    <w:rPr>
                      <w:rFonts w:hint="eastAsia"/>
                    </w:rPr>
                    <w:t>本项目</w:t>
                  </w:r>
                  <w:r>
                    <w:rPr>
                      <w:rFonts w:hint="eastAsia"/>
                      <w:lang w:val="en-US" w:eastAsia="zh-CN"/>
                    </w:rPr>
                    <w:t>所用胶粘剂属于低VOCs原料，排放少量VOC</w:t>
                  </w:r>
                  <w:r>
                    <w:rPr>
                      <w:rFonts w:hint="eastAsia"/>
                      <w:vertAlign w:val="subscript"/>
                      <w:lang w:val="en-US" w:eastAsia="zh-CN"/>
                    </w:rPr>
                    <w:t>S</w:t>
                  </w:r>
                  <w:r>
                    <w:rPr>
                      <w:rFonts w:hint="eastAsia"/>
                      <w:lang w:val="en-US" w:eastAsia="zh-CN"/>
                    </w:rPr>
                    <w:t>，经密闭管道收集，二级活性炭吸附装置处理后，由25m高排气筒达标排放。</w:t>
                  </w:r>
                </w:p>
              </w:tc>
              <w:tc>
                <w:tcPr>
                  <w:tcW w:w="591" w:type="dxa"/>
                  <w:tcBorders>
                    <w:tl2br w:val="nil"/>
                    <w:tr2bl w:val="nil"/>
                  </w:tcBorders>
                  <w:vAlign w:val="center"/>
                </w:tcPr>
                <w:p w14:paraId="650B7C87">
                  <w:pPr>
                    <w:pStyle w:val="5"/>
                    <w:jc w:val="center"/>
                    <w:rPr>
                      <w:rFonts w:hint="eastAsia"/>
                      <w:lang w:val="en-US" w:eastAsia="zh-CN"/>
                    </w:rPr>
                  </w:pPr>
                  <w:r>
                    <w:rPr>
                      <w:rFonts w:hint="eastAsia"/>
                      <w:lang w:val="en-US" w:eastAsia="zh-CN"/>
                    </w:rPr>
                    <w:t>符合</w:t>
                  </w:r>
                </w:p>
              </w:tc>
            </w:tr>
            <w:tr w14:paraId="08EA1A4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745" w:type="dxa"/>
                  <w:vMerge w:val="continue"/>
                  <w:tcBorders>
                    <w:tl2br w:val="nil"/>
                    <w:tr2bl w:val="nil"/>
                  </w:tcBorders>
                  <w:vAlign w:val="center"/>
                </w:tcPr>
                <w:p w14:paraId="559F0361">
                  <w:pPr>
                    <w:pStyle w:val="5"/>
                    <w:jc w:val="left"/>
                  </w:pPr>
                </w:p>
              </w:tc>
              <w:tc>
                <w:tcPr>
                  <w:tcW w:w="419" w:type="dxa"/>
                  <w:vMerge w:val="continue"/>
                  <w:tcBorders>
                    <w:tl2br w:val="nil"/>
                    <w:tr2bl w:val="nil"/>
                  </w:tcBorders>
                  <w:vAlign w:val="center"/>
                </w:tcPr>
                <w:p w14:paraId="31A7310A">
                  <w:pPr>
                    <w:pStyle w:val="5"/>
                    <w:jc w:val="left"/>
                  </w:pPr>
                </w:p>
              </w:tc>
              <w:tc>
                <w:tcPr>
                  <w:tcW w:w="390" w:type="dxa"/>
                  <w:vMerge w:val="continue"/>
                  <w:tcBorders>
                    <w:tl2br w:val="nil"/>
                    <w:tr2bl w:val="nil"/>
                  </w:tcBorders>
                  <w:vAlign w:val="center"/>
                </w:tcPr>
                <w:p w14:paraId="14ACFB57">
                  <w:pPr>
                    <w:pStyle w:val="5"/>
                    <w:jc w:val="left"/>
                  </w:pPr>
                </w:p>
              </w:tc>
              <w:tc>
                <w:tcPr>
                  <w:tcW w:w="960" w:type="dxa"/>
                  <w:tcBorders>
                    <w:tl2br w:val="nil"/>
                    <w:tr2bl w:val="nil"/>
                  </w:tcBorders>
                  <w:vAlign w:val="center"/>
                </w:tcPr>
                <w:p w14:paraId="05E83909">
                  <w:pPr>
                    <w:pStyle w:val="5"/>
                    <w:jc w:val="center"/>
                  </w:pPr>
                  <w:r>
                    <w:t>环境风险防控</w:t>
                  </w:r>
                </w:p>
              </w:tc>
              <w:tc>
                <w:tcPr>
                  <w:tcW w:w="3045" w:type="dxa"/>
                  <w:tcBorders>
                    <w:tl2br w:val="nil"/>
                    <w:tr2bl w:val="nil"/>
                  </w:tcBorders>
                  <w:vAlign w:val="center"/>
                </w:tcPr>
                <w:p w14:paraId="33ECF616">
                  <w:pPr>
                    <w:pStyle w:val="5"/>
                    <w:jc w:val="both"/>
                  </w:pPr>
                  <w:r>
                    <w:t>联防联控要求</w:t>
                  </w:r>
                </w:p>
                <w:p w14:paraId="1A3E9681">
                  <w:pPr>
                    <w:pStyle w:val="5"/>
                    <w:jc w:val="both"/>
                  </w:pPr>
                  <w: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409803CE">
                  <w:pPr>
                    <w:pStyle w:val="5"/>
                    <w:jc w:val="both"/>
                  </w:pPr>
                  <w:r>
                    <w:t>其他环境风险防控要求</w:t>
                  </w:r>
                </w:p>
                <w:p w14:paraId="668DF639">
                  <w:pPr>
                    <w:pStyle w:val="5"/>
                    <w:jc w:val="both"/>
                  </w:pPr>
                  <w:r>
                    <w:t>企业环境风险防控要求</w:t>
                  </w:r>
                  <w:r>
                    <w:rPr>
                      <w:rFonts w:hint="eastAsia"/>
                      <w:lang w:eastAsia="zh-CN"/>
                    </w:rPr>
                    <w:t>：</w:t>
                  </w:r>
                  <w:r>
                    <w:t>涉及有毒有害、易燃易爆物质新建、改扩建项目，严控准入要求。（根据《GB 8978-2002》中第一类污染物以及《优先控制化学品名录</w:t>
                  </w:r>
                  <w:r>
                    <w:rPr>
                      <w:rFonts w:hint="eastAsia"/>
                      <w:lang w:eastAsia="zh-CN"/>
                    </w:rPr>
                    <w:t>》《</w:t>
                  </w:r>
                  <w:r>
                    <w:t>有毒有害大气污染物名录</w:t>
                  </w:r>
                  <w:r>
                    <w:rPr>
                      <w:rFonts w:hint="eastAsia"/>
                      <w:lang w:eastAsia="zh-CN"/>
                    </w:rPr>
                    <w:t>》《</w:t>
                  </w:r>
                  <w:r>
                    <w:t>有毒有害水污染物名录》确定）。对钢铁、焦化平板玻璃、铜铅锌硅冶炼等环境影响大或环境风险高的项目类别，不得以改革试点名义随意下放环评审批权限或降低审批要求。园区环境风险防控要求</w:t>
                  </w:r>
                  <w:r>
                    <w:rPr>
                      <w:rFonts w:hint="eastAsia"/>
                      <w:lang w:eastAsia="zh-CN"/>
                    </w:rPr>
                    <w:t>：</w:t>
                  </w:r>
                  <w:r>
                    <w:t>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用地环境风险防控要求</w:t>
                  </w:r>
                  <w:r>
                    <w:rPr>
                      <w:rFonts w:hint="eastAsia"/>
                      <w:lang w:eastAsia="zh-CN"/>
                    </w:rPr>
                    <w:t>：</w:t>
                  </w:r>
                  <w:r>
                    <w:t>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2709" w:type="dxa"/>
                  <w:tcBorders>
                    <w:tl2br w:val="nil"/>
                    <w:tr2bl w:val="nil"/>
                  </w:tcBorders>
                  <w:vAlign w:val="center"/>
                </w:tcPr>
                <w:p w14:paraId="79B2EB91">
                  <w:pPr>
                    <w:pStyle w:val="5"/>
                    <w:jc w:val="both"/>
                    <w:rPr>
                      <w:rFonts w:hint="eastAsia"/>
                      <w:lang w:eastAsia="zh-CN"/>
                    </w:rPr>
                  </w:pPr>
                  <w:r>
                    <w:t>联防联控要求</w:t>
                  </w:r>
                  <w:r>
                    <w:rPr>
                      <w:rFonts w:hint="eastAsia"/>
                      <w:lang w:eastAsia="zh-CN"/>
                    </w:rPr>
                    <w:t>：</w:t>
                  </w:r>
                </w:p>
                <w:p w14:paraId="2EB6F79A">
                  <w:pPr>
                    <w:pStyle w:val="5"/>
                    <w:jc w:val="both"/>
                    <w:rPr>
                      <w:rFonts w:hint="eastAsia"/>
                      <w:lang w:eastAsia="zh-CN"/>
                    </w:rPr>
                  </w:pPr>
                  <w:r>
                    <w:t>严格落实联防联控要求</w:t>
                  </w:r>
                  <w:r>
                    <w:rPr>
                      <w:rFonts w:hint="eastAsia"/>
                      <w:lang w:eastAsia="zh-CN"/>
                    </w:rPr>
                    <w:t>；</w:t>
                  </w:r>
                </w:p>
                <w:p w14:paraId="444E3978">
                  <w:pPr>
                    <w:pStyle w:val="5"/>
                    <w:jc w:val="both"/>
                    <w:rPr>
                      <w:rFonts w:hint="eastAsia"/>
                      <w:lang w:eastAsia="zh-CN"/>
                    </w:rPr>
                  </w:pPr>
                  <w:r>
                    <w:t>其他环境风险防控要求</w:t>
                  </w:r>
                  <w:r>
                    <w:rPr>
                      <w:rFonts w:hint="eastAsia"/>
                      <w:lang w:eastAsia="zh-CN"/>
                    </w:rPr>
                    <w:t>：</w:t>
                  </w:r>
                </w:p>
                <w:p w14:paraId="56E4E878">
                  <w:pPr>
                    <w:pStyle w:val="5"/>
                    <w:jc w:val="both"/>
                    <w:rPr>
                      <w:rFonts w:hint="eastAsia"/>
                      <w:lang w:eastAsia="zh-CN"/>
                    </w:rPr>
                  </w:pPr>
                  <w:r>
                    <w:rPr>
                      <w:rFonts w:hint="eastAsia"/>
                      <w:lang w:val="en-US" w:eastAsia="zh-CN"/>
                    </w:rPr>
                    <w:t>1、项目不设计规定的</w:t>
                  </w:r>
                  <w:r>
                    <w:t>有毒有害、易燃易爆物质</w:t>
                  </w:r>
                  <w:r>
                    <w:rPr>
                      <w:rFonts w:hint="eastAsia"/>
                      <w:lang w:eastAsia="zh-CN"/>
                    </w:rPr>
                    <w:t>；</w:t>
                  </w:r>
                </w:p>
                <w:p w14:paraId="090E1417">
                  <w:pPr>
                    <w:pStyle w:val="5"/>
                    <w:jc w:val="both"/>
                    <w:rPr>
                      <w:rFonts w:hint="default"/>
                      <w:lang w:val="en-US" w:eastAsia="zh-CN"/>
                    </w:rPr>
                  </w:pPr>
                  <w:r>
                    <w:rPr>
                      <w:rFonts w:hint="eastAsia"/>
                      <w:lang w:val="en-US" w:eastAsia="zh-CN"/>
                    </w:rPr>
                    <w:t>2、项目不属于</w:t>
                  </w:r>
                  <w:r>
                    <w:t>钢铁、焦化平板玻璃、铜铅锌硅冶炼</w:t>
                  </w:r>
                  <w:r>
                    <w:rPr>
                      <w:rFonts w:hint="eastAsia"/>
                      <w:lang w:eastAsia="zh-CN"/>
                    </w:rPr>
                    <w:t>、</w:t>
                  </w:r>
                  <w:r>
                    <w:t>化工、电镀</w:t>
                  </w:r>
                  <w:r>
                    <w:rPr>
                      <w:rFonts w:hint="eastAsia"/>
                      <w:lang w:eastAsia="zh-CN"/>
                    </w:rPr>
                    <w:t>等行业</w:t>
                  </w:r>
                  <w:r>
                    <w:rPr>
                      <w:rFonts w:hint="eastAsia"/>
                      <w:lang w:val="en-US" w:eastAsia="zh-CN"/>
                    </w:rPr>
                    <w:t>。</w:t>
                  </w:r>
                </w:p>
              </w:tc>
              <w:tc>
                <w:tcPr>
                  <w:tcW w:w="591" w:type="dxa"/>
                  <w:tcBorders>
                    <w:tl2br w:val="nil"/>
                    <w:tr2bl w:val="nil"/>
                  </w:tcBorders>
                  <w:vAlign w:val="center"/>
                </w:tcPr>
                <w:p w14:paraId="3B91DB13">
                  <w:pPr>
                    <w:pStyle w:val="5"/>
                    <w:jc w:val="center"/>
                  </w:pPr>
                  <w:r>
                    <w:rPr>
                      <w:rFonts w:hint="eastAsia"/>
                      <w:lang w:val="en-US" w:eastAsia="zh-CN"/>
                    </w:rPr>
                    <w:t>符合</w:t>
                  </w:r>
                </w:p>
              </w:tc>
            </w:tr>
            <w:tr w14:paraId="374BDB4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745" w:type="dxa"/>
                  <w:vMerge w:val="continue"/>
                  <w:tcBorders>
                    <w:tl2br w:val="nil"/>
                    <w:tr2bl w:val="nil"/>
                  </w:tcBorders>
                  <w:vAlign w:val="center"/>
                </w:tcPr>
                <w:p w14:paraId="7F1080F9">
                  <w:pPr>
                    <w:pStyle w:val="5"/>
                    <w:jc w:val="left"/>
                  </w:pPr>
                </w:p>
              </w:tc>
              <w:tc>
                <w:tcPr>
                  <w:tcW w:w="419" w:type="dxa"/>
                  <w:vMerge w:val="continue"/>
                  <w:tcBorders>
                    <w:tl2br w:val="nil"/>
                    <w:tr2bl w:val="nil"/>
                  </w:tcBorders>
                  <w:vAlign w:val="center"/>
                </w:tcPr>
                <w:p w14:paraId="3601EE35">
                  <w:pPr>
                    <w:pStyle w:val="5"/>
                    <w:jc w:val="left"/>
                  </w:pPr>
                </w:p>
              </w:tc>
              <w:tc>
                <w:tcPr>
                  <w:tcW w:w="390" w:type="dxa"/>
                  <w:vMerge w:val="continue"/>
                  <w:tcBorders>
                    <w:tl2br w:val="nil"/>
                    <w:tr2bl w:val="nil"/>
                  </w:tcBorders>
                  <w:vAlign w:val="center"/>
                </w:tcPr>
                <w:p w14:paraId="0C176FE6">
                  <w:pPr>
                    <w:pStyle w:val="5"/>
                    <w:jc w:val="left"/>
                  </w:pPr>
                </w:p>
              </w:tc>
              <w:tc>
                <w:tcPr>
                  <w:tcW w:w="960" w:type="dxa"/>
                  <w:tcBorders>
                    <w:tl2br w:val="nil"/>
                    <w:tr2bl w:val="nil"/>
                  </w:tcBorders>
                  <w:vAlign w:val="center"/>
                </w:tcPr>
                <w:p w14:paraId="2AF5AAF4">
                  <w:pPr>
                    <w:pStyle w:val="5"/>
                    <w:jc w:val="center"/>
                  </w:pPr>
                  <w:r>
                    <w:t>资源开发利用效率要求</w:t>
                  </w:r>
                </w:p>
              </w:tc>
              <w:tc>
                <w:tcPr>
                  <w:tcW w:w="3045" w:type="dxa"/>
                  <w:tcBorders>
                    <w:tl2br w:val="nil"/>
                    <w:tr2bl w:val="nil"/>
                  </w:tcBorders>
                  <w:vAlign w:val="center"/>
                </w:tcPr>
                <w:p w14:paraId="7C2804CF">
                  <w:pPr>
                    <w:pStyle w:val="5"/>
                    <w:jc w:val="both"/>
                    <w:rPr>
                      <w:rFonts w:hint="eastAsia" w:eastAsia="宋体"/>
                      <w:lang w:eastAsia="zh-CN"/>
                    </w:rPr>
                  </w:pPr>
                  <w:r>
                    <w:t>水资源利用总量要求</w:t>
                  </w:r>
                  <w:r>
                    <w:rPr>
                      <w:rFonts w:hint="eastAsia"/>
                      <w:lang w:eastAsia="zh-CN"/>
                    </w:rPr>
                    <w:t>：</w:t>
                  </w:r>
                </w:p>
                <w:p w14:paraId="20C7472C">
                  <w:pPr>
                    <w:pStyle w:val="5"/>
                    <w:jc w:val="both"/>
                  </w:pPr>
                  <w:r>
                    <w:t>新、改扩建项目污染水耗指标满足《四川省省级生态工业园区指标》综合类生态工业园区要求；到2022年，万元国内生产总值用水量、万元工业增加值用水量较2015年分别下降30%和28%。</w:t>
                  </w:r>
                </w:p>
                <w:p w14:paraId="510A3902">
                  <w:pPr>
                    <w:pStyle w:val="5"/>
                    <w:jc w:val="both"/>
                    <w:rPr>
                      <w:rFonts w:hint="eastAsia" w:eastAsia="宋体"/>
                      <w:lang w:eastAsia="zh-CN"/>
                    </w:rPr>
                  </w:pPr>
                  <w:r>
                    <w:t>地下水开采要求</w:t>
                  </w:r>
                  <w:r>
                    <w:rPr>
                      <w:rFonts w:hint="eastAsia"/>
                      <w:lang w:eastAsia="zh-CN"/>
                    </w:rPr>
                    <w:t>：</w:t>
                  </w:r>
                </w:p>
                <w:p w14:paraId="38BE50C2">
                  <w:pPr>
                    <w:pStyle w:val="5"/>
                    <w:jc w:val="both"/>
                  </w:pPr>
                  <w:r>
                    <w:t>以省市下发指标为准</w:t>
                  </w:r>
                </w:p>
                <w:p w14:paraId="1B52A45C">
                  <w:pPr>
                    <w:pStyle w:val="5"/>
                    <w:jc w:val="both"/>
                  </w:pPr>
                  <w:r>
                    <w:t>能源利用总量及效率要求</w:t>
                  </w:r>
                  <w:r>
                    <w:rPr>
                      <w:rFonts w:hint="eastAsia"/>
                      <w:lang w:eastAsia="zh-CN"/>
                    </w:rPr>
                    <w:t>：</w:t>
                  </w:r>
                </w:p>
                <w:p w14:paraId="60DE6298">
                  <w:pPr>
                    <w:pStyle w:val="5"/>
                    <w:jc w:val="both"/>
                  </w:pPr>
                  <w: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4D0311C">
                  <w:pPr>
                    <w:pStyle w:val="5"/>
                    <w:jc w:val="both"/>
                  </w:pPr>
                  <w:r>
                    <w:t>禁燃区要求</w:t>
                  </w:r>
                  <w:r>
                    <w:rPr>
                      <w:rFonts w:hint="eastAsia"/>
                      <w:lang w:eastAsia="zh-CN"/>
                    </w:rPr>
                    <w:t>：</w:t>
                  </w:r>
                </w:p>
                <w:p w14:paraId="1E2315E5">
                  <w:pPr>
                    <w:pStyle w:val="5"/>
                    <w:jc w:val="both"/>
                  </w:pPr>
                  <w:r>
                    <w:t>-高污染燃料禁燃区内禁止燃用的燃料为《高污染燃料目录》（2017）中</w:t>
                  </w:r>
                  <w:r>
                    <w:rPr>
                      <w:rFonts w:hint="eastAsia"/>
                      <w:lang w:eastAsia="zh-CN"/>
                    </w:rPr>
                    <w:t>Ⅲ类</w:t>
                  </w:r>
                  <w:r>
                    <w:t>（严格）燃料组合，包括：（一）煤炭及其制品；（二）石油焦、油页岩、原油、重油、渣油、煤焦油；（三）非专用锅炉或未配置高效除尘设施的专用锅炉燃用的生物质成型燃料。</w:t>
                  </w:r>
                  <w:r>
                    <w:rPr>
                      <w:rFonts w:hint="eastAsia"/>
                      <w:lang w:val="en-US" w:eastAsia="zh-CN"/>
                    </w:rPr>
                    <w:t>-</w:t>
                  </w:r>
                  <w: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14:paraId="4077D211">
                  <w:pPr>
                    <w:pStyle w:val="5"/>
                    <w:jc w:val="both"/>
                    <w:rPr>
                      <w:rFonts w:hint="eastAsia"/>
                      <w:lang w:eastAsia="zh-CN"/>
                    </w:rPr>
                  </w:pPr>
                  <w:r>
                    <w:t>其他资源利用效率要求</w:t>
                  </w:r>
                  <w:r>
                    <w:rPr>
                      <w:rFonts w:hint="eastAsia"/>
                      <w:lang w:eastAsia="zh-CN"/>
                    </w:rPr>
                    <w:t>：</w:t>
                  </w:r>
                </w:p>
                <w:p w14:paraId="4A16988D">
                  <w:pPr>
                    <w:pStyle w:val="5"/>
                    <w:jc w:val="both"/>
                    <w:rPr>
                      <w:rFonts w:hint="eastAsia"/>
                      <w:lang w:val="en-US" w:eastAsia="zh-CN"/>
                    </w:rPr>
                  </w:pPr>
                  <w:r>
                    <w:rPr>
                      <w:rFonts w:hint="eastAsia"/>
                      <w:lang w:val="en-US" w:eastAsia="zh-CN"/>
                    </w:rPr>
                    <w:t>/</w:t>
                  </w:r>
                </w:p>
              </w:tc>
              <w:tc>
                <w:tcPr>
                  <w:tcW w:w="2709" w:type="dxa"/>
                  <w:tcBorders>
                    <w:tl2br w:val="nil"/>
                    <w:tr2bl w:val="nil"/>
                  </w:tcBorders>
                  <w:vAlign w:val="center"/>
                </w:tcPr>
                <w:p w14:paraId="365733C1">
                  <w:pPr>
                    <w:pStyle w:val="5"/>
                    <w:jc w:val="both"/>
                    <w:rPr>
                      <w:rFonts w:hint="eastAsia" w:eastAsia="宋体"/>
                      <w:lang w:eastAsia="zh-CN"/>
                    </w:rPr>
                  </w:pPr>
                  <w:r>
                    <w:t>水资源利用总量要求</w:t>
                  </w:r>
                  <w:r>
                    <w:rPr>
                      <w:rFonts w:hint="eastAsia"/>
                      <w:lang w:eastAsia="zh-CN"/>
                    </w:rPr>
                    <w:t>：</w:t>
                  </w:r>
                </w:p>
                <w:p w14:paraId="2DEAF12B">
                  <w:pPr>
                    <w:pStyle w:val="5"/>
                    <w:jc w:val="both"/>
                    <w:rPr>
                      <w:rFonts w:hint="eastAsia"/>
                      <w:lang w:val="en-US" w:eastAsia="zh-CN"/>
                    </w:rPr>
                  </w:pPr>
                  <w:r>
                    <w:rPr>
                      <w:rFonts w:hint="eastAsia"/>
                      <w:lang w:val="en-US" w:eastAsia="zh-CN"/>
                    </w:rPr>
                    <w:t>本项目仅涉及办公人员用水；</w:t>
                  </w:r>
                </w:p>
                <w:p w14:paraId="4C755BF5">
                  <w:pPr>
                    <w:pStyle w:val="5"/>
                    <w:jc w:val="both"/>
                    <w:rPr>
                      <w:rFonts w:hint="eastAsia"/>
                      <w:lang w:eastAsia="zh-CN"/>
                    </w:rPr>
                  </w:pPr>
                  <w:r>
                    <w:t>能源利用总量及效率要求</w:t>
                  </w:r>
                  <w:r>
                    <w:rPr>
                      <w:rFonts w:hint="eastAsia"/>
                      <w:lang w:eastAsia="zh-CN"/>
                    </w:rPr>
                    <w:t>：</w:t>
                  </w:r>
                </w:p>
                <w:p w14:paraId="2334A43D">
                  <w:pPr>
                    <w:pStyle w:val="5"/>
                    <w:jc w:val="both"/>
                    <w:rPr>
                      <w:rFonts w:hint="default"/>
                      <w:lang w:val="en-US" w:eastAsia="zh-CN"/>
                    </w:rPr>
                  </w:pPr>
                  <w:r>
                    <w:rPr>
                      <w:rFonts w:hint="eastAsia"/>
                      <w:lang w:val="en-US" w:eastAsia="zh-CN"/>
                    </w:rPr>
                    <w:t>项目不使用煤炭、天然气，不使用锅炉；不属于陶瓷、玻璃、铁合金、有色、砖瓦等行业；</w:t>
                  </w:r>
                </w:p>
                <w:p w14:paraId="168ABF22">
                  <w:pPr>
                    <w:pStyle w:val="5"/>
                    <w:jc w:val="both"/>
                  </w:pPr>
                  <w:r>
                    <w:t>禁燃区要求</w:t>
                  </w:r>
                  <w:r>
                    <w:rPr>
                      <w:rFonts w:hint="eastAsia"/>
                      <w:lang w:eastAsia="zh-CN"/>
                    </w:rPr>
                    <w:t>：</w:t>
                  </w:r>
                </w:p>
                <w:p w14:paraId="51DF942F">
                  <w:pPr>
                    <w:pStyle w:val="5"/>
                    <w:jc w:val="both"/>
                    <w:rPr>
                      <w:rFonts w:hint="default"/>
                      <w:lang w:val="en-US" w:eastAsia="zh-CN"/>
                    </w:rPr>
                  </w:pPr>
                  <w:r>
                    <w:rPr>
                      <w:rFonts w:hint="eastAsia"/>
                      <w:lang w:val="en-US" w:eastAsia="zh-CN"/>
                    </w:rPr>
                    <w:t>本项目不使用燃料。</w:t>
                  </w:r>
                </w:p>
              </w:tc>
              <w:tc>
                <w:tcPr>
                  <w:tcW w:w="591" w:type="dxa"/>
                  <w:tcBorders>
                    <w:tl2br w:val="nil"/>
                    <w:tr2bl w:val="nil"/>
                  </w:tcBorders>
                  <w:vAlign w:val="center"/>
                </w:tcPr>
                <w:p w14:paraId="18619716">
                  <w:pPr>
                    <w:pStyle w:val="5"/>
                    <w:jc w:val="center"/>
                    <w:rPr>
                      <w:b/>
                      <w:bCs/>
                    </w:rPr>
                  </w:pPr>
                  <w:r>
                    <w:rPr>
                      <w:rFonts w:hint="eastAsia"/>
                      <w:lang w:val="en-US" w:eastAsia="zh-CN"/>
                    </w:rPr>
                    <w:t>符合</w:t>
                  </w:r>
                </w:p>
              </w:tc>
            </w:tr>
          </w:tbl>
          <w:p w14:paraId="09028A83">
            <w:pPr>
              <w:wordWrap/>
              <w:spacing w:line="367" w:lineRule="auto"/>
              <w:ind w:firstLine="480" w:firstLineChars="200"/>
              <w:jc w:val="both"/>
              <w:textAlignment w:val="baseline"/>
              <w:rPr>
                <w:rFonts w:ascii="Times New Roman" w:hAnsi="Times New Roman" w:cs="Times New Roman" w:eastAsiaTheme="minorEastAsia"/>
                <w:szCs w:val="24"/>
              </w:rPr>
            </w:pPr>
            <w:r>
              <w:rPr>
                <w:rFonts w:ascii="Times New Roman" w:hAnsi="Times New Roman" w:cs="Times New Roman" w:eastAsiaTheme="minorEastAsia"/>
                <w:szCs w:val="24"/>
              </w:rPr>
              <w:t>本项目与</w:t>
            </w:r>
            <w:r>
              <w:rPr>
                <w:rFonts w:hint="eastAsia" w:ascii="Times New Roman" w:hAnsi="Times New Roman" w:cs="Times New Roman" w:eastAsiaTheme="minorEastAsia"/>
                <w:szCs w:val="24"/>
                <w:lang w:val="en-US" w:eastAsia="zh-CN"/>
              </w:rPr>
              <w:t>通川区</w:t>
            </w:r>
            <w:r>
              <w:rPr>
                <w:rFonts w:ascii="Times New Roman" w:hAnsi="Times New Roman" w:cs="Times New Roman" w:eastAsiaTheme="minorEastAsia"/>
                <w:szCs w:val="24"/>
              </w:rPr>
              <w:t>普适性管控要求符合性分析见表</w:t>
            </w:r>
            <w:r>
              <w:rPr>
                <w:rFonts w:hint="eastAsia" w:ascii="Times New Roman" w:hAnsi="Times New Roman" w:cs="Times New Roman" w:eastAsiaTheme="minorEastAsia"/>
                <w:szCs w:val="24"/>
              </w:rPr>
              <w:t>1</w:t>
            </w:r>
            <w:r>
              <w:rPr>
                <w:rFonts w:ascii="Times New Roman" w:hAnsi="Times New Roman" w:cs="Times New Roman" w:eastAsiaTheme="minorEastAsia"/>
                <w:szCs w:val="24"/>
              </w:rPr>
              <w:t>-</w:t>
            </w:r>
            <w:r>
              <w:rPr>
                <w:rFonts w:hint="eastAsia" w:cs="Times New Roman" w:eastAsiaTheme="minorEastAsia"/>
                <w:szCs w:val="24"/>
                <w:lang w:val="en-US" w:eastAsia="zh-CN"/>
              </w:rPr>
              <w:t>7</w:t>
            </w:r>
            <w:r>
              <w:rPr>
                <w:rFonts w:ascii="Times New Roman" w:hAnsi="Times New Roman" w:cs="Times New Roman" w:eastAsiaTheme="minorEastAsia"/>
                <w:szCs w:val="24"/>
              </w:rPr>
              <w:t>。</w:t>
            </w:r>
          </w:p>
          <w:p w14:paraId="0E257BA4">
            <w:pPr>
              <w:pStyle w:val="7"/>
              <w:ind w:firstLineChars="0"/>
              <w:jc w:val="center"/>
            </w:pPr>
            <w:r>
              <w:t>表</w:t>
            </w:r>
            <w:r>
              <w:rPr>
                <w:rFonts w:hint="eastAsia"/>
                <w:lang w:val="en-US" w:eastAsia="zh-CN"/>
              </w:rPr>
              <w:t>1-7</w:t>
            </w:r>
            <w:r>
              <w:t xml:space="preserve">  项目与</w:t>
            </w:r>
            <w:r>
              <w:rPr>
                <w:rFonts w:hint="eastAsia" w:ascii="Times New Roman" w:hAnsi="Times New Roman" w:cs="Times New Roman" w:eastAsiaTheme="minorEastAsia"/>
                <w:szCs w:val="24"/>
                <w:lang w:val="en-US" w:eastAsia="zh-CN"/>
              </w:rPr>
              <w:t>通川区</w:t>
            </w:r>
            <w:r>
              <w:rPr>
                <w:rFonts w:ascii="Times New Roman" w:hAnsi="Times New Roman" w:cs="Times New Roman" w:eastAsiaTheme="minorEastAsia"/>
                <w:szCs w:val="24"/>
              </w:rPr>
              <w:t>普适性管控要求符合性分析</w:t>
            </w:r>
          </w:p>
          <w:tbl>
            <w:tblPr>
              <w:tblStyle w:val="30"/>
              <w:tblW w:w="884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399"/>
              <w:gridCol w:w="330"/>
              <w:gridCol w:w="1680"/>
              <w:gridCol w:w="3412"/>
              <w:gridCol w:w="2411"/>
              <w:gridCol w:w="612"/>
            </w:tblGrid>
            <w:tr w14:paraId="1C5DC1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99" w:type="dxa"/>
                  <w:tcBorders>
                    <w:top w:val="single" w:color="000000" w:sz="2" w:space="0"/>
                    <w:left w:val="single" w:color="000000" w:sz="2" w:space="0"/>
                    <w:bottom w:val="single" w:color="000000" w:sz="2" w:space="0"/>
                    <w:right w:val="single" w:color="000000" w:sz="2" w:space="0"/>
                  </w:tcBorders>
                  <w:vAlign w:val="center"/>
                </w:tcPr>
                <w:p w14:paraId="5B2A6281">
                  <w:pPr>
                    <w:pStyle w:val="5"/>
                    <w:jc w:val="center"/>
                    <w:rPr>
                      <w:b/>
                      <w:bCs/>
                    </w:rPr>
                  </w:pPr>
                  <w:r>
                    <w:rPr>
                      <w:b/>
                      <w:bCs/>
                    </w:rPr>
                    <w:t>县区</w:t>
                  </w:r>
                </w:p>
              </w:tc>
              <w:tc>
                <w:tcPr>
                  <w:tcW w:w="330" w:type="dxa"/>
                  <w:tcBorders>
                    <w:top w:val="single" w:color="000000" w:sz="2" w:space="0"/>
                    <w:left w:val="single" w:color="000000" w:sz="2" w:space="0"/>
                    <w:bottom w:val="single" w:color="000000" w:sz="2" w:space="0"/>
                    <w:right w:val="single" w:color="000000" w:sz="2" w:space="0"/>
                  </w:tcBorders>
                  <w:vAlign w:val="center"/>
                </w:tcPr>
                <w:p w14:paraId="26828973">
                  <w:pPr>
                    <w:pStyle w:val="5"/>
                    <w:jc w:val="center"/>
                    <w:rPr>
                      <w:b/>
                      <w:bCs/>
                    </w:rPr>
                  </w:pPr>
                  <w:r>
                    <w:rPr>
                      <w:b/>
                      <w:bCs/>
                    </w:rPr>
                    <w:t>区域名称</w:t>
                  </w:r>
                </w:p>
              </w:tc>
              <w:tc>
                <w:tcPr>
                  <w:tcW w:w="1680" w:type="dxa"/>
                  <w:tcBorders>
                    <w:top w:val="single" w:color="000000" w:sz="2" w:space="0"/>
                    <w:left w:val="single" w:color="000000" w:sz="2" w:space="0"/>
                    <w:bottom w:val="single" w:color="000000" w:sz="2" w:space="0"/>
                    <w:right w:val="single" w:color="000000" w:sz="2" w:space="0"/>
                  </w:tcBorders>
                  <w:vAlign w:val="center"/>
                </w:tcPr>
                <w:p w14:paraId="0363CCDF">
                  <w:pPr>
                    <w:pStyle w:val="5"/>
                    <w:jc w:val="center"/>
                    <w:rPr>
                      <w:b/>
                      <w:bCs/>
                    </w:rPr>
                  </w:pPr>
                  <w:r>
                    <w:rPr>
                      <w:b/>
                      <w:bCs/>
                    </w:rPr>
                    <w:t>管控类别</w:t>
                  </w:r>
                </w:p>
              </w:tc>
              <w:tc>
                <w:tcPr>
                  <w:tcW w:w="3412" w:type="dxa"/>
                  <w:tcBorders>
                    <w:top w:val="single" w:color="000000" w:sz="2" w:space="0"/>
                    <w:left w:val="single" w:color="000000" w:sz="2" w:space="0"/>
                    <w:bottom w:val="single" w:color="000000" w:sz="2" w:space="0"/>
                    <w:right w:val="single" w:color="000000" w:sz="2" w:space="0"/>
                  </w:tcBorders>
                  <w:vAlign w:val="center"/>
                </w:tcPr>
                <w:p w14:paraId="1F2D4C47">
                  <w:pPr>
                    <w:pStyle w:val="5"/>
                    <w:jc w:val="center"/>
                    <w:rPr>
                      <w:b/>
                      <w:bCs/>
                    </w:rPr>
                  </w:pPr>
                  <w:r>
                    <w:rPr>
                      <w:b/>
                      <w:bCs/>
                    </w:rPr>
                    <w:t>单元特性管控要求</w:t>
                  </w:r>
                </w:p>
              </w:tc>
              <w:tc>
                <w:tcPr>
                  <w:tcW w:w="2411" w:type="dxa"/>
                  <w:tcBorders>
                    <w:top w:val="single" w:color="000000" w:sz="2" w:space="0"/>
                    <w:left w:val="single" w:color="000000" w:sz="2" w:space="0"/>
                    <w:bottom w:val="single" w:color="000000" w:sz="2" w:space="0"/>
                    <w:right w:val="single" w:color="000000" w:sz="2" w:space="0"/>
                  </w:tcBorders>
                  <w:vAlign w:val="center"/>
                </w:tcPr>
                <w:p w14:paraId="313985D7">
                  <w:pPr>
                    <w:pStyle w:val="5"/>
                    <w:jc w:val="center"/>
                    <w:rPr>
                      <w:rFonts w:hint="eastAsia"/>
                      <w:b/>
                      <w:bCs/>
                      <w:lang w:val="en-US" w:eastAsia="zh-CN"/>
                    </w:rPr>
                  </w:pPr>
                  <w:r>
                    <w:rPr>
                      <w:rFonts w:hint="eastAsia"/>
                      <w:b/>
                      <w:bCs/>
                      <w:lang w:val="en-US" w:eastAsia="zh-CN"/>
                    </w:rPr>
                    <w:t>本项目情况</w:t>
                  </w:r>
                </w:p>
              </w:tc>
              <w:tc>
                <w:tcPr>
                  <w:tcW w:w="612" w:type="dxa"/>
                  <w:tcBorders>
                    <w:top w:val="single" w:color="000000" w:sz="2" w:space="0"/>
                    <w:left w:val="single" w:color="000000" w:sz="2" w:space="0"/>
                    <w:bottom w:val="single" w:color="000000" w:sz="2" w:space="0"/>
                    <w:right w:val="single" w:color="000000" w:sz="2" w:space="0"/>
                  </w:tcBorders>
                  <w:vAlign w:val="center"/>
                </w:tcPr>
                <w:p w14:paraId="23322DFE">
                  <w:pPr>
                    <w:pStyle w:val="5"/>
                    <w:jc w:val="center"/>
                    <w:rPr>
                      <w:rFonts w:hint="eastAsia"/>
                      <w:b/>
                      <w:bCs/>
                      <w:lang w:val="en-US" w:eastAsia="zh-CN"/>
                    </w:rPr>
                  </w:pPr>
                  <w:r>
                    <w:rPr>
                      <w:rFonts w:hint="eastAsia"/>
                      <w:b/>
                      <w:bCs/>
                      <w:lang w:val="en-US" w:eastAsia="zh-CN"/>
                    </w:rPr>
                    <w:t>符合性</w:t>
                  </w:r>
                </w:p>
              </w:tc>
            </w:tr>
            <w:tr w14:paraId="292814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99" w:type="dxa"/>
                  <w:vMerge w:val="restart"/>
                  <w:tcBorders>
                    <w:top w:val="single" w:color="000000" w:sz="2" w:space="0"/>
                    <w:left w:val="single" w:color="000000" w:sz="2" w:space="0"/>
                    <w:bottom w:val="single" w:color="000000" w:sz="2" w:space="0"/>
                    <w:right w:val="single" w:color="000000" w:sz="2" w:space="0"/>
                  </w:tcBorders>
                  <w:vAlign w:val="center"/>
                </w:tcPr>
                <w:p w14:paraId="742FE59D">
                  <w:pPr>
                    <w:pStyle w:val="5"/>
                    <w:jc w:val="center"/>
                  </w:pPr>
                  <w:r>
                    <w:t>通川区</w:t>
                  </w:r>
                </w:p>
              </w:tc>
              <w:tc>
                <w:tcPr>
                  <w:tcW w:w="330" w:type="dxa"/>
                  <w:vMerge w:val="restart"/>
                  <w:tcBorders>
                    <w:top w:val="single" w:color="000000" w:sz="2" w:space="0"/>
                    <w:left w:val="single" w:color="000000" w:sz="2" w:space="0"/>
                    <w:bottom w:val="single" w:color="000000" w:sz="2" w:space="0"/>
                    <w:right w:val="single" w:color="000000" w:sz="2" w:space="0"/>
                  </w:tcBorders>
                  <w:vAlign w:val="center"/>
                </w:tcPr>
                <w:p w14:paraId="6F18FDD4">
                  <w:pPr>
                    <w:pStyle w:val="5"/>
                    <w:jc w:val="center"/>
                  </w:pPr>
                  <w:r>
                    <w:t>通川区</w:t>
                  </w:r>
                </w:p>
              </w:tc>
              <w:tc>
                <w:tcPr>
                  <w:tcW w:w="1680" w:type="dxa"/>
                  <w:tcBorders>
                    <w:top w:val="single" w:color="000000" w:sz="2" w:space="0"/>
                    <w:left w:val="single" w:color="000000" w:sz="2" w:space="0"/>
                    <w:bottom w:val="single" w:color="000000" w:sz="2" w:space="0"/>
                    <w:right w:val="single" w:color="000000" w:sz="2" w:space="0"/>
                  </w:tcBorders>
                  <w:vAlign w:val="center"/>
                </w:tcPr>
                <w:p w14:paraId="16829E81">
                  <w:pPr>
                    <w:pStyle w:val="5"/>
                    <w:jc w:val="center"/>
                  </w:pPr>
                  <w:r>
                    <w:t>空间布局约束</w:t>
                  </w:r>
                </w:p>
              </w:tc>
              <w:tc>
                <w:tcPr>
                  <w:tcW w:w="3412" w:type="dxa"/>
                  <w:tcBorders>
                    <w:top w:val="single" w:color="000000" w:sz="2" w:space="0"/>
                    <w:left w:val="single" w:color="000000" w:sz="2" w:space="0"/>
                    <w:bottom w:val="single" w:color="000000" w:sz="2" w:space="0"/>
                    <w:right w:val="single" w:color="000000" w:sz="2" w:space="0"/>
                  </w:tcBorders>
                  <w:vAlign w:val="center"/>
                </w:tcPr>
                <w:p w14:paraId="5F6708C7">
                  <w:pPr>
                    <w:pStyle w:val="5"/>
                    <w:jc w:val="both"/>
                  </w:pPr>
                  <w:r>
                    <w:t>优化调整产业布局，以PM2.5和臭氧污染协同控制为重点，全面开展VOCs治理，实施移动源整治，持续推进空气质量精细化管理；</w:t>
                  </w:r>
                </w:p>
              </w:tc>
              <w:tc>
                <w:tcPr>
                  <w:tcW w:w="2411" w:type="dxa"/>
                  <w:tcBorders>
                    <w:top w:val="single" w:color="000000" w:sz="2" w:space="0"/>
                    <w:left w:val="single" w:color="000000" w:sz="2" w:space="0"/>
                    <w:bottom w:val="single" w:color="000000" w:sz="2" w:space="0"/>
                    <w:right w:val="single" w:color="000000" w:sz="2" w:space="0"/>
                  </w:tcBorders>
                  <w:vAlign w:val="center"/>
                </w:tcPr>
                <w:p w14:paraId="63664F7D">
                  <w:pPr>
                    <w:pStyle w:val="5"/>
                    <w:jc w:val="both"/>
                  </w:pPr>
                  <w:r>
                    <w:rPr>
                      <w:rFonts w:hint="eastAsia"/>
                    </w:rPr>
                    <w:t>本项目</w:t>
                  </w:r>
                  <w:r>
                    <w:rPr>
                      <w:rFonts w:hint="eastAsia"/>
                      <w:lang w:val="en-US" w:eastAsia="zh-CN"/>
                    </w:rPr>
                    <w:t>使用低VOCs胶粘剂，排放少量VOC</w:t>
                  </w:r>
                  <w:r>
                    <w:rPr>
                      <w:rFonts w:hint="eastAsia"/>
                      <w:vertAlign w:val="subscript"/>
                      <w:lang w:val="en-US" w:eastAsia="zh-CN"/>
                    </w:rPr>
                    <w:t>S</w:t>
                  </w:r>
                  <w:r>
                    <w:rPr>
                      <w:rFonts w:hint="eastAsia"/>
                      <w:lang w:val="en-US" w:eastAsia="zh-CN"/>
                    </w:rPr>
                    <w:t>，经密闭管道收集、二级活性炭吸附装置处理后，由25m高排气筒达标排放。</w:t>
                  </w:r>
                </w:p>
              </w:tc>
              <w:tc>
                <w:tcPr>
                  <w:tcW w:w="612" w:type="dxa"/>
                  <w:tcBorders>
                    <w:top w:val="single" w:color="000000" w:sz="2" w:space="0"/>
                    <w:left w:val="single" w:color="000000" w:sz="2" w:space="0"/>
                    <w:bottom w:val="single" w:color="000000" w:sz="2" w:space="0"/>
                    <w:right w:val="single" w:color="000000" w:sz="2" w:space="0"/>
                  </w:tcBorders>
                  <w:vAlign w:val="center"/>
                </w:tcPr>
                <w:p w14:paraId="4F12D08B">
                  <w:pPr>
                    <w:pStyle w:val="5"/>
                    <w:jc w:val="center"/>
                    <w:rPr>
                      <w:rFonts w:hint="eastAsia"/>
                      <w:lang w:val="en-US" w:eastAsia="zh-CN"/>
                    </w:rPr>
                  </w:pPr>
                  <w:r>
                    <w:rPr>
                      <w:rFonts w:hint="eastAsia"/>
                      <w:lang w:val="en-US" w:eastAsia="zh-CN"/>
                    </w:rPr>
                    <w:t>符合</w:t>
                  </w:r>
                </w:p>
              </w:tc>
            </w:tr>
            <w:tr w14:paraId="72971F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99" w:type="dxa"/>
                  <w:vMerge w:val="continue"/>
                  <w:tcBorders>
                    <w:top w:val="single" w:color="000000" w:sz="2" w:space="0"/>
                    <w:left w:val="single" w:color="000000" w:sz="2" w:space="0"/>
                    <w:bottom w:val="single" w:color="000000" w:sz="2" w:space="0"/>
                    <w:right w:val="single" w:color="000000" w:sz="2" w:space="0"/>
                  </w:tcBorders>
                  <w:vAlign w:val="center"/>
                </w:tcPr>
                <w:p w14:paraId="297E8F0F">
                  <w:pPr>
                    <w:pStyle w:val="5"/>
                    <w:jc w:val="center"/>
                  </w:pPr>
                </w:p>
              </w:tc>
              <w:tc>
                <w:tcPr>
                  <w:tcW w:w="330" w:type="dxa"/>
                  <w:vMerge w:val="continue"/>
                  <w:tcBorders>
                    <w:top w:val="single" w:color="000000" w:sz="2" w:space="0"/>
                    <w:left w:val="single" w:color="000000" w:sz="2" w:space="0"/>
                    <w:bottom w:val="single" w:color="000000" w:sz="2" w:space="0"/>
                    <w:right w:val="single" w:color="000000" w:sz="2" w:space="0"/>
                  </w:tcBorders>
                  <w:vAlign w:val="center"/>
                </w:tcPr>
                <w:p w14:paraId="046A66C5">
                  <w:pPr>
                    <w:pStyle w:val="5"/>
                    <w:jc w:val="center"/>
                  </w:pPr>
                </w:p>
              </w:tc>
              <w:tc>
                <w:tcPr>
                  <w:tcW w:w="1680" w:type="dxa"/>
                  <w:tcBorders>
                    <w:top w:val="single" w:color="000000" w:sz="2" w:space="0"/>
                    <w:left w:val="single" w:color="000000" w:sz="2" w:space="0"/>
                    <w:bottom w:val="single" w:color="000000" w:sz="2" w:space="0"/>
                    <w:right w:val="single" w:color="000000" w:sz="2" w:space="0"/>
                  </w:tcBorders>
                  <w:vAlign w:val="center"/>
                </w:tcPr>
                <w:p w14:paraId="448D5342">
                  <w:pPr>
                    <w:pStyle w:val="5"/>
                    <w:jc w:val="center"/>
                  </w:pPr>
                  <w:r>
                    <w:t>污染物排放管控</w:t>
                  </w:r>
                </w:p>
              </w:tc>
              <w:tc>
                <w:tcPr>
                  <w:tcW w:w="3412" w:type="dxa"/>
                  <w:tcBorders>
                    <w:top w:val="single" w:color="000000" w:sz="2" w:space="0"/>
                    <w:left w:val="single" w:color="000000" w:sz="2" w:space="0"/>
                    <w:bottom w:val="single" w:color="000000" w:sz="2" w:space="0"/>
                    <w:right w:val="single" w:color="000000" w:sz="2" w:space="0"/>
                  </w:tcBorders>
                  <w:vAlign w:val="center"/>
                </w:tcPr>
                <w:p w14:paraId="3E12E188">
                  <w:pPr>
                    <w:pStyle w:val="5"/>
                    <w:jc w:val="both"/>
                  </w:pPr>
                  <w:r>
                    <w:t>调整农作物种植结构，加强农业氨污染控制，大力发展节水农业；加强建筑工程日常监管，对重点环节采取遮盖、洒水、封闭等措施控制扬尘排放。提高道路硬化率，减少道路起尘源。推动非道路移动机械达标排放示范企业建设；建立健全农业节水体系，推广使用节水灌溉技术，探索乡镇、农村生活污染水资源化还田利用。大力整治沿河畜禽养殖污染整治，实现畜禽粪污减量化排放、无害化处理和资源化利用。</w:t>
                  </w:r>
                </w:p>
              </w:tc>
              <w:tc>
                <w:tcPr>
                  <w:tcW w:w="2411" w:type="dxa"/>
                  <w:tcBorders>
                    <w:top w:val="single" w:color="000000" w:sz="2" w:space="0"/>
                    <w:left w:val="single" w:color="000000" w:sz="2" w:space="0"/>
                    <w:bottom w:val="single" w:color="000000" w:sz="2" w:space="0"/>
                    <w:right w:val="single" w:color="000000" w:sz="2" w:space="0"/>
                  </w:tcBorders>
                  <w:vAlign w:val="center"/>
                </w:tcPr>
                <w:p w14:paraId="3EAD7500">
                  <w:pPr>
                    <w:pStyle w:val="5"/>
                    <w:jc w:val="both"/>
                    <w:rPr>
                      <w:rFonts w:hint="eastAsia"/>
                      <w:lang w:val="en-US" w:eastAsia="zh-CN"/>
                    </w:rPr>
                  </w:pPr>
                  <w:r>
                    <w:rPr>
                      <w:rFonts w:hint="eastAsia"/>
                      <w:lang w:val="en-US" w:eastAsia="zh-CN"/>
                    </w:rPr>
                    <w:t>不涉及</w:t>
                  </w:r>
                  <w:r>
                    <w:t>农作物种植</w:t>
                  </w:r>
                  <w:r>
                    <w:rPr>
                      <w:rFonts w:hint="eastAsia"/>
                      <w:lang w:eastAsia="zh-CN"/>
                    </w:rPr>
                    <w:t>、</w:t>
                  </w:r>
                  <w:r>
                    <w:t>灌溉</w:t>
                  </w:r>
                  <w:r>
                    <w:rPr>
                      <w:rFonts w:hint="eastAsia"/>
                      <w:lang w:val="en-US" w:eastAsia="zh-CN"/>
                    </w:rPr>
                    <w:t>等。</w:t>
                  </w:r>
                </w:p>
              </w:tc>
              <w:tc>
                <w:tcPr>
                  <w:tcW w:w="612" w:type="dxa"/>
                  <w:tcBorders>
                    <w:top w:val="single" w:color="000000" w:sz="2" w:space="0"/>
                    <w:left w:val="single" w:color="000000" w:sz="2" w:space="0"/>
                    <w:bottom w:val="single" w:color="000000" w:sz="2" w:space="0"/>
                    <w:right w:val="single" w:color="000000" w:sz="2" w:space="0"/>
                  </w:tcBorders>
                  <w:vAlign w:val="center"/>
                </w:tcPr>
                <w:p w14:paraId="47EC8726">
                  <w:pPr>
                    <w:pStyle w:val="5"/>
                    <w:jc w:val="center"/>
                    <w:rPr>
                      <w:rFonts w:hint="eastAsia"/>
                      <w:lang w:val="en-US" w:eastAsia="zh-CN"/>
                    </w:rPr>
                  </w:pPr>
                  <w:r>
                    <w:rPr>
                      <w:rFonts w:hint="eastAsia"/>
                      <w:lang w:val="en-US" w:eastAsia="zh-CN"/>
                    </w:rPr>
                    <w:t>符合</w:t>
                  </w:r>
                </w:p>
              </w:tc>
            </w:tr>
            <w:tr w14:paraId="6CF5B7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99" w:type="dxa"/>
                  <w:vMerge w:val="continue"/>
                  <w:tcBorders>
                    <w:top w:val="single" w:color="000000" w:sz="2" w:space="0"/>
                    <w:left w:val="single" w:color="000000" w:sz="2" w:space="0"/>
                    <w:bottom w:val="single" w:color="000000" w:sz="2" w:space="0"/>
                    <w:right w:val="single" w:color="000000" w:sz="2" w:space="0"/>
                  </w:tcBorders>
                  <w:vAlign w:val="center"/>
                </w:tcPr>
                <w:p w14:paraId="31CDF087">
                  <w:pPr>
                    <w:pStyle w:val="5"/>
                    <w:jc w:val="center"/>
                  </w:pPr>
                </w:p>
              </w:tc>
              <w:tc>
                <w:tcPr>
                  <w:tcW w:w="330" w:type="dxa"/>
                  <w:vMerge w:val="continue"/>
                  <w:tcBorders>
                    <w:top w:val="single" w:color="000000" w:sz="2" w:space="0"/>
                    <w:left w:val="single" w:color="000000" w:sz="2" w:space="0"/>
                    <w:bottom w:val="single" w:color="000000" w:sz="2" w:space="0"/>
                    <w:right w:val="single" w:color="000000" w:sz="2" w:space="0"/>
                  </w:tcBorders>
                  <w:vAlign w:val="center"/>
                </w:tcPr>
                <w:p w14:paraId="19DA9787">
                  <w:pPr>
                    <w:pStyle w:val="5"/>
                    <w:jc w:val="center"/>
                  </w:pPr>
                </w:p>
              </w:tc>
              <w:tc>
                <w:tcPr>
                  <w:tcW w:w="1680" w:type="dxa"/>
                  <w:tcBorders>
                    <w:top w:val="single" w:color="000000" w:sz="2" w:space="0"/>
                    <w:left w:val="single" w:color="000000" w:sz="2" w:space="0"/>
                    <w:bottom w:val="single" w:color="000000" w:sz="2" w:space="0"/>
                    <w:right w:val="single" w:color="000000" w:sz="2" w:space="0"/>
                  </w:tcBorders>
                  <w:vAlign w:val="center"/>
                </w:tcPr>
                <w:p w14:paraId="16E9A8E2">
                  <w:pPr>
                    <w:pStyle w:val="5"/>
                    <w:jc w:val="center"/>
                  </w:pPr>
                  <w:r>
                    <w:t>环境风险防控</w:t>
                  </w:r>
                </w:p>
              </w:tc>
              <w:tc>
                <w:tcPr>
                  <w:tcW w:w="3412" w:type="dxa"/>
                  <w:tcBorders>
                    <w:top w:val="single" w:color="000000" w:sz="2" w:space="0"/>
                    <w:left w:val="single" w:color="000000" w:sz="2" w:space="0"/>
                    <w:bottom w:val="single" w:color="000000" w:sz="2" w:space="0"/>
                    <w:right w:val="single" w:color="000000" w:sz="2" w:space="0"/>
                  </w:tcBorders>
                  <w:vAlign w:val="center"/>
                </w:tcPr>
                <w:p w14:paraId="7004A6B1">
                  <w:pPr>
                    <w:pStyle w:val="5"/>
                    <w:jc w:val="center"/>
                    <w:rPr>
                      <w:rFonts w:hint="eastAsia"/>
                      <w:lang w:val="en-US" w:eastAsia="zh-CN"/>
                    </w:rPr>
                  </w:pPr>
                  <w:r>
                    <w:rPr>
                      <w:rFonts w:hint="eastAsia"/>
                      <w:lang w:val="en-US" w:eastAsia="zh-CN"/>
                    </w:rPr>
                    <w:t>/</w:t>
                  </w:r>
                </w:p>
              </w:tc>
              <w:tc>
                <w:tcPr>
                  <w:tcW w:w="2411" w:type="dxa"/>
                  <w:tcBorders>
                    <w:top w:val="single" w:color="000000" w:sz="2" w:space="0"/>
                    <w:left w:val="single" w:color="000000" w:sz="2" w:space="0"/>
                    <w:bottom w:val="single" w:color="000000" w:sz="2" w:space="0"/>
                    <w:right w:val="single" w:color="000000" w:sz="2" w:space="0"/>
                  </w:tcBorders>
                  <w:vAlign w:val="center"/>
                </w:tcPr>
                <w:p w14:paraId="3184D4BC">
                  <w:pPr>
                    <w:pStyle w:val="5"/>
                    <w:jc w:val="center"/>
                    <w:rPr>
                      <w:rFonts w:hint="eastAsia"/>
                      <w:lang w:val="en-US" w:eastAsia="zh-CN"/>
                    </w:rPr>
                  </w:pPr>
                  <w:r>
                    <w:rPr>
                      <w:rFonts w:hint="eastAsia"/>
                      <w:lang w:val="en-US" w:eastAsia="zh-CN"/>
                    </w:rPr>
                    <w:t>/</w:t>
                  </w:r>
                </w:p>
              </w:tc>
              <w:tc>
                <w:tcPr>
                  <w:tcW w:w="612" w:type="dxa"/>
                  <w:tcBorders>
                    <w:top w:val="single" w:color="000000" w:sz="2" w:space="0"/>
                    <w:left w:val="single" w:color="000000" w:sz="2" w:space="0"/>
                    <w:bottom w:val="single" w:color="000000" w:sz="2" w:space="0"/>
                    <w:right w:val="single" w:color="000000" w:sz="2" w:space="0"/>
                  </w:tcBorders>
                  <w:vAlign w:val="center"/>
                </w:tcPr>
                <w:p w14:paraId="0D11AC19">
                  <w:pPr>
                    <w:pStyle w:val="5"/>
                    <w:jc w:val="center"/>
                    <w:rPr>
                      <w:rFonts w:hint="eastAsia"/>
                      <w:lang w:val="en-US" w:eastAsia="zh-CN"/>
                    </w:rPr>
                  </w:pPr>
                  <w:r>
                    <w:rPr>
                      <w:rFonts w:hint="eastAsia"/>
                      <w:lang w:val="en-US" w:eastAsia="zh-CN"/>
                    </w:rPr>
                    <w:t>/</w:t>
                  </w:r>
                </w:p>
              </w:tc>
            </w:tr>
            <w:tr w14:paraId="29DBFB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99" w:type="dxa"/>
                  <w:vMerge w:val="continue"/>
                  <w:tcBorders>
                    <w:top w:val="single" w:color="000000" w:sz="2" w:space="0"/>
                    <w:left w:val="single" w:color="000000" w:sz="2" w:space="0"/>
                    <w:bottom w:val="single" w:color="000000" w:sz="2" w:space="0"/>
                    <w:right w:val="single" w:color="000000" w:sz="2" w:space="0"/>
                  </w:tcBorders>
                  <w:vAlign w:val="center"/>
                </w:tcPr>
                <w:p w14:paraId="5B205F49">
                  <w:pPr>
                    <w:pStyle w:val="5"/>
                    <w:jc w:val="center"/>
                  </w:pPr>
                </w:p>
              </w:tc>
              <w:tc>
                <w:tcPr>
                  <w:tcW w:w="330" w:type="dxa"/>
                  <w:vMerge w:val="continue"/>
                  <w:tcBorders>
                    <w:top w:val="single" w:color="000000" w:sz="2" w:space="0"/>
                    <w:left w:val="single" w:color="000000" w:sz="2" w:space="0"/>
                    <w:bottom w:val="single" w:color="000000" w:sz="2" w:space="0"/>
                    <w:right w:val="single" w:color="000000" w:sz="2" w:space="0"/>
                  </w:tcBorders>
                  <w:vAlign w:val="center"/>
                </w:tcPr>
                <w:p w14:paraId="0329D65C">
                  <w:pPr>
                    <w:pStyle w:val="5"/>
                    <w:jc w:val="center"/>
                  </w:pPr>
                </w:p>
              </w:tc>
              <w:tc>
                <w:tcPr>
                  <w:tcW w:w="1680" w:type="dxa"/>
                  <w:tcBorders>
                    <w:top w:val="single" w:color="000000" w:sz="2" w:space="0"/>
                    <w:left w:val="single" w:color="000000" w:sz="2" w:space="0"/>
                    <w:bottom w:val="single" w:color="000000" w:sz="2" w:space="0"/>
                    <w:right w:val="single" w:color="000000" w:sz="2" w:space="0"/>
                  </w:tcBorders>
                  <w:vAlign w:val="center"/>
                </w:tcPr>
                <w:p w14:paraId="73B4B70E">
                  <w:pPr>
                    <w:pStyle w:val="5"/>
                    <w:jc w:val="center"/>
                  </w:pPr>
                  <w:r>
                    <w:t>资源开发利用效率要求</w:t>
                  </w:r>
                </w:p>
              </w:tc>
              <w:tc>
                <w:tcPr>
                  <w:tcW w:w="3412" w:type="dxa"/>
                  <w:tcBorders>
                    <w:top w:val="single" w:color="000000" w:sz="2" w:space="0"/>
                    <w:left w:val="single" w:color="000000" w:sz="2" w:space="0"/>
                    <w:bottom w:val="single" w:color="000000" w:sz="2" w:space="0"/>
                    <w:right w:val="single" w:color="000000" w:sz="2" w:space="0"/>
                  </w:tcBorders>
                  <w:vAlign w:val="center"/>
                </w:tcPr>
                <w:p w14:paraId="55913A7D">
                  <w:pPr>
                    <w:pStyle w:val="5"/>
                    <w:jc w:val="center"/>
                    <w:rPr>
                      <w:rFonts w:hint="eastAsia"/>
                      <w:lang w:val="en-US" w:eastAsia="zh-CN"/>
                    </w:rPr>
                  </w:pPr>
                  <w:r>
                    <w:rPr>
                      <w:rFonts w:hint="eastAsia"/>
                      <w:lang w:val="en-US" w:eastAsia="zh-CN"/>
                    </w:rPr>
                    <w:t>/</w:t>
                  </w:r>
                </w:p>
              </w:tc>
              <w:tc>
                <w:tcPr>
                  <w:tcW w:w="2411" w:type="dxa"/>
                  <w:tcBorders>
                    <w:top w:val="single" w:color="000000" w:sz="2" w:space="0"/>
                    <w:left w:val="single" w:color="000000" w:sz="2" w:space="0"/>
                    <w:bottom w:val="single" w:color="000000" w:sz="2" w:space="0"/>
                    <w:right w:val="single" w:color="000000" w:sz="2" w:space="0"/>
                  </w:tcBorders>
                  <w:vAlign w:val="center"/>
                </w:tcPr>
                <w:p w14:paraId="2057086A">
                  <w:pPr>
                    <w:pStyle w:val="5"/>
                    <w:jc w:val="center"/>
                    <w:rPr>
                      <w:rFonts w:hint="eastAsia"/>
                      <w:lang w:val="en-US" w:eastAsia="zh-CN"/>
                    </w:rPr>
                  </w:pPr>
                  <w:r>
                    <w:rPr>
                      <w:rFonts w:hint="eastAsia"/>
                      <w:lang w:val="en-US" w:eastAsia="zh-CN"/>
                    </w:rPr>
                    <w:t>/</w:t>
                  </w:r>
                </w:p>
              </w:tc>
              <w:tc>
                <w:tcPr>
                  <w:tcW w:w="612" w:type="dxa"/>
                  <w:tcBorders>
                    <w:top w:val="single" w:color="000000" w:sz="2" w:space="0"/>
                    <w:left w:val="single" w:color="000000" w:sz="2" w:space="0"/>
                    <w:bottom w:val="single" w:color="000000" w:sz="2" w:space="0"/>
                    <w:right w:val="single" w:color="000000" w:sz="2" w:space="0"/>
                  </w:tcBorders>
                  <w:vAlign w:val="center"/>
                </w:tcPr>
                <w:p w14:paraId="28368EA2">
                  <w:pPr>
                    <w:pStyle w:val="5"/>
                    <w:jc w:val="center"/>
                    <w:rPr>
                      <w:rFonts w:hint="eastAsia"/>
                      <w:lang w:val="en-US" w:eastAsia="zh-CN"/>
                    </w:rPr>
                  </w:pPr>
                  <w:r>
                    <w:rPr>
                      <w:rFonts w:hint="eastAsia"/>
                      <w:lang w:val="en-US" w:eastAsia="zh-CN"/>
                    </w:rPr>
                    <w:t>/</w:t>
                  </w:r>
                </w:p>
              </w:tc>
            </w:tr>
          </w:tbl>
          <w:p w14:paraId="74DADC7C">
            <w:pPr>
              <w:wordWrap/>
              <w:spacing w:line="367" w:lineRule="auto"/>
              <w:ind w:firstLine="480" w:firstLineChars="200"/>
              <w:jc w:val="both"/>
              <w:textAlignment w:val="baseline"/>
              <w:rPr>
                <w:rFonts w:ascii="Times New Roman" w:hAnsi="Times New Roman" w:cs="Times New Roman" w:eastAsiaTheme="minorEastAsia"/>
                <w:szCs w:val="24"/>
              </w:rPr>
            </w:pPr>
            <w:r>
              <w:rPr>
                <w:rFonts w:ascii="Times New Roman" w:hAnsi="Times New Roman" w:cs="Times New Roman" w:eastAsiaTheme="minorEastAsia"/>
                <w:szCs w:val="24"/>
              </w:rPr>
              <w:t>本项目与环境管控单元准入清单符合性分析见表</w:t>
            </w:r>
            <w:r>
              <w:rPr>
                <w:rFonts w:hint="eastAsia" w:ascii="Times New Roman" w:hAnsi="Times New Roman" w:cs="Times New Roman" w:eastAsiaTheme="minorEastAsia"/>
                <w:szCs w:val="24"/>
              </w:rPr>
              <w:t>1</w:t>
            </w:r>
            <w:r>
              <w:rPr>
                <w:rFonts w:ascii="Times New Roman" w:hAnsi="Times New Roman" w:cs="Times New Roman" w:eastAsiaTheme="minorEastAsia"/>
                <w:szCs w:val="24"/>
              </w:rPr>
              <w:t>-</w:t>
            </w:r>
            <w:r>
              <w:rPr>
                <w:rFonts w:hint="eastAsia" w:cs="Times New Roman" w:eastAsiaTheme="minorEastAsia"/>
                <w:szCs w:val="24"/>
                <w:lang w:val="en-US" w:eastAsia="zh-CN"/>
              </w:rPr>
              <w:t>8</w:t>
            </w:r>
            <w:r>
              <w:rPr>
                <w:rFonts w:ascii="Times New Roman" w:hAnsi="Times New Roman" w:cs="Times New Roman" w:eastAsiaTheme="minorEastAsia"/>
                <w:szCs w:val="24"/>
              </w:rPr>
              <w:t>。</w:t>
            </w:r>
          </w:p>
          <w:p w14:paraId="5CD3AB3F">
            <w:pPr>
              <w:pStyle w:val="7"/>
              <w:ind w:firstLineChars="0"/>
              <w:jc w:val="center"/>
            </w:pPr>
            <w:r>
              <w:t>表</w:t>
            </w:r>
            <w:r>
              <w:rPr>
                <w:rFonts w:hint="eastAsia"/>
                <w:lang w:val="en-US" w:eastAsia="zh-CN"/>
              </w:rPr>
              <w:t>1-8</w:t>
            </w:r>
            <w:r>
              <w:t xml:space="preserve">  </w:t>
            </w:r>
            <w:r>
              <w:rPr>
                <w:rFonts w:ascii="Times New Roman" w:hAnsi="Times New Roman" w:cs="Times New Roman" w:eastAsiaTheme="minorEastAsia"/>
                <w:szCs w:val="24"/>
              </w:rPr>
              <w:t>项目与环境管控单元准入清单符合性分析</w:t>
            </w:r>
          </w:p>
          <w:tbl>
            <w:tblPr>
              <w:tblStyle w:val="30"/>
              <w:tblW w:w="8844"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422"/>
              <w:gridCol w:w="626"/>
              <w:gridCol w:w="538"/>
              <w:gridCol w:w="444"/>
              <w:gridCol w:w="478"/>
              <w:gridCol w:w="3313"/>
              <w:gridCol w:w="2303"/>
              <w:gridCol w:w="720"/>
            </w:tblGrid>
            <w:tr w14:paraId="284B5CA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422" w:type="dxa"/>
                  <w:tcBorders>
                    <w:tl2br w:val="nil"/>
                    <w:tr2bl w:val="nil"/>
                  </w:tcBorders>
                  <w:vAlign w:val="center"/>
                </w:tcPr>
                <w:p w14:paraId="6BB9376B">
                  <w:pPr>
                    <w:pStyle w:val="5"/>
                    <w:jc w:val="center"/>
                    <w:rPr>
                      <w:b/>
                      <w:bCs/>
                    </w:rPr>
                  </w:pPr>
                  <w:r>
                    <w:rPr>
                      <w:b/>
                      <w:bCs/>
                    </w:rPr>
                    <w:t>环境管控单元编码</w:t>
                  </w:r>
                </w:p>
              </w:tc>
              <w:tc>
                <w:tcPr>
                  <w:tcW w:w="626" w:type="dxa"/>
                  <w:tcBorders>
                    <w:tl2br w:val="nil"/>
                    <w:tr2bl w:val="nil"/>
                  </w:tcBorders>
                  <w:vAlign w:val="center"/>
                </w:tcPr>
                <w:p w14:paraId="7D165D62">
                  <w:pPr>
                    <w:pStyle w:val="5"/>
                    <w:jc w:val="center"/>
                    <w:rPr>
                      <w:b/>
                      <w:bCs/>
                    </w:rPr>
                  </w:pPr>
                  <w:r>
                    <w:rPr>
                      <w:b/>
                      <w:bCs/>
                    </w:rPr>
                    <w:t>环境管控单元名称</w:t>
                  </w:r>
                </w:p>
              </w:tc>
              <w:tc>
                <w:tcPr>
                  <w:tcW w:w="538" w:type="dxa"/>
                  <w:tcBorders>
                    <w:tl2br w:val="nil"/>
                    <w:tr2bl w:val="nil"/>
                  </w:tcBorders>
                  <w:vAlign w:val="center"/>
                </w:tcPr>
                <w:p w14:paraId="671F84EE">
                  <w:pPr>
                    <w:pStyle w:val="5"/>
                    <w:jc w:val="center"/>
                    <w:rPr>
                      <w:b/>
                      <w:bCs/>
                    </w:rPr>
                  </w:pPr>
                  <w:r>
                    <w:rPr>
                      <w:b/>
                      <w:bCs/>
                    </w:rPr>
                    <w:t>管控单元类型</w:t>
                  </w:r>
                </w:p>
              </w:tc>
              <w:tc>
                <w:tcPr>
                  <w:tcW w:w="444" w:type="dxa"/>
                  <w:tcBorders>
                    <w:tl2br w:val="nil"/>
                    <w:tr2bl w:val="nil"/>
                  </w:tcBorders>
                  <w:vAlign w:val="center"/>
                </w:tcPr>
                <w:p w14:paraId="2342A921">
                  <w:pPr>
                    <w:pStyle w:val="5"/>
                    <w:jc w:val="center"/>
                    <w:rPr>
                      <w:b/>
                      <w:bCs/>
                    </w:rPr>
                  </w:pPr>
                  <w:r>
                    <w:rPr>
                      <w:b/>
                      <w:bCs/>
                    </w:rPr>
                    <w:t>所属县区</w:t>
                  </w:r>
                </w:p>
              </w:tc>
              <w:tc>
                <w:tcPr>
                  <w:tcW w:w="478" w:type="dxa"/>
                  <w:tcBorders>
                    <w:tl2br w:val="nil"/>
                    <w:tr2bl w:val="nil"/>
                  </w:tcBorders>
                  <w:vAlign w:val="center"/>
                </w:tcPr>
                <w:p w14:paraId="5910FD8D">
                  <w:pPr>
                    <w:pStyle w:val="5"/>
                    <w:jc w:val="center"/>
                    <w:rPr>
                      <w:b/>
                      <w:bCs/>
                    </w:rPr>
                  </w:pPr>
                  <w:r>
                    <w:rPr>
                      <w:b/>
                      <w:bCs/>
                    </w:rPr>
                    <w:t>管控类别</w:t>
                  </w:r>
                </w:p>
              </w:tc>
              <w:tc>
                <w:tcPr>
                  <w:tcW w:w="3313" w:type="dxa"/>
                  <w:tcBorders>
                    <w:tl2br w:val="nil"/>
                    <w:tr2bl w:val="nil"/>
                  </w:tcBorders>
                  <w:vAlign w:val="center"/>
                </w:tcPr>
                <w:p w14:paraId="391DAD96">
                  <w:pPr>
                    <w:pStyle w:val="5"/>
                    <w:jc w:val="center"/>
                    <w:rPr>
                      <w:b/>
                      <w:bCs/>
                    </w:rPr>
                  </w:pPr>
                  <w:r>
                    <w:rPr>
                      <w:b/>
                      <w:bCs/>
                    </w:rPr>
                    <w:t>单元特性管控要求</w:t>
                  </w:r>
                </w:p>
              </w:tc>
              <w:tc>
                <w:tcPr>
                  <w:tcW w:w="2303" w:type="dxa"/>
                  <w:tcBorders>
                    <w:tl2br w:val="nil"/>
                    <w:tr2bl w:val="nil"/>
                  </w:tcBorders>
                  <w:shd w:val="clear" w:color="auto" w:fill="auto"/>
                  <w:vAlign w:val="center"/>
                </w:tcPr>
                <w:p w14:paraId="62C77E3B">
                  <w:pPr>
                    <w:pStyle w:val="5"/>
                    <w:ind w:firstLineChars="0"/>
                    <w:jc w:val="center"/>
                    <w:rPr>
                      <w:rFonts w:hint="eastAsia"/>
                      <w:b/>
                      <w:bCs/>
                      <w:lang w:val="en-US" w:eastAsia="zh-CN"/>
                    </w:rPr>
                  </w:pPr>
                  <w:r>
                    <w:rPr>
                      <w:rFonts w:hint="eastAsia"/>
                      <w:b/>
                      <w:bCs/>
                      <w:lang w:val="en-US" w:eastAsia="zh-CN"/>
                    </w:rPr>
                    <w:t>本项目情况</w:t>
                  </w:r>
                </w:p>
              </w:tc>
              <w:tc>
                <w:tcPr>
                  <w:tcW w:w="720" w:type="dxa"/>
                  <w:tcBorders>
                    <w:tl2br w:val="nil"/>
                    <w:tr2bl w:val="nil"/>
                  </w:tcBorders>
                  <w:shd w:val="clear" w:color="auto" w:fill="auto"/>
                  <w:vAlign w:val="center"/>
                </w:tcPr>
                <w:p w14:paraId="2362373A">
                  <w:pPr>
                    <w:pStyle w:val="5"/>
                    <w:ind w:firstLineChars="0"/>
                    <w:jc w:val="center"/>
                    <w:rPr>
                      <w:rFonts w:hint="eastAsia"/>
                      <w:b/>
                      <w:bCs/>
                      <w:lang w:val="en-US" w:eastAsia="zh-CN"/>
                    </w:rPr>
                  </w:pPr>
                  <w:r>
                    <w:rPr>
                      <w:rFonts w:hint="eastAsia"/>
                      <w:b/>
                      <w:bCs/>
                      <w:lang w:val="en-US" w:eastAsia="zh-CN"/>
                    </w:rPr>
                    <w:t>符合性</w:t>
                  </w:r>
                </w:p>
              </w:tc>
            </w:tr>
            <w:tr w14:paraId="163C4E5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422" w:type="dxa"/>
                  <w:vMerge w:val="restart"/>
                  <w:tcBorders>
                    <w:tl2br w:val="nil"/>
                    <w:tr2bl w:val="nil"/>
                  </w:tcBorders>
                  <w:vAlign w:val="center"/>
                </w:tcPr>
                <w:p w14:paraId="405B6D5F">
                  <w:pPr>
                    <w:pStyle w:val="5"/>
                    <w:jc w:val="center"/>
                  </w:pPr>
                  <w:r>
                    <w:t>ZH51170220002</w:t>
                  </w:r>
                </w:p>
              </w:tc>
              <w:tc>
                <w:tcPr>
                  <w:tcW w:w="626" w:type="dxa"/>
                  <w:vMerge w:val="restart"/>
                  <w:tcBorders>
                    <w:tl2br w:val="nil"/>
                    <w:tr2bl w:val="nil"/>
                  </w:tcBorders>
                  <w:vAlign w:val="center"/>
                </w:tcPr>
                <w:p w14:paraId="67F38937">
                  <w:pPr>
                    <w:pStyle w:val="5"/>
                    <w:jc w:val="center"/>
                  </w:pPr>
                  <w:r>
                    <w:t>达州市农产品加工集中区</w:t>
                  </w:r>
                </w:p>
              </w:tc>
              <w:tc>
                <w:tcPr>
                  <w:tcW w:w="538" w:type="dxa"/>
                  <w:vMerge w:val="restart"/>
                  <w:tcBorders>
                    <w:tl2br w:val="nil"/>
                    <w:tr2bl w:val="nil"/>
                  </w:tcBorders>
                  <w:vAlign w:val="center"/>
                </w:tcPr>
                <w:p w14:paraId="62BA9A7E">
                  <w:pPr>
                    <w:pStyle w:val="5"/>
                    <w:jc w:val="center"/>
                  </w:pPr>
                  <w:r>
                    <w:t>重点管控单元</w:t>
                  </w:r>
                </w:p>
              </w:tc>
              <w:tc>
                <w:tcPr>
                  <w:tcW w:w="444" w:type="dxa"/>
                  <w:vMerge w:val="restart"/>
                  <w:tcBorders>
                    <w:tl2br w:val="nil"/>
                    <w:tr2bl w:val="nil"/>
                  </w:tcBorders>
                  <w:vAlign w:val="center"/>
                </w:tcPr>
                <w:p w14:paraId="44FB42F7">
                  <w:pPr>
                    <w:pStyle w:val="5"/>
                    <w:jc w:val="center"/>
                  </w:pPr>
                  <w:r>
                    <w:t>达州市通川区</w:t>
                  </w:r>
                </w:p>
              </w:tc>
              <w:tc>
                <w:tcPr>
                  <w:tcW w:w="478" w:type="dxa"/>
                  <w:tcBorders>
                    <w:tl2br w:val="nil"/>
                    <w:tr2bl w:val="nil"/>
                  </w:tcBorders>
                  <w:vAlign w:val="center"/>
                </w:tcPr>
                <w:p w14:paraId="22E63790">
                  <w:pPr>
                    <w:pStyle w:val="5"/>
                    <w:jc w:val="center"/>
                  </w:pPr>
                  <w:r>
                    <w:t>空间布局约束</w:t>
                  </w:r>
                </w:p>
              </w:tc>
              <w:tc>
                <w:tcPr>
                  <w:tcW w:w="3313" w:type="dxa"/>
                  <w:tcBorders>
                    <w:tl2br w:val="nil"/>
                    <w:tr2bl w:val="nil"/>
                  </w:tcBorders>
                  <w:vAlign w:val="center"/>
                </w:tcPr>
                <w:p w14:paraId="6886CA4F">
                  <w:pPr>
                    <w:pStyle w:val="5"/>
                    <w:jc w:val="both"/>
                    <w:rPr>
                      <w:rFonts w:hint="eastAsia"/>
                      <w:lang w:eastAsia="zh-CN"/>
                    </w:rPr>
                  </w:pPr>
                  <w:r>
                    <w:t>禁止开发建设活动的要求</w:t>
                  </w:r>
                  <w:r>
                    <w:rPr>
                      <w:rFonts w:hint="eastAsia"/>
                      <w:lang w:eastAsia="zh-CN"/>
                    </w:rPr>
                    <w:t>：</w:t>
                  </w:r>
                </w:p>
                <w:p w14:paraId="1C447484">
                  <w:pPr>
                    <w:pStyle w:val="5"/>
                    <w:jc w:val="both"/>
                  </w:pPr>
                  <w:r>
                    <w:t>现代物流业禁止引入化工物流。其它同达州市工业重点管控单元要求</w:t>
                  </w:r>
                </w:p>
                <w:p w14:paraId="3414B606">
                  <w:pPr>
                    <w:pStyle w:val="5"/>
                    <w:jc w:val="both"/>
                    <w:rPr>
                      <w:rFonts w:hint="eastAsia"/>
                      <w:lang w:eastAsia="zh-CN"/>
                    </w:rPr>
                  </w:pPr>
                  <w:r>
                    <w:t>限制开发建设活动的要求</w:t>
                  </w:r>
                  <w:r>
                    <w:rPr>
                      <w:rFonts w:hint="eastAsia"/>
                      <w:lang w:eastAsia="zh-CN"/>
                    </w:rPr>
                    <w:t>：</w:t>
                  </w:r>
                </w:p>
                <w:p w14:paraId="183D94B6">
                  <w:pPr>
                    <w:pStyle w:val="5"/>
                    <w:jc w:val="both"/>
                  </w:pPr>
                  <w:r>
                    <w:t>在引入食品、医药企业时须充分考虑污染特征以及外环境情况等因素，必要时设置相应的卫生防护距离，以确保魏兴场镇不受到周边企业的污染影响。其它同达州市工业重点管控单元要求</w:t>
                  </w:r>
                </w:p>
                <w:p w14:paraId="16E45F62">
                  <w:pPr>
                    <w:pStyle w:val="5"/>
                    <w:jc w:val="both"/>
                    <w:rPr>
                      <w:rFonts w:hint="eastAsia"/>
                      <w:lang w:eastAsia="zh-CN"/>
                    </w:rPr>
                  </w:pPr>
                  <w:r>
                    <w:t>允许开发建设活动的要求</w:t>
                  </w:r>
                  <w:r>
                    <w:rPr>
                      <w:rFonts w:hint="eastAsia"/>
                      <w:lang w:eastAsia="zh-CN"/>
                    </w:rPr>
                    <w:t>：</w:t>
                  </w:r>
                </w:p>
                <w:p w14:paraId="032D7085">
                  <w:pPr>
                    <w:pStyle w:val="5"/>
                    <w:jc w:val="both"/>
                    <w:rPr>
                      <w:rFonts w:hint="default"/>
                      <w:lang w:val="en-US" w:eastAsia="zh-CN"/>
                    </w:rPr>
                  </w:pPr>
                  <w:r>
                    <w:rPr>
                      <w:rFonts w:hint="eastAsia"/>
                      <w:lang w:val="en-US" w:eastAsia="zh-CN"/>
                    </w:rPr>
                    <w:t>/</w:t>
                  </w:r>
                </w:p>
                <w:p w14:paraId="7C275BBB">
                  <w:pPr>
                    <w:pStyle w:val="5"/>
                    <w:jc w:val="both"/>
                    <w:rPr>
                      <w:rFonts w:hint="eastAsia"/>
                      <w:lang w:eastAsia="zh-CN"/>
                    </w:rPr>
                  </w:pPr>
                  <w:r>
                    <w:t>不符合空间布局要求活动的退出要求</w:t>
                  </w:r>
                  <w:r>
                    <w:rPr>
                      <w:rFonts w:hint="eastAsia"/>
                      <w:lang w:eastAsia="zh-CN"/>
                    </w:rPr>
                    <w:t>：</w:t>
                  </w:r>
                </w:p>
                <w:p w14:paraId="6CA42254">
                  <w:pPr>
                    <w:pStyle w:val="5"/>
                    <w:jc w:val="both"/>
                  </w:pPr>
                  <w:r>
                    <w:t>项目入驻时，优先布局于集中区南北向主干道西面工业用地范围，南北向主干道东侧规划工业用地作为远期备用发展用地。执行达州市工业重点管控单元总体要求</w:t>
                  </w:r>
                </w:p>
                <w:p w14:paraId="22396FFA">
                  <w:pPr>
                    <w:pStyle w:val="5"/>
                    <w:jc w:val="both"/>
                    <w:rPr>
                      <w:rFonts w:hint="eastAsia"/>
                      <w:lang w:eastAsia="zh-CN"/>
                    </w:rPr>
                  </w:pPr>
                  <w:r>
                    <w:t>其他空间布局约束要求</w:t>
                  </w:r>
                  <w:r>
                    <w:rPr>
                      <w:rFonts w:hint="eastAsia"/>
                      <w:lang w:eastAsia="zh-CN"/>
                    </w:rPr>
                    <w:t>：</w:t>
                  </w:r>
                </w:p>
                <w:p w14:paraId="0019BDAD">
                  <w:pPr>
                    <w:pStyle w:val="5"/>
                    <w:jc w:val="both"/>
                  </w:pPr>
                  <w:r>
                    <w:rPr>
                      <w:rFonts w:hint="eastAsia"/>
                      <w:lang w:val="en-US" w:eastAsia="zh-CN"/>
                    </w:rPr>
                    <w:t>/</w:t>
                  </w:r>
                </w:p>
              </w:tc>
              <w:tc>
                <w:tcPr>
                  <w:tcW w:w="2303" w:type="dxa"/>
                  <w:tcBorders>
                    <w:tl2br w:val="nil"/>
                    <w:tr2bl w:val="nil"/>
                  </w:tcBorders>
                  <w:vAlign w:val="center"/>
                </w:tcPr>
                <w:p w14:paraId="42048D95">
                  <w:pPr>
                    <w:pStyle w:val="5"/>
                    <w:jc w:val="both"/>
                    <w:rPr>
                      <w:rFonts w:hint="eastAsia"/>
                      <w:lang w:eastAsia="zh-CN"/>
                    </w:rPr>
                  </w:pPr>
                  <w:r>
                    <w:t>禁止开发建设活动的要求</w:t>
                  </w:r>
                  <w:r>
                    <w:rPr>
                      <w:rFonts w:hint="eastAsia"/>
                      <w:lang w:eastAsia="zh-CN"/>
                    </w:rPr>
                    <w:t>：</w:t>
                  </w:r>
                </w:p>
                <w:p w14:paraId="695656E9">
                  <w:pPr>
                    <w:pStyle w:val="5"/>
                    <w:jc w:val="both"/>
                    <w:rPr>
                      <w:rFonts w:hint="eastAsia"/>
                      <w:lang w:eastAsia="zh-CN"/>
                    </w:rPr>
                  </w:pPr>
                  <w:r>
                    <w:rPr>
                      <w:rFonts w:hint="eastAsia"/>
                      <w:lang w:val="en-US" w:eastAsia="zh-CN"/>
                    </w:rPr>
                    <w:t>项目不属于</w:t>
                  </w:r>
                  <w:r>
                    <w:t>物流业</w:t>
                  </w:r>
                  <w:r>
                    <w:rPr>
                      <w:rFonts w:hint="eastAsia"/>
                      <w:lang w:eastAsia="zh-CN"/>
                    </w:rPr>
                    <w:t>；</w:t>
                  </w:r>
                </w:p>
                <w:p w14:paraId="495185C9">
                  <w:pPr>
                    <w:pStyle w:val="5"/>
                    <w:jc w:val="both"/>
                    <w:rPr>
                      <w:rFonts w:hint="eastAsia"/>
                      <w:lang w:eastAsia="zh-CN"/>
                    </w:rPr>
                  </w:pPr>
                  <w:r>
                    <w:t>限制开发建设活动的要求</w:t>
                  </w:r>
                  <w:r>
                    <w:rPr>
                      <w:rFonts w:hint="eastAsia"/>
                      <w:lang w:eastAsia="zh-CN"/>
                    </w:rPr>
                    <w:t>：</w:t>
                  </w:r>
                </w:p>
                <w:p w14:paraId="7827E7D3">
                  <w:pPr>
                    <w:pStyle w:val="5"/>
                    <w:jc w:val="both"/>
                    <w:rPr>
                      <w:rFonts w:hint="eastAsia"/>
                      <w:lang w:val="en-US" w:eastAsia="zh-CN"/>
                    </w:rPr>
                  </w:pPr>
                  <w:r>
                    <w:rPr>
                      <w:rFonts w:hint="eastAsia"/>
                      <w:lang w:val="en-US" w:eastAsia="zh-CN"/>
                    </w:rPr>
                    <w:t>本项目不属于</w:t>
                  </w:r>
                  <w:r>
                    <w:t>食品、医药企业</w:t>
                  </w:r>
                  <w:r>
                    <w:rPr>
                      <w:rFonts w:hint="eastAsia"/>
                      <w:lang w:eastAsia="zh-CN"/>
                    </w:rPr>
                    <w:t>；</w:t>
                  </w:r>
                </w:p>
                <w:p w14:paraId="6971901E">
                  <w:pPr>
                    <w:pStyle w:val="5"/>
                    <w:jc w:val="both"/>
                    <w:rPr>
                      <w:rFonts w:hint="eastAsia"/>
                      <w:lang w:eastAsia="zh-CN"/>
                    </w:rPr>
                  </w:pPr>
                  <w:r>
                    <w:t>不符合空间布局要求活动的退出要求</w:t>
                  </w:r>
                  <w:r>
                    <w:rPr>
                      <w:rFonts w:hint="eastAsia"/>
                      <w:lang w:eastAsia="zh-CN"/>
                    </w:rPr>
                    <w:t>：</w:t>
                  </w:r>
                </w:p>
                <w:p w14:paraId="350B96D5">
                  <w:pPr>
                    <w:pStyle w:val="5"/>
                    <w:jc w:val="both"/>
                    <w:rPr>
                      <w:rFonts w:hint="default"/>
                      <w:lang w:val="en-US" w:eastAsia="zh-CN"/>
                    </w:rPr>
                  </w:pPr>
                  <w:r>
                    <w:rPr>
                      <w:rFonts w:hint="eastAsia"/>
                      <w:lang w:val="en-US" w:eastAsia="zh-CN"/>
                    </w:rPr>
                    <w:t>项目位于园区西北方向，符合用地规范。</w:t>
                  </w:r>
                </w:p>
              </w:tc>
              <w:tc>
                <w:tcPr>
                  <w:tcW w:w="720" w:type="dxa"/>
                  <w:tcBorders>
                    <w:tl2br w:val="nil"/>
                    <w:tr2bl w:val="nil"/>
                  </w:tcBorders>
                  <w:vAlign w:val="center"/>
                </w:tcPr>
                <w:p w14:paraId="69DC8727">
                  <w:pPr>
                    <w:pStyle w:val="5"/>
                    <w:jc w:val="center"/>
                    <w:rPr>
                      <w:rFonts w:hint="eastAsia"/>
                      <w:lang w:val="en-US" w:eastAsia="zh-CN"/>
                    </w:rPr>
                  </w:pPr>
                  <w:r>
                    <w:rPr>
                      <w:rFonts w:hint="eastAsia"/>
                      <w:lang w:val="en-US" w:eastAsia="zh-CN"/>
                    </w:rPr>
                    <w:t>符合</w:t>
                  </w:r>
                </w:p>
              </w:tc>
            </w:tr>
            <w:tr w14:paraId="66CCB22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422" w:type="dxa"/>
                  <w:vMerge w:val="continue"/>
                  <w:tcBorders>
                    <w:tl2br w:val="nil"/>
                    <w:tr2bl w:val="nil"/>
                  </w:tcBorders>
                  <w:vAlign w:val="center"/>
                </w:tcPr>
                <w:p w14:paraId="1E5B8290">
                  <w:pPr>
                    <w:pStyle w:val="5"/>
                    <w:jc w:val="left"/>
                  </w:pPr>
                </w:p>
              </w:tc>
              <w:tc>
                <w:tcPr>
                  <w:tcW w:w="626" w:type="dxa"/>
                  <w:vMerge w:val="continue"/>
                  <w:tcBorders>
                    <w:tl2br w:val="nil"/>
                    <w:tr2bl w:val="nil"/>
                  </w:tcBorders>
                  <w:vAlign w:val="center"/>
                </w:tcPr>
                <w:p w14:paraId="4DE01591">
                  <w:pPr>
                    <w:pStyle w:val="5"/>
                    <w:jc w:val="left"/>
                  </w:pPr>
                </w:p>
              </w:tc>
              <w:tc>
                <w:tcPr>
                  <w:tcW w:w="538" w:type="dxa"/>
                  <w:vMerge w:val="continue"/>
                  <w:tcBorders>
                    <w:tl2br w:val="nil"/>
                    <w:tr2bl w:val="nil"/>
                  </w:tcBorders>
                  <w:vAlign w:val="center"/>
                </w:tcPr>
                <w:p w14:paraId="2C160F2C">
                  <w:pPr>
                    <w:pStyle w:val="5"/>
                    <w:jc w:val="left"/>
                  </w:pPr>
                </w:p>
              </w:tc>
              <w:tc>
                <w:tcPr>
                  <w:tcW w:w="444" w:type="dxa"/>
                  <w:vMerge w:val="continue"/>
                  <w:tcBorders>
                    <w:tl2br w:val="nil"/>
                    <w:tr2bl w:val="nil"/>
                  </w:tcBorders>
                  <w:vAlign w:val="center"/>
                </w:tcPr>
                <w:p w14:paraId="4458A616">
                  <w:pPr>
                    <w:pStyle w:val="5"/>
                    <w:jc w:val="left"/>
                  </w:pPr>
                </w:p>
              </w:tc>
              <w:tc>
                <w:tcPr>
                  <w:tcW w:w="478" w:type="dxa"/>
                  <w:tcBorders>
                    <w:tl2br w:val="nil"/>
                    <w:tr2bl w:val="nil"/>
                  </w:tcBorders>
                  <w:vAlign w:val="center"/>
                </w:tcPr>
                <w:p w14:paraId="203CA95D">
                  <w:pPr>
                    <w:pStyle w:val="5"/>
                    <w:jc w:val="left"/>
                  </w:pPr>
                  <w:r>
                    <w:t>污染物排放管控</w:t>
                  </w:r>
                </w:p>
              </w:tc>
              <w:tc>
                <w:tcPr>
                  <w:tcW w:w="3313" w:type="dxa"/>
                  <w:tcBorders>
                    <w:tl2br w:val="nil"/>
                    <w:tr2bl w:val="nil"/>
                  </w:tcBorders>
                  <w:vAlign w:val="center"/>
                </w:tcPr>
                <w:p w14:paraId="7E843DA6">
                  <w:pPr>
                    <w:pStyle w:val="5"/>
                    <w:jc w:val="both"/>
                  </w:pPr>
                  <w:r>
                    <w:t>现有源提标升级改造</w:t>
                  </w:r>
                  <w:r>
                    <w:rPr>
                      <w:rFonts w:hint="eastAsia"/>
                      <w:lang w:eastAsia="zh-CN"/>
                    </w:rPr>
                    <w:t>：</w:t>
                  </w:r>
                </w:p>
                <w:p w14:paraId="04AC5FE5">
                  <w:pPr>
                    <w:pStyle w:val="5"/>
                    <w:jc w:val="both"/>
                    <w:rPr>
                      <w:rFonts w:hint="eastAsia" w:eastAsia="宋体"/>
                      <w:lang w:eastAsia="zh-CN"/>
                    </w:rPr>
                  </w:pPr>
                  <w:r>
                    <w:t>项目产生的生产废水由企业自行处理达到《污水排放综合标准》三级或相应的行业排放标准后排入园区污水处理厂处理达《城镇污水处理厂污染物排放标准》一级A标或更严格标准后排放，其它同达州市工业重点总体准入要求</w:t>
                  </w:r>
                  <w:r>
                    <w:rPr>
                      <w:rFonts w:hint="eastAsia"/>
                      <w:lang w:eastAsia="zh-CN"/>
                    </w:rPr>
                    <w:t>。</w:t>
                  </w:r>
                </w:p>
                <w:p w14:paraId="5E5245BE">
                  <w:pPr>
                    <w:pStyle w:val="5"/>
                    <w:jc w:val="both"/>
                  </w:pPr>
                  <w:r>
                    <w:t>新增源等量或倍量替代</w:t>
                  </w:r>
                  <w:r>
                    <w:rPr>
                      <w:rFonts w:hint="eastAsia"/>
                      <w:lang w:eastAsia="zh-CN"/>
                    </w:rPr>
                    <w:t>：</w:t>
                  </w:r>
                </w:p>
                <w:p w14:paraId="10FAF0D2">
                  <w:pPr>
                    <w:pStyle w:val="5"/>
                    <w:jc w:val="both"/>
                    <w:rPr>
                      <w:rFonts w:hint="eastAsia" w:eastAsia="宋体"/>
                      <w:lang w:eastAsia="zh-CN"/>
                    </w:rPr>
                  </w:pPr>
                  <w:r>
                    <w:t>执行达州市工业重点管控单元总体要求</w:t>
                  </w:r>
                  <w:r>
                    <w:rPr>
                      <w:rFonts w:hint="eastAsia"/>
                      <w:lang w:eastAsia="zh-CN"/>
                    </w:rPr>
                    <w:t>。</w:t>
                  </w:r>
                </w:p>
                <w:p w14:paraId="751A586E">
                  <w:pPr>
                    <w:pStyle w:val="5"/>
                    <w:jc w:val="both"/>
                  </w:pPr>
                  <w:r>
                    <w:t>新增源排放标准限值</w:t>
                  </w:r>
                  <w:r>
                    <w:rPr>
                      <w:rFonts w:hint="eastAsia"/>
                      <w:lang w:eastAsia="zh-CN"/>
                    </w:rPr>
                    <w:t>：</w:t>
                  </w:r>
                </w:p>
                <w:p w14:paraId="7684C717">
                  <w:pPr>
                    <w:pStyle w:val="5"/>
                    <w:jc w:val="both"/>
                    <w:rPr>
                      <w:rFonts w:hint="eastAsia" w:eastAsia="宋体"/>
                      <w:lang w:eastAsia="zh-CN"/>
                    </w:rPr>
                  </w:pPr>
                  <w:r>
                    <w:t>其他同达州市工业重点总体准入要求</w:t>
                  </w:r>
                  <w:r>
                    <w:rPr>
                      <w:rFonts w:hint="eastAsia"/>
                      <w:lang w:eastAsia="zh-CN"/>
                    </w:rPr>
                    <w:t>。</w:t>
                  </w:r>
                </w:p>
                <w:p w14:paraId="3C36C0C8">
                  <w:pPr>
                    <w:pStyle w:val="5"/>
                    <w:jc w:val="both"/>
                  </w:pPr>
                  <w:r>
                    <w:t>污染物排放绩效水平准入要求</w:t>
                  </w:r>
                  <w:r>
                    <w:rPr>
                      <w:rFonts w:hint="eastAsia"/>
                      <w:lang w:eastAsia="zh-CN"/>
                    </w:rPr>
                    <w:t>：</w:t>
                  </w:r>
                </w:p>
                <w:p w14:paraId="40F059EF">
                  <w:pPr>
                    <w:pStyle w:val="5"/>
                    <w:jc w:val="both"/>
                    <w:rPr>
                      <w:rFonts w:hint="eastAsia" w:eastAsia="宋体"/>
                      <w:lang w:eastAsia="zh-CN"/>
                    </w:rPr>
                  </w:pPr>
                  <w:r>
                    <w:t>执行达州市工业重点管控单元总体要求</w:t>
                  </w:r>
                  <w:r>
                    <w:rPr>
                      <w:rFonts w:hint="eastAsia"/>
                      <w:lang w:eastAsia="zh-CN"/>
                    </w:rPr>
                    <w:t>。</w:t>
                  </w:r>
                </w:p>
                <w:p w14:paraId="586B6161">
                  <w:pPr>
                    <w:pStyle w:val="5"/>
                    <w:jc w:val="both"/>
                  </w:pPr>
                  <w:r>
                    <w:t>其他污染物排放管控要求</w:t>
                  </w:r>
                  <w:r>
                    <w:rPr>
                      <w:rFonts w:hint="eastAsia"/>
                      <w:lang w:eastAsia="zh-CN"/>
                    </w:rPr>
                    <w:t>：</w:t>
                  </w:r>
                </w:p>
                <w:p w14:paraId="5DB6F472">
                  <w:pPr>
                    <w:pStyle w:val="5"/>
                    <w:jc w:val="both"/>
                    <w:rPr>
                      <w:rFonts w:hint="eastAsia" w:eastAsia="宋体"/>
                      <w:lang w:val="en-US" w:eastAsia="zh-CN"/>
                    </w:rPr>
                  </w:pPr>
                  <w:r>
                    <w:rPr>
                      <w:rFonts w:hint="eastAsia"/>
                      <w:lang w:val="en-US" w:eastAsia="zh-CN"/>
                    </w:rPr>
                    <w:t>/</w:t>
                  </w:r>
                </w:p>
              </w:tc>
              <w:tc>
                <w:tcPr>
                  <w:tcW w:w="2303" w:type="dxa"/>
                  <w:tcBorders>
                    <w:tl2br w:val="nil"/>
                    <w:tr2bl w:val="nil"/>
                  </w:tcBorders>
                  <w:vAlign w:val="center"/>
                </w:tcPr>
                <w:p w14:paraId="04795282">
                  <w:pPr>
                    <w:pStyle w:val="5"/>
                    <w:jc w:val="both"/>
                  </w:pPr>
                  <w:r>
                    <w:t>现有源提标升级改造</w:t>
                  </w:r>
                  <w:r>
                    <w:rPr>
                      <w:rFonts w:hint="eastAsia"/>
                      <w:lang w:eastAsia="zh-CN"/>
                    </w:rPr>
                    <w:t>：</w:t>
                  </w:r>
                </w:p>
                <w:p w14:paraId="232EED86">
                  <w:pPr>
                    <w:pStyle w:val="5"/>
                    <w:widowControl/>
                    <w:ind w:firstLineChars="0"/>
                    <w:jc w:val="both"/>
                  </w:pPr>
                  <w:r>
                    <w:rPr>
                      <w:rFonts w:hint="eastAsia"/>
                    </w:rPr>
                    <w:t>本项目</w:t>
                  </w:r>
                  <w:r>
                    <w:rPr>
                      <w:rFonts w:hint="eastAsia"/>
                      <w:lang w:val="en-US" w:eastAsia="zh-CN"/>
                    </w:rPr>
                    <w:t>仅产生生活污水</w:t>
                  </w:r>
                  <w:r>
                    <w:rPr>
                      <w:rFonts w:hint="eastAsia"/>
                      <w:lang w:eastAsia="zh-CN"/>
                    </w:rPr>
                    <w:t>。生活污水</w:t>
                  </w:r>
                  <w:r>
                    <w:rPr>
                      <w:rFonts w:hint="eastAsia"/>
                      <w:lang w:val="en-US" w:eastAsia="zh-CN"/>
                    </w:rPr>
                    <w:t>经园区已建一体化污水处理设施，</w:t>
                  </w:r>
                  <w:r>
                    <w:rPr>
                      <w:rFonts w:hint="eastAsia"/>
                      <w:lang w:eastAsia="zh-CN"/>
                    </w:rPr>
                    <w:t>达到《污水综合排放标准》（GB8978-1996）三级标准</w:t>
                  </w:r>
                  <w:r>
                    <w:rPr>
                      <w:rFonts w:hint="eastAsia"/>
                      <w:lang w:val="en-US" w:eastAsia="zh-CN"/>
                    </w:rPr>
                    <w:t>后，排入</w:t>
                  </w:r>
                  <w:r>
                    <w:rPr>
                      <w:rFonts w:hint="eastAsia"/>
                      <w:lang w:eastAsia="zh-CN"/>
                    </w:rPr>
                    <w:t>园区</w:t>
                  </w:r>
                  <w:r>
                    <w:rPr>
                      <w:rFonts w:hint="eastAsia"/>
                      <w:lang w:val="en-US" w:eastAsia="zh-CN"/>
                    </w:rPr>
                    <w:t>市政污水管网，输送至魏兴场镇污水处理厂处理后达《城镇污水处理厂污染物排放标准》（GB18918—2002）一级A标准后，排入州河。</w:t>
                  </w:r>
                </w:p>
              </w:tc>
              <w:tc>
                <w:tcPr>
                  <w:tcW w:w="720" w:type="dxa"/>
                  <w:tcBorders>
                    <w:tl2br w:val="nil"/>
                    <w:tr2bl w:val="nil"/>
                  </w:tcBorders>
                  <w:vAlign w:val="center"/>
                </w:tcPr>
                <w:p w14:paraId="0A86D97A">
                  <w:pPr>
                    <w:pStyle w:val="5"/>
                    <w:jc w:val="center"/>
                  </w:pPr>
                  <w:r>
                    <w:rPr>
                      <w:rFonts w:hint="eastAsia"/>
                      <w:lang w:val="en-US" w:eastAsia="zh-CN"/>
                    </w:rPr>
                    <w:t>符合</w:t>
                  </w:r>
                </w:p>
              </w:tc>
            </w:tr>
            <w:tr w14:paraId="0518A47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422" w:type="dxa"/>
                  <w:vMerge w:val="continue"/>
                  <w:tcBorders>
                    <w:tl2br w:val="nil"/>
                    <w:tr2bl w:val="nil"/>
                  </w:tcBorders>
                  <w:vAlign w:val="center"/>
                </w:tcPr>
                <w:p w14:paraId="6528B48B">
                  <w:pPr>
                    <w:pStyle w:val="5"/>
                    <w:jc w:val="left"/>
                  </w:pPr>
                </w:p>
              </w:tc>
              <w:tc>
                <w:tcPr>
                  <w:tcW w:w="626" w:type="dxa"/>
                  <w:vMerge w:val="continue"/>
                  <w:tcBorders>
                    <w:tl2br w:val="nil"/>
                    <w:tr2bl w:val="nil"/>
                  </w:tcBorders>
                  <w:vAlign w:val="center"/>
                </w:tcPr>
                <w:p w14:paraId="7A3EEE2B">
                  <w:pPr>
                    <w:pStyle w:val="5"/>
                    <w:jc w:val="left"/>
                  </w:pPr>
                </w:p>
              </w:tc>
              <w:tc>
                <w:tcPr>
                  <w:tcW w:w="538" w:type="dxa"/>
                  <w:vMerge w:val="continue"/>
                  <w:tcBorders>
                    <w:tl2br w:val="nil"/>
                    <w:tr2bl w:val="nil"/>
                  </w:tcBorders>
                  <w:vAlign w:val="center"/>
                </w:tcPr>
                <w:p w14:paraId="6156A410">
                  <w:pPr>
                    <w:pStyle w:val="5"/>
                    <w:jc w:val="left"/>
                  </w:pPr>
                </w:p>
              </w:tc>
              <w:tc>
                <w:tcPr>
                  <w:tcW w:w="444" w:type="dxa"/>
                  <w:vMerge w:val="continue"/>
                  <w:tcBorders>
                    <w:tl2br w:val="nil"/>
                    <w:tr2bl w:val="nil"/>
                  </w:tcBorders>
                  <w:vAlign w:val="center"/>
                </w:tcPr>
                <w:p w14:paraId="2238360D">
                  <w:pPr>
                    <w:pStyle w:val="5"/>
                    <w:jc w:val="left"/>
                  </w:pPr>
                </w:p>
              </w:tc>
              <w:tc>
                <w:tcPr>
                  <w:tcW w:w="478" w:type="dxa"/>
                  <w:tcBorders>
                    <w:tl2br w:val="nil"/>
                    <w:tr2bl w:val="nil"/>
                  </w:tcBorders>
                  <w:vAlign w:val="center"/>
                </w:tcPr>
                <w:p w14:paraId="6FA51DD0">
                  <w:pPr>
                    <w:pStyle w:val="5"/>
                    <w:jc w:val="left"/>
                  </w:pPr>
                  <w:r>
                    <w:t>环境风险防控</w:t>
                  </w:r>
                </w:p>
              </w:tc>
              <w:tc>
                <w:tcPr>
                  <w:tcW w:w="3313" w:type="dxa"/>
                  <w:tcBorders>
                    <w:tl2br w:val="nil"/>
                    <w:tr2bl w:val="nil"/>
                  </w:tcBorders>
                  <w:vAlign w:val="center"/>
                </w:tcPr>
                <w:p w14:paraId="4E69CA27">
                  <w:pPr>
                    <w:pStyle w:val="5"/>
                    <w:jc w:val="both"/>
                  </w:pPr>
                  <w:r>
                    <w:t>严格管控类农用地管控要求现有源提标升级改造</w:t>
                  </w:r>
                  <w:r>
                    <w:rPr>
                      <w:rFonts w:hint="eastAsia"/>
                      <w:lang w:eastAsia="zh-CN"/>
                    </w:rPr>
                    <w:t>：</w:t>
                  </w:r>
                </w:p>
                <w:p w14:paraId="55F98D09">
                  <w:pPr>
                    <w:pStyle w:val="5"/>
                    <w:jc w:val="both"/>
                    <w:rPr>
                      <w:rFonts w:hint="eastAsia" w:eastAsia="宋体"/>
                      <w:lang w:eastAsia="zh-CN"/>
                    </w:rPr>
                  </w:pPr>
                  <w:r>
                    <w:t>执行达州市工业重点管控单元总体要求</w:t>
                  </w:r>
                  <w:r>
                    <w:rPr>
                      <w:rFonts w:hint="eastAsia"/>
                      <w:lang w:eastAsia="zh-CN"/>
                    </w:rPr>
                    <w:t>。</w:t>
                  </w:r>
                </w:p>
                <w:p w14:paraId="2D43A444">
                  <w:pPr>
                    <w:pStyle w:val="5"/>
                    <w:jc w:val="both"/>
                  </w:pPr>
                  <w:r>
                    <w:t>安全利用类农用地管控要求现有源提标升级改造</w:t>
                  </w:r>
                  <w:r>
                    <w:rPr>
                      <w:rFonts w:hint="eastAsia"/>
                      <w:lang w:eastAsia="zh-CN"/>
                    </w:rPr>
                    <w:t>：</w:t>
                  </w:r>
                </w:p>
                <w:p w14:paraId="41E0C633">
                  <w:pPr>
                    <w:pStyle w:val="5"/>
                    <w:jc w:val="both"/>
                    <w:rPr>
                      <w:rFonts w:hint="eastAsia" w:eastAsia="宋体"/>
                      <w:lang w:eastAsia="zh-CN"/>
                    </w:rPr>
                  </w:pPr>
                  <w:r>
                    <w:t>执行达州市工业重点管控单元总体要求</w:t>
                  </w:r>
                  <w:r>
                    <w:rPr>
                      <w:rFonts w:hint="eastAsia"/>
                      <w:lang w:eastAsia="zh-CN"/>
                    </w:rPr>
                    <w:t>。</w:t>
                  </w:r>
                </w:p>
                <w:p w14:paraId="648BD628">
                  <w:pPr>
                    <w:pStyle w:val="5"/>
                    <w:jc w:val="both"/>
                  </w:pPr>
                  <w:r>
                    <w:t>污染地块管控要求现有源提标升级改造</w:t>
                  </w:r>
                  <w:r>
                    <w:rPr>
                      <w:rFonts w:hint="eastAsia"/>
                      <w:lang w:eastAsia="zh-CN"/>
                    </w:rPr>
                    <w:t>：</w:t>
                  </w:r>
                </w:p>
                <w:p w14:paraId="078393D1">
                  <w:pPr>
                    <w:pStyle w:val="5"/>
                    <w:jc w:val="both"/>
                    <w:rPr>
                      <w:rFonts w:hint="eastAsia" w:eastAsia="宋体"/>
                      <w:lang w:eastAsia="zh-CN"/>
                    </w:rPr>
                  </w:pPr>
                  <w:r>
                    <w:t>执行达州市工业重点管控单元总体要求</w:t>
                  </w:r>
                  <w:r>
                    <w:rPr>
                      <w:rFonts w:hint="eastAsia"/>
                      <w:lang w:eastAsia="zh-CN"/>
                    </w:rPr>
                    <w:t>。</w:t>
                  </w:r>
                </w:p>
                <w:p w14:paraId="2539DA3E">
                  <w:pPr>
                    <w:pStyle w:val="5"/>
                    <w:jc w:val="both"/>
                  </w:pPr>
                  <w:r>
                    <w:t>园区环境风险防控要求现有源提标升级改造</w:t>
                  </w:r>
                  <w:r>
                    <w:rPr>
                      <w:rFonts w:hint="eastAsia"/>
                      <w:lang w:eastAsia="zh-CN"/>
                    </w:rPr>
                    <w:t>：</w:t>
                  </w:r>
                </w:p>
                <w:p w14:paraId="2207CFD9">
                  <w:pPr>
                    <w:pStyle w:val="5"/>
                    <w:jc w:val="both"/>
                    <w:rPr>
                      <w:rFonts w:hint="eastAsia" w:eastAsia="宋体"/>
                      <w:lang w:eastAsia="zh-CN"/>
                    </w:rPr>
                  </w:pPr>
                  <w:r>
                    <w:t>风险源与环境敏感区保持合理的空间距离，要求各企业原辅料贮运及生产过程中不得构成《危险化学品重大危险源辨识》中一、二级重大危险源，杜绝危化品泄漏、事故排放等。其它同达州市工业重点管控单元总体要求</w:t>
                  </w:r>
                  <w:r>
                    <w:rPr>
                      <w:rFonts w:hint="eastAsia"/>
                      <w:lang w:eastAsia="zh-CN"/>
                    </w:rPr>
                    <w:t>。</w:t>
                  </w:r>
                </w:p>
                <w:p w14:paraId="52B34BA9">
                  <w:pPr>
                    <w:pStyle w:val="5"/>
                    <w:jc w:val="both"/>
                  </w:pPr>
                  <w:r>
                    <w:t>企业环境风险防控要求现有源提标升级改造</w:t>
                  </w:r>
                  <w:r>
                    <w:rPr>
                      <w:rFonts w:hint="eastAsia"/>
                      <w:lang w:eastAsia="zh-CN"/>
                    </w:rPr>
                    <w:t>：</w:t>
                  </w:r>
                </w:p>
                <w:p w14:paraId="67DC2FA7">
                  <w:pPr>
                    <w:pStyle w:val="5"/>
                    <w:jc w:val="both"/>
                  </w:pPr>
                  <w:r>
                    <w:t>风险源与环境敏感区保持合理的空间距离，要求各企业原辅料贮运及生产过程中不得构成《危险化学品重大危险源辨识》中一、二级重大危险源，杜绝危化品泄漏、事故排放等。执行达州市工业重点管控单元总体要求其他环境风险防控要求现有源提标升级改造</w:t>
                  </w:r>
                  <w:r>
                    <w:rPr>
                      <w:rFonts w:hint="eastAsia"/>
                      <w:lang w:eastAsia="zh-CN"/>
                    </w:rPr>
                    <w:t>：</w:t>
                  </w:r>
                </w:p>
                <w:p w14:paraId="585CCD06">
                  <w:pPr>
                    <w:pStyle w:val="5"/>
                    <w:jc w:val="both"/>
                    <w:rPr>
                      <w:rFonts w:hint="eastAsia"/>
                      <w:lang w:val="en-US" w:eastAsia="zh-CN"/>
                    </w:rPr>
                  </w:pPr>
                  <w:r>
                    <w:rPr>
                      <w:rFonts w:hint="eastAsia"/>
                      <w:lang w:val="en-US" w:eastAsia="zh-CN"/>
                    </w:rPr>
                    <w:t>/</w:t>
                  </w:r>
                </w:p>
              </w:tc>
              <w:tc>
                <w:tcPr>
                  <w:tcW w:w="2303" w:type="dxa"/>
                  <w:tcBorders>
                    <w:tl2br w:val="nil"/>
                    <w:tr2bl w:val="nil"/>
                  </w:tcBorders>
                  <w:vAlign w:val="center"/>
                </w:tcPr>
                <w:p w14:paraId="15619107">
                  <w:pPr>
                    <w:pStyle w:val="5"/>
                    <w:jc w:val="both"/>
                  </w:pPr>
                  <w:r>
                    <w:t>园区环境风险防控要求现有源提标升级改造</w:t>
                  </w:r>
                  <w:r>
                    <w:rPr>
                      <w:rFonts w:hint="eastAsia"/>
                      <w:lang w:eastAsia="zh-CN"/>
                    </w:rPr>
                    <w:t>：</w:t>
                  </w:r>
                </w:p>
                <w:p w14:paraId="79C7428C">
                  <w:pPr>
                    <w:pStyle w:val="5"/>
                    <w:jc w:val="both"/>
                    <w:rPr>
                      <w:rFonts w:hint="eastAsia"/>
                      <w:lang w:val="en-US" w:eastAsia="zh-CN"/>
                    </w:rPr>
                  </w:pPr>
                  <w:r>
                    <w:rPr>
                      <w:rFonts w:hint="eastAsia"/>
                      <w:lang w:val="en-US" w:eastAsia="zh-CN"/>
                    </w:rPr>
                    <w:t>项目</w:t>
                  </w:r>
                  <w:r>
                    <w:t>原辅料贮运及生产过程中不得构成《危险化学品重大危险源辨识》中一、二级重大危险源</w:t>
                  </w:r>
                  <w:r>
                    <w:rPr>
                      <w:rFonts w:hint="eastAsia"/>
                      <w:lang w:eastAsia="zh-CN"/>
                    </w:rPr>
                    <w:t>。</w:t>
                  </w:r>
                </w:p>
              </w:tc>
              <w:tc>
                <w:tcPr>
                  <w:tcW w:w="720" w:type="dxa"/>
                  <w:tcBorders>
                    <w:tl2br w:val="nil"/>
                    <w:tr2bl w:val="nil"/>
                  </w:tcBorders>
                  <w:vAlign w:val="center"/>
                </w:tcPr>
                <w:p w14:paraId="764AF56E">
                  <w:pPr>
                    <w:pStyle w:val="5"/>
                    <w:jc w:val="center"/>
                  </w:pPr>
                  <w:r>
                    <w:rPr>
                      <w:rFonts w:hint="eastAsia"/>
                      <w:lang w:val="en-US" w:eastAsia="zh-CN"/>
                    </w:rPr>
                    <w:t>符合</w:t>
                  </w:r>
                </w:p>
              </w:tc>
            </w:tr>
            <w:tr w14:paraId="6249CB1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422" w:type="dxa"/>
                  <w:vMerge w:val="continue"/>
                  <w:tcBorders>
                    <w:tl2br w:val="nil"/>
                    <w:tr2bl w:val="nil"/>
                  </w:tcBorders>
                  <w:vAlign w:val="center"/>
                </w:tcPr>
                <w:p w14:paraId="3A2AF340">
                  <w:pPr>
                    <w:pStyle w:val="5"/>
                    <w:jc w:val="left"/>
                  </w:pPr>
                </w:p>
              </w:tc>
              <w:tc>
                <w:tcPr>
                  <w:tcW w:w="626" w:type="dxa"/>
                  <w:vMerge w:val="continue"/>
                  <w:tcBorders>
                    <w:tl2br w:val="nil"/>
                    <w:tr2bl w:val="nil"/>
                  </w:tcBorders>
                  <w:vAlign w:val="center"/>
                </w:tcPr>
                <w:p w14:paraId="53614A5C">
                  <w:pPr>
                    <w:pStyle w:val="5"/>
                    <w:jc w:val="left"/>
                  </w:pPr>
                </w:p>
              </w:tc>
              <w:tc>
                <w:tcPr>
                  <w:tcW w:w="538" w:type="dxa"/>
                  <w:vMerge w:val="continue"/>
                  <w:tcBorders>
                    <w:tl2br w:val="nil"/>
                    <w:tr2bl w:val="nil"/>
                  </w:tcBorders>
                  <w:vAlign w:val="center"/>
                </w:tcPr>
                <w:p w14:paraId="55EAC3A3">
                  <w:pPr>
                    <w:pStyle w:val="5"/>
                    <w:jc w:val="left"/>
                  </w:pPr>
                </w:p>
              </w:tc>
              <w:tc>
                <w:tcPr>
                  <w:tcW w:w="444" w:type="dxa"/>
                  <w:vMerge w:val="continue"/>
                  <w:tcBorders>
                    <w:tl2br w:val="nil"/>
                    <w:tr2bl w:val="nil"/>
                  </w:tcBorders>
                  <w:vAlign w:val="center"/>
                </w:tcPr>
                <w:p w14:paraId="5972B879">
                  <w:pPr>
                    <w:pStyle w:val="5"/>
                    <w:jc w:val="left"/>
                  </w:pPr>
                </w:p>
              </w:tc>
              <w:tc>
                <w:tcPr>
                  <w:tcW w:w="478" w:type="dxa"/>
                  <w:tcBorders>
                    <w:tl2br w:val="nil"/>
                    <w:tr2bl w:val="nil"/>
                  </w:tcBorders>
                  <w:vAlign w:val="center"/>
                </w:tcPr>
                <w:p w14:paraId="568A64A8">
                  <w:pPr>
                    <w:pStyle w:val="5"/>
                    <w:jc w:val="left"/>
                  </w:pPr>
                  <w:r>
                    <w:t>资源开发利用效率要求</w:t>
                  </w:r>
                </w:p>
              </w:tc>
              <w:tc>
                <w:tcPr>
                  <w:tcW w:w="3313" w:type="dxa"/>
                  <w:tcBorders>
                    <w:tl2br w:val="nil"/>
                    <w:tr2bl w:val="nil"/>
                  </w:tcBorders>
                  <w:vAlign w:val="center"/>
                </w:tcPr>
                <w:p w14:paraId="32D04339">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lang w:eastAsia="zh-CN"/>
                    </w:rPr>
                  </w:pPr>
                  <w:r>
                    <w:rPr>
                      <w:rFonts w:hint="eastAsia"/>
                      <w:lang w:val="en-US" w:eastAsia="zh-CN"/>
                    </w:rPr>
                    <w:t>水资源利用效率要求</w:t>
                  </w:r>
                  <w:r>
                    <w:rPr>
                      <w:rFonts w:hint="eastAsia"/>
                      <w:lang w:eastAsia="zh-CN"/>
                    </w:rPr>
                    <w:t>：</w:t>
                  </w:r>
                </w:p>
                <w:p w14:paraId="7D1CB6C6">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lang w:eastAsia="zh-CN"/>
                    </w:rPr>
                  </w:pPr>
                  <w:r>
                    <w:t>执行达州市工业重点管控单元总体要求</w:t>
                  </w:r>
                  <w:r>
                    <w:rPr>
                      <w:rFonts w:hint="eastAsia"/>
                      <w:lang w:eastAsia="zh-CN"/>
                    </w:rPr>
                    <w:t>。</w:t>
                  </w:r>
                </w:p>
                <w:p w14:paraId="6816E58D">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lang w:eastAsia="zh-CN"/>
                    </w:rPr>
                  </w:pPr>
                  <w:r>
                    <w:rPr>
                      <w:rFonts w:hint="eastAsia"/>
                      <w:lang w:val="en-US" w:eastAsia="zh-CN"/>
                    </w:rPr>
                    <w:t>地下水开采要求</w:t>
                  </w:r>
                  <w:r>
                    <w:rPr>
                      <w:rFonts w:hint="eastAsia"/>
                      <w:lang w:eastAsia="zh-CN"/>
                    </w:rPr>
                    <w:t>：</w:t>
                  </w:r>
                </w:p>
                <w:p w14:paraId="4AD08960">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eastAsia="宋体"/>
                      <w:lang w:eastAsia="zh-CN"/>
                    </w:rPr>
                  </w:pPr>
                  <w:r>
                    <w:t>执行达州市工业重点管控单元总体要求</w:t>
                  </w:r>
                  <w:r>
                    <w:rPr>
                      <w:rFonts w:hint="eastAsia"/>
                      <w:lang w:eastAsia="zh-CN"/>
                    </w:rPr>
                    <w:t>。</w:t>
                  </w:r>
                </w:p>
                <w:p w14:paraId="388F0BF1">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rPr>
                  </w:pPr>
                  <w:r>
                    <w:rPr>
                      <w:rFonts w:hint="eastAsia"/>
                      <w:lang w:val="en-US" w:eastAsia="zh-CN"/>
                    </w:rPr>
                    <w:t>能源利用效率要求</w:t>
                  </w:r>
                </w:p>
                <w:p w14:paraId="15ED2205">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eastAsia="宋体"/>
                      <w:lang w:eastAsia="zh-CN"/>
                    </w:rPr>
                  </w:pPr>
                  <w:r>
                    <w:t>执行达州市工业重点管控单元总体要求</w:t>
                  </w:r>
                  <w:r>
                    <w:rPr>
                      <w:rFonts w:hint="eastAsia"/>
                      <w:lang w:eastAsia="zh-CN"/>
                    </w:rPr>
                    <w:t>。</w:t>
                  </w:r>
                </w:p>
                <w:p w14:paraId="490941F2">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lang w:val="en-US" w:eastAsia="zh-CN"/>
                    </w:rPr>
                  </w:pPr>
                  <w:r>
                    <w:rPr>
                      <w:rFonts w:hint="eastAsia"/>
                      <w:lang w:val="en-US" w:eastAsia="zh-CN"/>
                    </w:rPr>
                    <w:t>其他资源利用效率要求：</w:t>
                  </w:r>
                </w:p>
                <w:p w14:paraId="222CCBC4">
                  <w:pPr>
                    <w:pStyle w:val="5"/>
                    <w:keepNext w:val="0"/>
                    <w:keepLines w:val="0"/>
                    <w:widowControl/>
                    <w:suppressLineNumbers w:val="0"/>
                    <w:pBdr>
                      <w:top w:val="none" w:color="auto" w:sz="0" w:space="0"/>
                      <w:left w:val="none" w:color="auto" w:sz="0" w:space="0"/>
                      <w:right w:val="none" w:color="auto" w:sz="0" w:space="0"/>
                    </w:pBdr>
                    <w:spacing w:before="0" w:beforeAutospacing="0" w:after="0" w:afterAutospacing="0"/>
                    <w:ind w:left="0" w:right="0"/>
                    <w:jc w:val="both"/>
                    <w:rPr>
                      <w:rFonts w:hint="eastAsia" w:eastAsia="宋体"/>
                      <w:lang w:eastAsia="zh-CN"/>
                    </w:rPr>
                  </w:pPr>
                  <w:r>
                    <w:t>禁燃区要求：同达州市工业重点总体准入要求</w:t>
                  </w:r>
                  <w:r>
                    <w:rPr>
                      <w:rFonts w:hint="eastAsia"/>
                      <w:lang w:eastAsia="zh-CN"/>
                    </w:rPr>
                    <w:t>。</w:t>
                  </w:r>
                </w:p>
              </w:tc>
              <w:tc>
                <w:tcPr>
                  <w:tcW w:w="2303" w:type="dxa"/>
                  <w:tcBorders>
                    <w:tl2br w:val="nil"/>
                    <w:tr2bl w:val="nil"/>
                  </w:tcBorders>
                  <w:vAlign w:val="center"/>
                </w:tcPr>
                <w:p w14:paraId="0C1EEA78">
                  <w:pPr>
                    <w:pStyle w:val="5"/>
                    <w:jc w:val="both"/>
                  </w:pPr>
                  <w:r>
                    <w:t>执行达州市工业重点管控单元总体要求</w:t>
                  </w:r>
                </w:p>
              </w:tc>
              <w:tc>
                <w:tcPr>
                  <w:tcW w:w="720" w:type="dxa"/>
                  <w:tcBorders>
                    <w:tl2br w:val="nil"/>
                    <w:tr2bl w:val="nil"/>
                  </w:tcBorders>
                  <w:vAlign w:val="center"/>
                </w:tcPr>
                <w:p w14:paraId="4977D93F">
                  <w:pPr>
                    <w:pStyle w:val="5"/>
                    <w:jc w:val="center"/>
                  </w:pPr>
                  <w:r>
                    <w:rPr>
                      <w:rFonts w:hint="eastAsia"/>
                      <w:lang w:val="en-US" w:eastAsia="zh-CN"/>
                    </w:rPr>
                    <w:t>符合</w:t>
                  </w:r>
                </w:p>
              </w:tc>
            </w:tr>
          </w:tbl>
          <w:p w14:paraId="1C2CD2D9">
            <w:pPr>
              <w:wordWrap/>
              <w:spacing w:line="367" w:lineRule="auto"/>
              <w:ind w:firstLine="480" w:firstLineChars="200"/>
              <w:jc w:val="both"/>
              <w:textAlignment w:val="baseline"/>
            </w:pPr>
            <w:r>
              <w:t>本项目与要素管控分区管控要求符合性分析见表</w:t>
            </w:r>
            <w:r>
              <w:rPr>
                <w:rFonts w:hint="eastAsia"/>
              </w:rPr>
              <w:t>1</w:t>
            </w:r>
            <w:r>
              <w:rPr>
                <w:rFonts w:hint="eastAsia"/>
                <w:lang w:val="en-US" w:eastAsia="zh-CN"/>
              </w:rPr>
              <w:t>-9</w:t>
            </w:r>
            <w:r>
              <w:t>。</w:t>
            </w:r>
          </w:p>
          <w:p w14:paraId="304EDDA5">
            <w:pPr>
              <w:pStyle w:val="7"/>
              <w:ind w:firstLineChars="0"/>
              <w:jc w:val="center"/>
            </w:pPr>
            <w:r>
              <w:t>表</w:t>
            </w:r>
            <w:r>
              <w:rPr>
                <w:rFonts w:hint="eastAsia"/>
                <w:lang w:val="en-US" w:eastAsia="zh-CN"/>
              </w:rPr>
              <w:t>1-9</w:t>
            </w:r>
            <w:r>
              <w:t xml:space="preserve">  项目与要素管控分区管控要求符合性</w:t>
            </w:r>
          </w:p>
          <w:tbl>
            <w:tblPr>
              <w:tblStyle w:val="30"/>
              <w:tblW w:w="8844"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639"/>
              <w:gridCol w:w="377"/>
              <w:gridCol w:w="342"/>
              <w:gridCol w:w="312"/>
              <w:gridCol w:w="289"/>
              <w:gridCol w:w="405"/>
              <w:gridCol w:w="435"/>
              <w:gridCol w:w="3060"/>
              <w:gridCol w:w="2280"/>
              <w:gridCol w:w="705"/>
            </w:tblGrid>
            <w:tr w14:paraId="57823F0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tcBorders>
                    <w:tl2br w:val="nil"/>
                    <w:tr2bl w:val="nil"/>
                  </w:tcBorders>
                  <w:vAlign w:val="center"/>
                </w:tcPr>
                <w:p w14:paraId="03380A96">
                  <w:pPr>
                    <w:pStyle w:val="5"/>
                    <w:jc w:val="center"/>
                    <w:rPr>
                      <w:b/>
                      <w:bCs/>
                    </w:rPr>
                  </w:pPr>
                  <w:r>
                    <w:rPr>
                      <w:b/>
                      <w:bCs/>
                    </w:rPr>
                    <w:t>管控分区编码</w:t>
                  </w:r>
                </w:p>
              </w:tc>
              <w:tc>
                <w:tcPr>
                  <w:tcW w:w="377" w:type="dxa"/>
                  <w:tcBorders>
                    <w:tl2br w:val="nil"/>
                    <w:tr2bl w:val="nil"/>
                  </w:tcBorders>
                  <w:vAlign w:val="center"/>
                </w:tcPr>
                <w:p w14:paraId="0130B1FA">
                  <w:pPr>
                    <w:pStyle w:val="5"/>
                    <w:jc w:val="center"/>
                    <w:rPr>
                      <w:b/>
                      <w:bCs/>
                    </w:rPr>
                  </w:pPr>
                  <w:r>
                    <w:rPr>
                      <w:b/>
                      <w:bCs/>
                    </w:rPr>
                    <w:t>管控分区名称</w:t>
                  </w:r>
                </w:p>
              </w:tc>
              <w:tc>
                <w:tcPr>
                  <w:tcW w:w="342" w:type="dxa"/>
                  <w:tcBorders>
                    <w:tl2br w:val="nil"/>
                    <w:tr2bl w:val="nil"/>
                  </w:tcBorders>
                  <w:vAlign w:val="center"/>
                </w:tcPr>
                <w:p w14:paraId="68EE22EB">
                  <w:pPr>
                    <w:pStyle w:val="5"/>
                    <w:jc w:val="center"/>
                    <w:rPr>
                      <w:b/>
                      <w:bCs/>
                    </w:rPr>
                  </w:pPr>
                  <w:r>
                    <w:rPr>
                      <w:b/>
                      <w:bCs/>
                    </w:rPr>
                    <w:t>管控区分类</w:t>
                  </w:r>
                </w:p>
              </w:tc>
              <w:tc>
                <w:tcPr>
                  <w:tcW w:w="312" w:type="dxa"/>
                  <w:tcBorders>
                    <w:tl2br w:val="nil"/>
                    <w:tr2bl w:val="nil"/>
                  </w:tcBorders>
                  <w:vAlign w:val="center"/>
                </w:tcPr>
                <w:p w14:paraId="0B1182F3">
                  <w:pPr>
                    <w:pStyle w:val="5"/>
                    <w:jc w:val="center"/>
                    <w:rPr>
                      <w:b/>
                      <w:bCs/>
                    </w:rPr>
                  </w:pPr>
                  <w:r>
                    <w:rPr>
                      <w:b/>
                      <w:bCs/>
                    </w:rPr>
                    <w:t>环境要素</w:t>
                  </w:r>
                </w:p>
              </w:tc>
              <w:tc>
                <w:tcPr>
                  <w:tcW w:w="289" w:type="dxa"/>
                  <w:tcBorders>
                    <w:tl2br w:val="nil"/>
                    <w:tr2bl w:val="nil"/>
                  </w:tcBorders>
                  <w:vAlign w:val="center"/>
                </w:tcPr>
                <w:p w14:paraId="12C8EA55">
                  <w:pPr>
                    <w:pStyle w:val="5"/>
                    <w:jc w:val="center"/>
                    <w:rPr>
                      <w:b/>
                      <w:bCs/>
                    </w:rPr>
                  </w:pPr>
                  <w:r>
                    <w:rPr>
                      <w:b/>
                      <w:bCs/>
                    </w:rPr>
                    <w:t>要素细类</w:t>
                  </w:r>
                </w:p>
              </w:tc>
              <w:tc>
                <w:tcPr>
                  <w:tcW w:w="405" w:type="dxa"/>
                  <w:tcBorders>
                    <w:tl2br w:val="nil"/>
                    <w:tr2bl w:val="nil"/>
                  </w:tcBorders>
                  <w:vAlign w:val="center"/>
                </w:tcPr>
                <w:p w14:paraId="0345525A">
                  <w:pPr>
                    <w:pStyle w:val="5"/>
                    <w:jc w:val="center"/>
                    <w:rPr>
                      <w:b/>
                      <w:bCs/>
                    </w:rPr>
                  </w:pPr>
                  <w:r>
                    <w:rPr>
                      <w:b/>
                      <w:bCs/>
                    </w:rPr>
                    <w:t>所属县区</w:t>
                  </w:r>
                </w:p>
              </w:tc>
              <w:tc>
                <w:tcPr>
                  <w:tcW w:w="435" w:type="dxa"/>
                  <w:tcBorders>
                    <w:tl2br w:val="nil"/>
                    <w:tr2bl w:val="nil"/>
                  </w:tcBorders>
                  <w:vAlign w:val="center"/>
                </w:tcPr>
                <w:p w14:paraId="496353C6">
                  <w:pPr>
                    <w:pStyle w:val="5"/>
                    <w:jc w:val="center"/>
                    <w:rPr>
                      <w:b/>
                      <w:bCs/>
                    </w:rPr>
                  </w:pPr>
                  <w:r>
                    <w:rPr>
                      <w:b/>
                      <w:bCs/>
                    </w:rPr>
                    <w:t>管控类别</w:t>
                  </w:r>
                </w:p>
              </w:tc>
              <w:tc>
                <w:tcPr>
                  <w:tcW w:w="3060" w:type="dxa"/>
                  <w:tcBorders>
                    <w:tl2br w:val="nil"/>
                    <w:tr2bl w:val="nil"/>
                  </w:tcBorders>
                  <w:vAlign w:val="center"/>
                </w:tcPr>
                <w:p w14:paraId="3E00119C">
                  <w:pPr>
                    <w:pStyle w:val="5"/>
                    <w:jc w:val="center"/>
                    <w:rPr>
                      <w:b/>
                      <w:bCs/>
                    </w:rPr>
                  </w:pPr>
                  <w:r>
                    <w:rPr>
                      <w:b/>
                      <w:bCs/>
                    </w:rPr>
                    <w:t>管控分区管控要求</w:t>
                  </w:r>
                </w:p>
              </w:tc>
              <w:tc>
                <w:tcPr>
                  <w:tcW w:w="2280" w:type="dxa"/>
                  <w:tcBorders>
                    <w:tl2br w:val="nil"/>
                    <w:tr2bl w:val="nil"/>
                  </w:tcBorders>
                  <w:vAlign w:val="center"/>
                </w:tcPr>
                <w:p w14:paraId="7888320C">
                  <w:pPr>
                    <w:pStyle w:val="5"/>
                    <w:jc w:val="center"/>
                    <w:rPr>
                      <w:rFonts w:hint="eastAsia"/>
                      <w:b/>
                      <w:bCs/>
                      <w:lang w:val="en-US" w:eastAsia="zh-CN"/>
                    </w:rPr>
                  </w:pPr>
                  <w:r>
                    <w:rPr>
                      <w:rFonts w:hint="eastAsia"/>
                      <w:b/>
                      <w:bCs/>
                      <w:lang w:val="en-US" w:eastAsia="zh-CN"/>
                    </w:rPr>
                    <w:t>本项目情况</w:t>
                  </w:r>
                </w:p>
              </w:tc>
              <w:tc>
                <w:tcPr>
                  <w:tcW w:w="705" w:type="dxa"/>
                  <w:tcBorders>
                    <w:tl2br w:val="nil"/>
                    <w:tr2bl w:val="nil"/>
                  </w:tcBorders>
                  <w:vAlign w:val="center"/>
                </w:tcPr>
                <w:p w14:paraId="7D236A00">
                  <w:pPr>
                    <w:pStyle w:val="5"/>
                    <w:jc w:val="center"/>
                    <w:rPr>
                      <w:rFonts w:hint="eastAsia"/>
                      <w:b/>
                      <w:bCs/>
                      <w:lang w:val="en-US" w:eastAsia="zh-CN"/>
                    </w:rPr>
                  </w:pPr>
                  <w:r>
                    <w:rPr>
                      <w:rFonts w:hint="eastAsia"/>
                      <w:b/>
                      <w:bCs/>
                      <w:lang w:val="en-US" w:eastAsia="zh-CN"/>
                    </w:rPr>
                    <w:t>符合性</w:t>
                  </w:r>
                </w:p>
              </w:tc>
            </w:tr>
            <w:tr w14:paraId="5B7C74C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restart"/>
                  <w:tcBorders>
                    <w:tl2br w:val="nil"/>
                    <w:tr2bl w:val="nil"/>
                  </w:tcBorders>
                  <w:vAlign w:val="center"/>
                </w:tcPr>
                <w:p w14:paraId="73F50602">
                  <w:pPr>
                    <w:pStyle w:val="5"/>
                    <w:jc w:val="center"/>
                  </w:pPr>
                  <w:r>
                    <w:t>YS5117023110001</w:t>
                  </w:r>
                </w:p>
              </w:tc>
              <w:tc>
                <w:tcPr>
                  <w:tcW w:w="377" w:type="dxa"/>
                  <w:vMerge w:val="restart"/>
                  <w:tcBorders>
                    <w:tl2br w:val="nil"/>
                    <w:tr2bl w:val="nil"/>
                  </w:tcBorders>
                  <w:vAlign w:val="center"/>
                </w:tcPr>
                <w:p w14:paraId="7463668E">
                  <w:pPr>
                    <w:pStyle w:val="5"/>
                    <w:jc w:val="center"/>
                  </w:pPr>
                  <w:r>
                    <w:t>通川区其他区域</w:t>
                  </w:r>
                </w:p>
              </w:tc>
              <w:tc>
                <w:tcPr>
                  <w:tcW w:w="342" w:type="dxa"/>
                  <w:vMerge w:val="restart"/>
                  <w:tcBorders>
                    <w:tl2br w:val="nil"/>
                    <w:tr2bl w:val="nil"/>
                  </w:tcBorders>
                  <w:vAlign w:val="center"/>
                </w:tcPr>
                <w:p w14:paraId="4A8104DD">
                  <w:pPr>
                    <w:pStyle w:val="5"/>
                    <w:jc w:val="center"/>
                  </w:pPr>
                  <w:r>
                    <w:t>一般管控区</w:t>
                  </w:r>
                </w:p>
              </w:tc>
              <w:tc>
                <w:tcPr>
                  <w:tcW w:w="312" w:type="dxa"/>
                  <w:vMerge w:val="restart"/>
                  <w:tcBorders>
                    <w:tl2br w:val="nil"/>
                    <w:tr2bl w:val="nil"/>
                  </w:tcBorders>
                  <w:vAlign w:val="center"/>
                </w:tcPr>
                <w:p w14:paraId="24C5E38D">
                  <w:pPr>
                    <w:pStyle w:val="5"/>
                    <w:jc w:val="center"/>
                  </w:pPr>
                  <w:r>
                    <w:t>生态</w:t>
                  </w:r>
                </w:p>
              </w:tc>
              <w:tc>
                <w:tcPr>
                  <w:tcW w:w="289" w:type="dxa"/>
                  <w:vMerge w:val="restart"/>
                  <w:tcBorders>
                    <w:tl2br w:val="nil"/>
                    <w:tr2bl w:val="nil"/>
                  </w:tcBorders>
                  <w:vAlign w:val="center"/>
                </w:tcPr>
                <w:p w14:paraId="4BD06162">
                  <w:pPr>
                    <w:pStyle w:val="5"/>
                    <w:jc w:val="center"/>
                  </w:pPr>
                  <w:r>
                    <w:t>一般管控区</w:t>
                  </w:r>
                </w:p>
              </w:tc>
              <w:tc>
                <w:tcPr>
                  <w:tcW w:w="405" w:type="dxa"/>
                  <w:vMerge w:val="restart"/>
                  <w:tcBorders>
                    <w:tl2br w:val="nil"/>
                    <w:tr2bl w:val="nil"/>
                  </w:tcBorders>
                  <w:vAlign w:val="center"/>
                </w:tcPr>
                <w:p w14:paraId="3B9C149F">
                  <w:pPr>
                    <w:pStyle w:val="5"/>
                    <w:jc w:val="center"/>
                  </w:pPr>
                  <w:r>
                    <w:t>达州市通川区</w:t>
                  </w:r>
                </w:p>
              </w:tc>
              <w:tc>
                <w:tcPr>
                  <w:tcW w:w="435" w:type="dxa"/>
                  <w:tcBorders>
                    <w:tl2br w:val="nil"/>
                    <w:tr2bl w:val="nil"/>
                  </w:tcBorders>
                  <w:vAlign w:val="center"/>
                </w:tcPr>
                <w:p w14:paraId="2C751EEC">
                  <w:pPr>
                    <w:pStyle w:val="5"/>
                    <w:jc w:val="center"/>
                  </w:pPr>
                  <w:r>
                    <w:t>空间布局约束</w:t>
                  </w:r>
                </w:p>
              </w:tc>
              <w:tc>
                <w:tcPr>
                  <w:tcW w:w="3060" w:type="dxa"/>
                  <w:tcBorders>
                    <w:tl2br w:val="nil"/>
                    <w:tr2bl w:val="nil"/>
                  </w:tcBorders>
                  <w:vAlign w:val="center"/>
                </w:tcPr>
                <w:p w14:paraId="2E3886E1">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2F1EC3F5">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005A67C6">
                  <w:pPr>
                    <w:pStyle w:val="5"/>
                    <w:jc w:val="center"/>
                    <w:rPr>
                      <w:rFonts w:hint="eastAsia"/>
                      <w:lang w:val="en-US" w:eastAsia="zh-CN"/>
                    </w:rPr>
                  </w:pPr>
                  <w:r>
                    <w:rPr>
                      <w:rFonts w:hint="eastAsia"/>
                      <w:lang w:val="en-US" w:eastAsia="zh-CN"/>
                    </w:rPr>
                    <w:t>/</w:t>
                  </w:r>
                </w:p>
              </w:tc>
            </w:tr>
            <w:tr w14:paraId="6B4085D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07B68AC9">
                  <w:pPr>
                    <w:pStyle w:val="5"/>
                    <w:jc w:val="center"/>
                  </w:pPr>
                </w:p>
              </w:tc>
              <w:tc>
                <w:tcPr>
                  <w:tcW w:w="377" w:type="dxa"/>
                  <w:vMerge w:val="continue"/>
                  <w:tcBorders>
                    <w:tl2br w:val="nil"/>
                    <w:tr2bl w:val="nil"/>
                  </w:tcBorders>
                  <w:vAlign w:val="center"/>
                </w:tcPr>
                <w:p w14:paraId="772EFDA6">
                  <w:pPr>
                    <w:pStyle w:val="5"/>
                    <w:jc w:val="center"/>
                  </w:pPr>
                </w:p>
              </w:tc>
              <w:tc>
                <w:tcPr>
                  <w:tcW w:w="342" w:type="dxa"/>
                  <w:vMerge w:val="continue"/>
                  <w:tcBorders>
                    <w:tl2br w:val="nil"/>
                    <w:tr2bl w:val="nil"/>
                  </w:tcBorders>
                  <w:vAlign w:val="center"/>
                </w:tcPr>
                <w:p w14:paraId="33B658EE">
                  <w:pPr>
                    <w:pStyle w:val="5"/>
                    <w:jc w:val="center"/>
                  </w:pPr>
                </w:p>
              </w:tc>
              <w:tc>
                <w:tcPr>
                  <w:tcW w:w="312" w:type="dxa"/>
                  <w:vMerge w:val="continue"/>
                  <w:tcBorders>
                    <w:tl2br w:val="nil"/>
                    <w:tr2bl w:val="nil"/>
                  </w:tcBorders>
                  <w:vAlign w:val="center"/>
                </w:tcPr>
                <w:p w14:paraId="366703E9">
                  <w:pPr>
                    <w:pStyle w:val="5"/>
                    <w:jc w:val="center"/>
                  </w:pPr>
                </w:p>
              </w:tc>
              <w:tc>
                <w:tcPr>
                  <w:tcW w:w="289" w:type="dxa"/>
                  <w:vMerge w:val="continue"/>
                  <w:tcBorders>
                    <w:tl2br w:val="nil"/>
                    <w:tr2bl w:val="nil"/>
                  </w:tcBorders>
                  <w:vAlign w:val="center"/>
                </w:tcPr>
                <w:p w14:paraId="660ACC26">
                  <w:pPr>
                    <w:pStyle w:val="5"/>
                    <w:jc w:val="center"/>
                  </w:pPr>
                </w:p>
              </w:tc>
              <w:tc>
                <w:tcPr>
                  <w:tcW w:w="405" w:type="dxa"/>
                  <w:vMerge w:val="continue"/>
                  <w:tcBorders>
                    <w:tl2br w:val="nil"/>
                    <w:tr2bl w:val="nil"/>
                  </w:tcBorders>
                  <w:vAlign w:val="center"/>
                </w:tcPr>
                <w:p w14:paraId="0D23E8DE">
                  <w:pPr>
                    <w:pStyle w:val="5"/>
                    <w:jc w:val="center"/>
                  </w:pPr>
                </w:p>
              </w:tc>
              <w:tc>
                <w:tcPr>
                  <w:tcW w:w="435" w:type="dxa"/>
                  <w:tcBorders>
                    <w:tl2br w:val="nil"/>
                    <w:tr2bl w:val="nil"/>
                  </w:tcBorders>
                  <w:vAlign w:val="center"/>
                </w:tcPr>
                <w:p w14:paraId="71CD6D9E">
                  <w:pPr>
                    <w:pStyle w:val="5"/>
                    <w:jc w:val="center"/>
                  </w:pPr>
                  <w:r>
                    <w:t>污染物排放管控</w:t>
                  </w:r>
                </w:p>
              </w:tc>
              <w:tc>
                <w:tcPr>
                  <w:tcW w:w="3060" w:type="dxa"/>
                  <w:tcBorders>
                    <w:tl2br w:val="nil"/>
                    <w:tr2bl w:val="nil"/>
                  </w:tcBorders>
                  <w:vAlign w:val="center"/>
                </w:tcPr>
                <w:p w14:paraId="4D250CD8">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04D55FF5">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252B446A">
                  <w:pPr>
                    <w:pStyle w:val="5"/>
                    <w:jc w:val="center"/>
                    <w:rPr>
                      <w:rFonts w:hint="eastAsia"/>
                      <w:lang w:val="en-US" w:eastAsia="zh-CN"/>
                    </w:rPr>
                  </w:pPr>
                  <w:r>
                    <w:rPr>
                      <w:rFonts w:hint="eastAsia"/>
                      <w:lang w:val="en-US" w:eastAsia="zh-CN"/>
                    </w:rPr>
                    <w:t>/</w:t>
                  </w:r>
                </w:p>
              </w:tc>
            </w:tr>
            <w:tr w14:paraId="464D2EF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639" w:type="dxa"/>
                  <w:vMerge w:val="continue"/>
                  <w:tcBorders>
                    <w:tl2br w:val="nil"/>
                    <w:tr2bl w:val="nil"/>
                  </w:tcBorders>
                  <w:vAlign w:val="center"/>
                </w:tcPr>
                <w:p w14:paraId="3CBFA20D">
                  <w:pPr>
                    <w:pStyle w:val="5"/>
                    <w:jc w:val="center"/>
                  </w:pPr>
                </w:p>
              </w:tc>
              <w:tc>
                <w:tcPr>
                  <w:tcW w:w="377" w:type="dxa"/>
                  <w:vMerge w:val="continue"/>
                  <w:tcBorders>
                    <w:tl2br w:val="nil"/>
                    <w:tr2bl w:val="nil"/>
                  </w:tcBorders>
                  <w:vAlign w:val="center"/>
                </w:tcPr>
                <w:p w14:paraId="34849BA4">
                  <w:pPr>
                    <w:pStyle w:val="5"/>
                    <w:jc w:val="center"/>
                  </w:pPr>
                </w:p>
              </w:tc>
              <w:tc>
                <w:tcPr>
                  <w:tcW w:w="342" w:type="dxa"/>
                  <w:vMerge w:val="continue"/>
                  <w:tcBorders>
                    <w:tl2br w:val="nil"/>
                    <w:tr2bl w:val="nil"/>
                  </w:tcBorders>
                  <w:vAlign w:val="center"/>
                </w:tcPr>
                <w:p w14:paraId="7BEA3967">
                  <w:pPr>
                    <w:pStyle w:val="5"/>
                    <w:jc w:val="center"/>
                  </w:pPr>
                </w:p>
              </w:tc>
              <w:tc>
                <w:tcPr>
                  <w:tcW w:w="312" w:type="dxa"/>
                  <w:vMerge w:val="continue"/>
                  <w:tcBorders>
                    <w:tl2br w:val="nil"/>
                    <w:tr2bl w:val="nil"/>
                  </w:tcBorders>
                  <w:vAlign w:val="center"/>
                </w:tcPr>
                <w:p w14:paraId="7ED0493D">
                  <w:pPr>
                    <w:pStyle w:val="5"/>
                    <w:jc w:val="center"/>
                  </w:pPr>
                </w:p>
              </w:tc>
              <w:tc>
                <w:tcPr>
                  <w:tcW w:w="289" w:type="dxa"/>
                  <w:vMerge w:val="continue"/>
                  <w:tcBorders>
                    <w:tl2br w:val="nil"/>
                    <w:tr2bl w:val="nil"/>
                  </w:tcBorders>
                  <w:vAlign w:val="center"/>
                </w:tcPr>
                <w:p w14:paraId="193E833F">
                  <w:pPr>
                    <w:pStyle w:val="5"/>
                    <w:jc w:val="center"/>
                  </w:pPr>
                </w:p>
              </w:tc>
              <w:tc>
                <w:tcPr>
                  <w:tcW w:w="405" w:type="dxa"/>
                  <w:vMerge w:val="continue"/>
                  <w:tcBorders>
                    <w:tl2br w:val="nil"/>
                    <w:tr2bl w:val="nil"/>
                  </w:tcBorders>
                  <w:vAlign w:val="center"/>
                </w:tcPr>
                <w:p w14:paraId="220C19CD">
                  <w:pPr>
                    <w:pStyle w:val="5"/>
                    <w:jc w:val="center"/>
                  </w:pPr>
                </w:p>
              </w:tc>
              <w:tc>
                <w:tcPr>
                  <w:tcW w:w="435" w:type="dxa"/>
                  <w:tcBorders>
                    <w:tl2br w:val="nil"/>
                    <w:tr2bl w:val="nil"/>
                  </w:tcBorders>
                  <w:vAlign w:val="center"/>
                </w:tcPr>
                <w:p w14:paraId="577AF36A">
                  <w:pPr>
                    <w:pStyle w:val="5"/>
                    <w:jc w:val="center"/>
                  </w:pPr>
                  <w:r>
                    <w:t>环境风险防控</w:t>
                  </w:r>
                </w:p>
              </w:tc>
              <w:tc>
                <w:tcPr>
                  <w:tcW w:w="3060" w:type="dxa"/>
                  <w:tcBorders>
                    <w:tl2br w:val="nil"/>
                    <w:tr2bl w:val="nil"/>
                  </w:tcBorders>
                  <w:vAlign w:val="center"/>
                </w:tcPr>
                <w:p w14:paraId="3480E1E3">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19659D5D">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70E87A49">
                  <w:pPr>
                    <w:pStyle w:val="5"/>
                    <w:jc w:val="center"/>
                    <w:rPr>
                      <w:rFonts w:hint="eastAsia"/>
                      <w:lang w:val="en-US" w:eastAsia="zh-CN"/>
                    </w:rPr>
                  </w:pPr>
                  <w:r>
                    <w:rPr>
                      <w:rFonts w:hint="eastAsia"/>
                      <w:lang w:val="en-US" w:eastAsia="zh-CN"/>
                    </w:rPr>
                    <w:t>/</w:t>
                  </w:r>
                </w:p>
              </w:tc>
            </w:tr>
            <w:tr w14:paraId="6738018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3B0480A1">
                  <w:pPr>
                    <w:pStyle w:val="5"/>
                    <w:jc w:val="center"/>
                  </w:pPr>
                </w:p>
              </w:tc>
              <w:tc>
                <w:tcPr>
                  <w:tcW w:w="377" w:type="dxa"/>
                  <w:vMerge w:val="continue"/>
                  <w:tcBorders>
                    <w:tl2br w:val="nil"/>
                    <w:tr2bl w:val="nil"/>
                  </w:tcBorders>
                  <w:vAlign w:val="center"/>
                </w:tcPr>
                <w:p w14:paraId="60431832">
                  <w:pPr>
                    <w:pStyle w:val="5"/>
                    <w:jc w:val="center"/>
                  </w:pPr>
                </w:p>
              </w:tc>
              <w:tc>
                <w:tcPr>
                  <w:tcW w:w="342" w:type="dxa"/>
                  <w:vMerge w:val="continue"/>
                  <w:tcBorders>
                    <w:tl2br w:val="nil"/>
                    <w:tr2bl w:val="nil"/>
                  </w:tcBorders>
                  <w:vAlign w:val="center"/>
                </w:tcPr>
                <w:p w14:paraId="0BF01C01">
                  <w:pPr>
                    <w:pStyle w:val="5"/>
                    <w:jc w:val="center"/>
                  </w:pPr>
                </w:p>
              </w:tc>
              <w:tc>
                <w:tcPr>
                  <w:tcW w:w="312" w:type="dxa"/>
                  <w:vMerge w:val="continue"/>
                  <w:tcBorders>
                    <w:tl2br w:val="nil"/>
                    <w:tr2bl w:val="nil"/>
                  </w:tcBorders>
                  <w:vAlign w:val="center"/>
                </w:tcPr>
                <w:p w14:paraId="00DC903A">
                  <w:pPr>
                    <w:pStyle w:val="5"/>
                    <w:jc w:val="center"/>
                  </w:pPr>
                </w:p>
              </w:tc>
              <w:tc>
                <w:tcPr>
                  <w:tcW w:w="289" w:type="dxa"/>
                  <w:vMerge w:val="continue"/>
                  <w:tcBorders>
                    <w:tl2br w:val="nil"/>
                    <w:tr2bl w:val="nil"/>
                  </w:tcBorders>
                  <w:vAlign w:val="center"/>
                </w:tcPr>
                <w:p w14:paraId="625A2421">
                  <w:pPr>
                    <w:pStyle w:val="5"/>
                    <w:jc w:val="center"/>
                  </w:pPr>
                </w:p>
              </w:tc>
              <w:tc>
                <w:tcPr>
                  <w:tcW w:w="405" w:type="dxa"/>
                  <w:vMerge w:val="continue"/>
                  <w:tcBorders>
                    <w:tl2br w:val="nil"/>
                    <w:tr2bl w:val="nil"/>
                  </w:tcBorders>
                  <w:vAlign w:val="center"/>
                </w:tcPr>
                <w:p w14:paraId="4B8CD7D4">
                  <w:pPr>
                    <w:pStyle w:val="5"/>
                    <w:jc w:val="center"/>
                  </w:pPr>
                </w:p>
              </w:tc>
              <w:tc>
                <w:tcPr>
                  <w:tcW w:w="435" w:type="dxa"/>
                  <w:tcBorders>
                    <w:tl2br w:val="nil"/>
                    <w:tr2bl w:val="nil"/>
                  </w:tcBorders>
                  <w:vAlign w:val="center"/>
                </w:tcPr>
                <w:p w14:paraId="1E1B05F8">
                  <w:pPr>
                    <w:pStyle w:val="5"/>
                    <w:jc w:val="center"/>
                  </w:pPr>
                  <w:r>
                    <w:t>资源开发利用效率要求</w:t>
                  </w:r>
                </w:p>
              </w:tc>
              <w:tc>
                <w:tcPr>
                  <w:tcW w:w="3060" w:type="dxa"/>
                  <w:tcBorders>
                    <w:tl2br w:val="nil"/>
                    <w:tr2bl w:val="nil"/>
                  </w:tcBorders>
                  <w:vAlign w:val="center"/>
                </w:tcPr>
                <w:p w14:paraId="49ED0D56">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47E76415">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34B54458">
                  <w:pPr>
                    <w:pStyle w:val="5"/>
                    <w:jc w:val="center"/>
                    <w:rPr>
                      <w:rFonts w:hint="eastAsia"/>
                      <w:lang w:val="en-US" w:eastAsia="zh-CN"/>
                    </w:rPr>
                  </w:pPr>
                  <w:r>
                    <w:rPr>
                      <w:rFonts w:hint="eastAsia"/>
                      <w:lang w:val="en-US" w:eastAsia="zh-CN"/>
                    </w:rPr>
                    <w:t>/</w:t>
                  </w:r>
                </w:p>
              </w:tc>
            </w:tr>
            <w:tr w14:paraId="16218E2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restart"/>
                  <w:tcBorders>
                    <w:tl2br w:val="nil"/>
                    <w:tr2bl w:val="nil"/>
                  </w:tcBorders>
                  <w:vAlign w:val="center"/>
                </w:tcPr>
                <w:p w14:paraId="24F00471">
                  <w:pPr>
                    <w:pStyle w:val="5"/>
                    <w:jc w:val="center"/>
                  </w:pPr>
                  <w:r>
                    <w:t>YS5117022310001</w:t>
                  </w:r>
                </w:p>
              </w:tc>
              <w:tc>
                <w:tcPr>
                  <w:tcW w:w="377" w:type="dxa"/>
                  <w:vMerge w:val="restart"/>
                  <w:tcBorders>
                    <w:tl2br w:val="nil"/>
                    <w:tr2bl w:val="nil"/>
                  </w:tcBorders>
                  <w:vAlign w:val="center"/>
                </w:tcPr>
                <w:p w14:paraId="6AB00E4A">
                  <w:pPr>
                    <w:pStyle w:val="5"/>
                    <w:jc w:val="center"/>
                  </w:pPr>
                  <w:r>
                    <w:t>达州市农产品加工集中区</w:t>
                  </w:r>
                </w:p>
              </w:tc>
              <w:tc>
                <w:tcPr>
                  <w:tcW w:w="342" w:type="dxa"/>
                  <w:vMerge w:val="restart"/>
                  <w:tcBorders>
                    <w:tl2br w:val="nil"/>
                    <w:tr2bl w:val="nil"/>
                  </w:tcBorders>
                  <w:vAlign w:val="center"/>
                </w:tcPr>
                <w:p w14:paraId="2A4FDC99">
                  <w:pPr>
                    <w:pStyle w:val="5"/>
                    <w:jc w:val="center"/>
                  </w:pPr>
                  <w:r>
                    <w:t>重点管控区</w:t>
                  </w:r>
                </w:p>
              </w:tc>
              <w:tc>
                <w:tcPr>
                  <w:tcW w:w="312" w:type="dxa"/>
                  <w:vMerge w:val="restart"/>
                  <w:tcBorders>
                    <w:tl2br w:val="nil"/>
                    <w:tr2bl w:val="nil"/>
                  </w:tcBorders>
                  <w:vAlign w:val="center"/>
                </w:tcPr>
                <w:p w14:paraId="3A4561B3">
                  <w:pPr>
                    <w:pStyle w:val="5"/>
                    <w:jc w:val="center"/>
                  </w:pPr>
                  <w:r>
                    <w:t>大气</w:t>
                  </w:r>
                </w:p>
              </w:tc>
              <w:tc>
                <w:tcPr>
                  <w:tcW w:w="289" w:type="dxa"/>
                  <w:vMerge w:val="restart"/>
                  <w:tcBorders>
                    <w:tl2br w:val="nil"/>
                    <w:tr2bl w:val="nil"/>
                  </w:tcBorders>
                  <w:vAlign w:val="center"/>
                </w:tcPr>
                <w:p w14:paraId="707CBEDB">
                  <w:pPr>
                    <w:pStyle w:val="5"/>
                    <w:jc w:val="center"/>
                  </w:pPr>
                  <w:r>
                    <w:t>大气环境高排放重点管控区</w:t>
                  </w:r>
                </w:p>
              </w:tc>
              <w:tc>
                <w:tcPr>
                  <w:tcW w:w="405" w:type="dxa"/>
                  <w:vMerge w:val="restart"/>
                  <w:tcBorders>
                    <w:tl2br w:val="nil"/>
                    <w:tr2bl w:val="nil"/>
                  </w:tcBorders>
                  <w:vAlign w:val="center"/>
                </w:tcPr>
                <w:p w14:paraId="6443D81A">
                  <w:pPr>
                    <w:pStyle w:val="5"/>
                    <w:jc w:val="center"/>
                  </w:pPr>
                  <w:r>
                    <w:t>达州市通川区</w:t>
                  </w:r>
                </w:p>
              </w:tc>
              <w:tc>
                <w:tcPr>
                  <w:tcW w:w="435" w:type="dxa"/>
                  <w:tcBorders>
                    <w:tl2br w:val="nil"/>
                    <w:tr2bl w:val="nil"/>
                  </w:tcBorders>
                  <w:vAlign w:val="center"/>
                </w:tcPr>
                <w:p w14:paraId="1FE9F373">
                  <w:pPr>
                    <w:pStyle w:val="5"/>
                    <w:jc w:val="center"/>
                  </w:pPr>
                  <w:r>
                    <w:t>空间布局约束</w:t>
                  </w:r>
                </w:p>
              </w:tc>
              <w:tc>
                <w:tcPr>
                  <w:tcW w:w="3060" w:type="dxa"/>
                  <w:tcBorders>
                    <w:tl2br w:val="nil"/>
                    <w:tr2bl w:val="nil"/>
                  </w:tcBorders>
                  <w:vAlign w:val="center"/>
                </w:tcPr>
                <w:p w14:paraId="5078BD4B">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74BA96BE">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5BB638EC">
                  <w:pPr>
                    <w:pStyle w:val="5"/>
                    <w:jc w:val="center"/>
                    <w:rPr>
                      <w:rFonts w:hint="eastAsia"/>
                      <w:lang w:val="en-US" w:eastAsia="zh-CN"/>
                    </w:rPr>
                  </w:pPr>
                  <w:r>
                    <w:rPr>
                      <w:rFonts w:hint="eastAsia"/>
                      <w:lang w:val="en-US" w:eastAsia="zh-CN"/>
                    </w:rPr>
                    <w:t>/</w:t>
                  </w:r>
                </w:p>
              </w:tc>
            </w:tr>
            <w:tr w14:paraId="479F1AC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1C1BAC05">
                  <w:pPr>
                    <w:pStyle w:val="5"/>
                    <w:jc w:val="center"/>
                  </w:pPr>
                </w:p>
              </w:tc>
              <w:tc>
                <w:tcPr>
                  <w:tcW w:w="377" w:type="dxa"/>
                  <w:vMerge w:val="continue"/>
                  <w:tcBorders>
                    <w:tl2br w:val="nil"/>
                    <w:tr2bl w:val="nil"/>
                  </w:tcBorders>
                  <w:vAlign w:val="center"/>
                </w:tcPr>
                <w:p w14:paraId="6CC86DD1">
                  <w:pPr>
                    <w:pStyle w:val="5"/>
                    <w:jc w:val="center"/>
                  </w:pPr>
                </w:p>
              </w:tc>
              <w:tc>
                <w:tcPr>
                  <w:tcW w:w="342" w:type="dxa"/>
                  <w:vMerge w:val="continue"/>
                  <w:tcBorders>
                    <w:tl2br w:val="nil"/>
                    <w:tr2bl w:val="nil"/>
                  </w:tcBorders>
                  <w:vAlign w:val="center"/>
                </w:tcPr>
                <w:p w14:paraId="6979F003">
                  <w:pPr>
                    <w:pStyle w:val="5"/>
                    <w:jc w:val="center"/>
                  </w:pPr>
                </w:p>
              </w:tc>
              <w:tc>
                <w:tcPr>
                  <w:tcW w:w="312" w:type="dxa"/>
                  <w:vMerge w:val="continue"/>
                  <w:tcBorders>
                    <w:tl2br w:val="nil"/>
                    <w:tr2bl w:val="nil"/>
                  </w:tcBorders>
                  <w:vAlign w:val="center"/>
                </w:tcPr>
                <w:p w14:paraId="293E0FBA">
                  <w:pPr>
                    <w:pStyle w:val="5"/>
                    <w:jc w:val="center"/>
                  </w:pPr>
                </w:p>
              </w:tc>
              <w:tc>
                <w:tcPr>
                  <w:tcW w:w="289" w:type="dxa"/>
                  <w:vMerge w:val="continue"/>
                  <w:tcBorders>
                    <w:tl2br w:val="nil"/>
                    <w:tr2bl w:val="nil"/>
                  </w:tcBorders>
                  <w:vAlign w:val="center"/>
                </w:tcPr>
                <w:p w14:paraId="4E10C183">
                  <w:pPr>
                    <w:pStyle w:val="5"/>
                    <w:jc w:val="center"/>
                  </w:pPr>
                </w:p>
              </w:tc>
              <w:tc>
                <w:tcPr>
                  <w:tcW w:w="405" w:type="dxa"/>
                  <w:vMerge w:val="continue"/>
                  <w:tcBorders>
                    <w:tl2br w:val="nil"/>
                    <w:tr2bl w:val="nil"/>
                  </w:tcBorders>
                  <w:vAlign w:val="center"/>
                </w:tcPr>
                <w:p w14:paraId="7E536975">
                  <w:pPr>
                    <w:pStyle w:val="5"/>
                    <w:jc w:val="center"/>
                  </w:pPr>
                </w:p>
              </w:tc>
              <w:tc>
                <w:tcPr>
                  <w:tcW w:w="435" w:type="dxa"/>
                  <w:tcBorders>
                    <w:tl2br w:val="nil"/>
                    <w:tr2bl w:val="nil"/>
                  </w:tcBorders>
                  <w:vAlign w:val="center"/>
                </w:tcPr>
                <w:p w14:paraId="392C1460">
                  <w:pPr>
                    <w:pStyle w:val="5"/>
                    <w:jc w:val="center"/>
                  </w:pPr>
                  <w:r>
                    <w:t>污染物排放管控</w:t>
                  </w:r>
                </w:p>
              </w:tc>
              <w:tc>
                <w:tcPr>
                  <w:tcW w:w="3060" w:type="dxa"/>
                  <w:tcBorders>
                    <w:tl2br w:val="nil"/>
                    <w:tr2bl w:val="nil"/>
                  </w:tcBorders>
                  <w:vAlign w:val="center"/>
                </w:tcPr>
                <w:p w14:paraId="4F38A33E">
                  <w:pPr>
                    <w:pStyle w:val="5"/>
                    <w:jc w:val="both"/>
                    <w:rPr>
                      <w:rFonts w:hint="eastAsia"/>
                      <w:lang w:eastAsia="zh-CN"/>
                    </w:rPr>
                  </w:pPr>
                  <w:r>
                    <w:t>现有源提标升级改造</w:t>
                  </w:r>
                  <w:r>
                    <w:rPr>
                      <w:rFonts w:hint="eastAsia"/>
                      <w:lang w:eastAsia="zh-CN"/>
                    </w:rPr>
                    <w:t>：</w:t>
                  </w:r>
                </w:p>
                <w:p w14:paraId="26A212AE">
                  <w:pPr>
                    <w:pStyle w:val="5"/>
                    <w:jc w:val="both"/>
                    <w:rPr>
                      <w:rFonts w:hint="eastAsia"/>
                    </w:rPr>
                  </w:pPr>
                  <w:r>
                    <w:t>《环境空气质量标准》（GB3095-2012）：二级</w:t>
                  </w:r>
                  <w:r>
                    <w:rPr>
                      <w:rFonts w:hint="eastAsia"/>
                      <w:lang w:eastAsia="zh-CN"/>
                    </w:rPr>
                    <w:t>。</w:t>
                  </w:r>
                </w:p>
                <w:p w14:paraId="721EA4E5">
                  <w:pPr>
                    <w:pStyle w:val="5"/>
                    <w:jc w:val="both"/>
                    <w:rPr>
                      <w:rFonts w:hint="eastAsia"/>
                      <w:lang w:val="en-US" w:eastAsia="zh-CN"/>
                    </w:rPr>
                  </w:pPr>
                  <w:r>
                    <w:rPr>
                      <w:rFonts w:hint="eastAsia"/>
                      <w:lang w:val="en-US" w:eastAsia="zh-CN"/>
                    </w:rPr>
                    <w:t>新增源等量或倍量替代：</w:t>
                  </w:r>
                </w:p>
                <w:p w14:paraId="1B0D9965">
                  <w:pPr>
                    <w:pStyle w:val="5"/>
                    <w:jc w:val="both"/>
                    <w:rPr>
                      <w:rFonts w:hint="eastAsia"/>
                      <w:lang w:val="en-US" w:eastAsia="zh-CN"/>
                    </w:rPr>
                  </w:pPr>
                  <w:r>
                    <w:t>否</w:t>
                  </w:r>
                </w:p>
                <w:p w14:paraId="7830C1A0">
                  <w:pPr>
                    <w:pStyle w:val="5"/>
                    <w:jc w:val="both"/>
                  </w:pPr>
                  <w:r>
                    <w:rPr>
                      <w:rFonts w:hint="eastAsia"/>
                      <w:lang w:val="en-US" w:eastAsia="zh-CN"/>
                    </w:rPr>
                    <w:t>新增源排放标准限值：</w:t>
                  </w:r>
                </w:p>
                <w:p w14:paraId="7B31A14A">
                  <w:pPr>
                    <w:pStyle w:val="5"/>
                    <w:jc w:val="both"/>
                  </w:pPr>
                  <w:r>
                    <w:rPr>
                      <w:rFonts w:hint="eastAsia"/>
                    </w:rPr>
                    <w:t>/</w:t>
                  </w:r>
                </w:p>
                <w:p w14:paraId="2EACBD02">
                  <w:pPr>
                    <w:pStyle w:val="5"/>
                    <w:jc w:val="both"/>
                    <w:rPr>
                      <w:rFonts w:hint="eastAsia"/>
                    </w:rPr>
                  </w:pPr>
                  <w:r>
                    <w:rPr>
                      <w:rFonts w:hint="eastAsia"/>
                      <w:lang w:val="en-US" w:eastAsia="zh-CN"/>
                    </w:rPr>
                    <w:t>污染物排放绩效水平准入要求：</w:t>
                  </w:r>
                </w:p>
                <w:p w14:paraId="60038D37">
                  <w:pPr>
                    <w:pStyle w:val="5"/>
                    <w:jc w:val="both"/>
                  </w:pPr>
                  <w:r>
                    <w:rPr>
                      <w:rFonts w:hint="eastAsia"/>
                    </w:rPr>
                    <w:t>/</w:t>
                  </w:r>
                </w:p>
                <w:p w14:paraId="10B54868">
                  <w:pPr>
                    <w:pStyle w:val="5"/>
                    <w:jc w:val="both"/>
                    <w:rPr>
                      <w:rFonts w:hint="eastAsia"/>
                    </w:rPr>
                  </w:pPr>
                  <w:r>
                    <w:rPr>
                      <w:rFonts w:hint="eastAsia"/>
                      <w:lang w:val="en-US" w:eastAsia="zh-CN"/>
                    </w:rPr>
                    <w:t>其他污染物排放管控要求：</w:t>
                  </w:r>
                </w:p>
                <w:p w14:paraId="3AF16C86">
                  <w:pPr>
                    <w:pStyle w:val="5"/>
                    <w:jc w:val="both"/>
                  </w:pPr>
                </w:p>
              </w:tc>
              <w:tc>
                <w:tcPr>
                  <w:tcW w:w="2280" w:type="dxa"/>
                  <w:tcBorders>
                    <w:tl2br w:val="nil"/>
                    <w:tr2bl w:val="nil"/>
                  </w:tcBorders>
                  <w:vAlign w:val="center"/>
                </w:tcPr>
                <w:p w14:paraId="2477FDA4">
                  <w:pPr>
                    <w:pStyle w:val="5"/>
                    <w:jc w:val="both"/>
                    <w:rPr>
                      <w:highlight w:val="none"/>
                    </w:rPr>
                  </w:pPr>
                  <w:r>
                    <w:rPr>
                      <w:highlight w:val="none"/>
                    </w:rPr>
                    <w:t>现有源提标升级改造</w:t>
                  </w:r>
                  <w:r>
                    <w:rPr>
                      <w:rFonts w:hint="eastAsia"/>
                      <w:highlight w:val="none"/>
                      <w:lang w:eastAsia="zh-CN"/>
                    </w:rPr>
                    <w:t>：</w:t>
                  </w:r>
                </w:p>
                <w:p w14:paraId="46BAFC83">
                  <w:pPr>
                    <w:pStyle w:val="5"/>
                    <w:jc w:val="both"/>
                    <w:rPr>
                      <w:rFonts w:hint="eastAsia"/>
                      <w:highlight w:val="none"/>
                      <w:lang w:val="en-US" w:eastAsia="zh-CN"/>
                    </w:rPr>
                  </w:pPr>
                  <w:r>
                    <w:rPr>
                      <w:rFonts w:hint="eastAsia"/>
                      <w:highlight w:val="none"/>
                      <w:lang w:val="en-US" w:eastAsia="zh-CN"/>
                    </w:rPr>
                    <w:t>本项目执行</w:t>
                  </w:r>
                  <w:r>
                    <w:rPr>
                      <w:highlight w:val="none"/>
                    </w:rPr>
                    <w:t>《环境空气质量标准》（GB3095-2012）二级</w:t>
                  </w:r>
                  <w:r>
                    <w:rPr>
                      <w:rFonts w:hint="eastAsia"/>
                      <w:highlight w:val="none"/>
                      <w:lang w:val="en-US" w:eastAsia="zh-CN"/>
                    </w:rPr>
                    <w:t>标准；</w:t>
                  </w:r>
                </w:p>
                <w:p w14:paraId="071BF326">
                  <w:pPr>
                    <w:pStyle w:val="5"/>
                    <w:jc w:val="both"/>
                    <w:rPr>
                      <w:rFonts w:hint="eastAsia"/>
                      <w:highlight w:val="none"/>
                      <w:lang w:eastAsia="zh-CN"/>
                    </w:rPr>
                  </w:pPr>
                  <w:r>
                    <w:rPr>
                      <w:highlight w:val="none"/>
                    </w:rPr>
                    <w:t>新增源等量或倍量替代</w:t>
                  </w:r>
                  <w:r>
                    <w:rPr>
                      <w:rFonts w:hint="eastAsia"/>
                      <w:highlight w:val="none"/>
                      <w:lang w:eastAsia="zh-CN"/>
                    </w:rPr>
                    <w:t>：</w:t>
                  </w:r>
                </w:p>
                <w:p w14:paraId="2F80370C">
                  <w:pPr>
                    <w:pStyle w:val="5"/>
                    <w:jc w:val="both"/>
                    <w:rPr>
                      <w:rFonts w:hint="default"/>
                      <w:highlight w:val="none"/>
                      <w:lang w:val="en-US" w:eastAsia="zh-CN"/>
                    </w:rPr>
                  </w:pPr>
                  <w:r>
                    <w:rPr>
                      <w:rFonts w:hint="eastAsia"/>
                      <w:highlight w:val="none"/>
                      <w:lang w:val="en-US" w:eastAsia="zh-CN"/>
                    </w:rPr>
                    <w:t>新增VOC</w:t>
                  </w:r>
                  <w:r>
                    <w:rPr>
                      <w:rFonts w:hint="eastAsia"/>
                      <w:highlight w:val="none"/>
                      <w:vertAlign w:val="subscript"/>
                      <w:lang w:val="en-US" w:eastAsia="zh-CN"/>
                    </w:rPr>
                    <w:t>S</w:t>
                  </w:r>
                  <w:r>
                    <w:rPr>
                      <w:rFonts w:hint="eastAsia"/>
                      <w:highlight w:val="none"/>
                      <w:lang w:val="en-US" w:eastAsia="zh-CN"/>
                    </w:rPr>
                    <w:t>不执行</w:t>
                  </w:r>
                  <w:r>
                    <w:rPr>
                      <w:highlight w:val="none"/>
                    </w:rPr>
                    <w:t>等量或倍量替代</w:t>
                  </w:r>
                </w:p>
              </w:tc>
              <w:tc>
                <w:tcPr>
                  <w:tcW w:w="705" w:type="dxa"/>
                  <w:tcBorders>
                    <w:tl2br w:val="nil"/>
                    <w:tr2bl w:val="nil"/>
                  </w:tcBorders>
                  <w:vAlign w:val="center"/>
                </w:tcPr>
                <w:p w14:paraId="6C00D50B">
                  <w:pPr>
                    <w:pStyle w:val="5"/>
                    <w:jc w:val="center"/>
                  </w:pPr>
                  <w:r>
                    <w:rPr>
                      <w:rFonts w:hint="eastAsia"/>
                      <w:lang w:val="en-US" w:eastAsia="zh-CN"/>
                    </w:rPr>
                    <w:t>符合</w:t>
                  </w:r>
                </w:p>
              </w:tc>
            </w:tr>
            <w:tr w14:paraId="5BB4592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639" w:type="dxa"/>
                  <w:vMerge w:val="continue"/>
                  <w:tcBorders>
                    <w:tl2br w:val="nil"/>
                    <w:tr2bl w:val="nil"/>
                  </w:tcBorders>
                  <w:vAlign w:val="center"/>
                </w:tcPr>
                <w:p w14:paraId="43E706D5">
                  <w:pPr>
                    <w:pStyle w:val="5"/>
                    <w:jc w:val="center"/>
                  </w:pPr>
                </w:p>
              </w:tc>
              <w:tc>
                <w:tcPr>
                  <w:tcW w:w="377" w:type="dxa"/>
                  <w:vMerge w:val="continue"/>
                  <w:tcBorders>
                    <w:tl2br w:val="nil"/>
                    <w:tr2bl w:val="nil"/>
                  </w:tcBorders>
                  <w:vAlign w:val="center"/>
                </w:tcPr>
                <w:p w14:paraId="2DF20A6A">
                  <w:pPr>
                    <w:pStyle w:val="5"/>
                    <w:jc w:val="center"/>
                  </w:pPr>
                </w:p>
              </w:tc>
              <w:tc>
                <w:tcPr>
                  <w:tcW w:w="342" w:type="dxa"/>
                  <w:vMerge w:val="continue"/>
                  <w:tcBorders>
                    <w:tl2br w:val="nil"/>
                    <w:tr2bl w:val="nil"/>
                  </w:tcBorders>
                  <w:vAlign w:val="center"/>
                </w:tcPr>
                <w:p w14:paraId="45C6B8E5">
                  <w:pPr>
                    <w:pStyle w:val="5"/>
                    <w:jc w:val="center"/>
                  </w:pPr>
                </w:p>
              </w:tc>
              <w:tc>
                <w:tcPr>
                  <w:tcW w:w="312" w:type="dxa"/>
                  <w:vMerge w:val="continue"/>
                  <w:tcBorders>
                    <w:tl2br w:val="nil"/>
                    <w:tr2bl w:val="nil"/>
                  </w:tcBorders>
                  <w:vAlign w:val="center"/>
                </w:tcPr>
                <w:p w14:paraId="556445BD">
                  <w:pPr>
                    <w:pStyle w:val="5"/>
                    <w:jc w:val="center"/>
                  </w:pPr>
                </w:p>
              </w:tc>
              <w:tc>
                <w:tcPr>
                  <w:tcW w:w="289" w:type="dxa"/>
                  <w:vMerge w:val="continue"/>
                  <w:tcBorders>
                    <w:tl2br w:val="nil"/>
                    <w:tr2bl w:val="nil"/>
                  </w:tcBorders>
                  <w:vAlign w:val="center"/>
                </w:tcPr>
                <w:p w14:paraId="58C2D0D1">
                  <w:pPr>
                    <w:pStyle w:val="5"/>
                    <w:jc w:val="center"/>
                  </w:pPr>
                </w:p>
              </w:tc>
              <w:tc>
                <w:tcPr>
                  <w:tcW w:w="405" w:type="dxa"/>
                  <w:vMerge w:val="continue"/>
                  <w:tcBorders>
                    <w:tl2br w:val="nil"/>
                    <w:tr2bl w:val="nil"/>
                  </w:tcBorders>
                  <w:vAlign w:val="center"/>
                </w:tcPr>
                <w:p w14:paraId="1C3B880B">
                  <w:pPr>
                    <w:pStyle w:val="5"/>
                    <w:jc w:val="center"/>
                  </w:pPr>
                </w:p>
              </w:tc>
              <w:tc>
                <w:tcPr>
                  <w:tcW w:w="435" w:type="dxa"/>
                  <w:tcBorders>
                    <w:tl2br w:val="nil"/>
                    <w:tr2bl w:val="nil"/>
                  </w:tcBorders>
                  <w:vAlign w:val="center"/>
                </w:tcPr>
                <w:p w14:paraId="70E249B8">
                  <w:pPr>
                    <w:pStyle w:val="5"/>
                    <w:jc w:val="center"/>
                  </w:pPr>
                  <w:r>
                    <w:t>环境风险防控</w:t>
                  </w:r>
                </w:p>
              </w:tc>
              <w:tc>
                <w:tcPr>
                  <w:tcW w:w="3060" w:type="dxa"/>
                  <w:tcBorders>
                    <w:tl2br w:val="nil"/>
                    <w:tr2bl w:val="nil"/>
                  </w:tcBorders>
                  <w:vAlign w:val="center"/>
                </w:tcPr>
                <w:p w14:paraId="28C6A85F">
                  <w:pPr>
                    <w:pStyle w:val="5"/>
                    <w:jc w:val="both"/>
                  </w:pPr>
                  <w:r>
                    <w:t>严格管控类农用地管控要求园区环境风险防控要求现有源提标升级改造</w:t>
                  </w:r>
                  <w:r>
                    <w:rPr>
                      <w:rFonts w:hint="eastAsia"/>
                      <w:lang w:eastAsia="zh-CN"/>
                    </w:rPr>
                    <w:t>：</w:t>
                  </w:r>
                </w:p>
                <w:p w14:paraId="24D02E0C">
                  <w:pPr>
                    <w:pStyle w:val="5"/>
                    <w:jc w:val="both"/>
                  </w:pPr>
                  <w:r>
                    <w:t>1、全面淘汰10蒸吨小时及以下燃煤锅炉，原则上不再新建35蒸吨小时及以下的燃煤锅炉，推进县级及以上城市建成区淘汰35蒸吨小时及以下燃煤锅炉，以工业余热、电厂热力、清洁能源等替代煤炭。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65F07911">
                  <w:pPr>
                    <w:pStyle w:val="5"/>
                    <w:jc w:val="both"/>
                  </w:pPr>
                  <w:r>
                    <w:rPr>
                      <w:rFonts w:hint="eastAsia"/>
                      <w:lang w:val="en-US" w:eastAsia="zh-CN"/>
                    </w:rPr>
                    <w:t>安全利用类农用地管控要求</w:t>
                  </w:r>
                  <w:r>
                    <w:rPr>
                      <w:rFonts w:hint="eastAsia"/>
                      <w:lang w:eastAsia="zh-CN"/>
                    </w:rPr>
                    <w:t>：</w:t>
                  </w:r>
                </w:p>
                <w:p w14:paraId="15CAA953">
                  <w:pPr>
                    <w:pStyle w:val="5"/>
                    <w:jc w:val="both"/>
                  </w:pPr>
                  <w:r>
                    <w:rPr>
                      <w:rFonts w:hint="eastAsia"/>
                    </w:rPr>
                    <w:t>/</w:t>
                  </w:r>
                </w:p>
                <w:p w14:paraId="55C7F886">
                  <w:pPr>
                    <w:pStyle w:val="5"/>
                    <w:jc w:val="both"/>
                    <w:rPr>
                      <w:rFonts w:hint="eastAsia"/>
                    </w:rPr>
                  </w:pPr>
                  <w:r>
                    <w:rPr>
                      <w:rFonts w:hint="eastAsia"/>
                      <w:lang w:val="en-US" w:eastAsia="zh-CN"/>
                    </w:rPr>
                    <w:t>污染地块管控要求</w:t>
                  </w:r>
                  <w:r>
                    <w:rPr>
                      <w:rFonts w:hint="eastAsia"/>
                      <w:lang w:eastAsia="zh-CN"/>
                    </w:rPr>
                    <w:t>：</w:t>
                  </w:r>
                </w:p>
                <w:p w14:paraId="05101824">
                  <w:pPr>
                    <w:pStyle w:val="5"/>
                    <w:jc w:val="both"/>
                  </w:pPr>
                  <w:r>
                    <w:rPr>
                      <w:rFonts w:hint="eastAsia"/>
                    </w:rPr>
                    <w:t>/</w:t>
                  </w:r>
                </w:p>
                <w:p w14:paraId="289FC18F">
                  <w:pPr>
                    <w:pStyle w:val="5"/>
                    <w:jc w:val="both"/>
                    <w:rPr>
                      <w:rFonts w:hint="eastAsia"/>
                      <w:lang w:val="en-US" w:eastAsia="zh-CN"/>
                    </w:rPr>
                  </w:pPr>
                  <w:r>
                    <w:rPr>
                      <w:rFonts w:hint="eastAsia"/>
                      <w:lang w:val="en-US" w:eastAsia="zh-CN"/>
                    </w:rPr>
                    <w:t>园区环境风险防控要求</w:t>
                  </w:r>
                  <w:r>
                    <w:rPr>
                      <w:rFonts w:hint="eastAsia"/>
                      <w:lang w:eastAsia="zh-CN"/>
                    </w:rPr>
                    <w:t>：</w:t>
                  </w:r>
                </w:p>
                <w:p w14:paraId="51B2E47C">
                  <w:pPr>
                    <w:pStyle w:val="5"/>
                    <w:jc w:val="both"/>
                    <w:rPr>
                      <w:rFonts w:hint="default"/>
                      <w:lang w:val="en-US" w:eastAsia="zh-CN"/>
                    </w:rPr>
                  </w:pPr>
                  <w:r>
                    <w:rPr>
                      <w:rFonts w:hint="eastAsia"/>
                      <w:lang w:val="en-US" w:eastAsia="zh-CN"/>
                    </w:rPr>
                    <w:t>/</w:t>
                  </w:r>
                </w:p>
                <w:p w14:paraId="1D21FFC1">
                  <w:pPr>
                    <w:pStyle w:val="5"/>
                    <w:jc w:val="both"/>
                    <w:rPr>
                      <w:rFonts w:hint="eastAsia"/>
                    </w:rPr>
                  </w:pPr>
                  <w:r>
                    <w:rPr>
                      <w:rFonts w:hint="eastAsia"/>
                      <w:lang w:val="en-US" w:eastAsia="zh-CN"/>
                    </w:rPr>
                    <w:t>企业环境风险防控要求</w:t>
                  </w:r>
                  <w:r>
                    <w:rPr>
                      <w:rFonts w:hint="eastAsia"/>
                      <w:lang w:eastAsia="zh-CN"/>
                    </w:rPr>
                    <w:t>：</w:t>
                  </w:r>
                </w:p>
                <w:p w14:paraId="2816297F">
                  <w:pPr>
                    <w:pStyle w:val="5"/>
                    <w:jc w:val="both"/>
                  </w:pPr>
                  <w: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tc>
              <w:tc>
                <w:tcPr>
                  <w:tcW w:w="2280" w:type="dxa"/>
                  <w:tcBorders>
                    <w:tl2br w:val="nil"/>
                    <w:tr2bl w:val="nil"/>
                  </w:tcBorders>
                  <w:vAlign w:val="center"/>
                </w:tcPr>
                <w:p w14:paraId="6E0CC5F0">
                  <w:pPr>
                    <w:pStyle w:val="5"/>
                    <w:jc w:val="both"/>
                    <w:rPr>
                      <w:rFonts w:hint="eastAsia"/>
                      <w:lang w:eastAsia="zh-CN"/>
                    </w:rPr>
                  </w:pPr>
                  <w:r>
                    <w:t>严格管控类农用地管控要求</w:t>
                  </w:r>
                  <w:r>
                    <w:rPr>
                      <w:rFonts w:hint="eastAsia"/>
                      <w:lang w:eastAsia="zh-CN"/>
                    </w:rPr>
                    <w:t>：</w:t>
                  </w:r>
                </w:p>
                <w:p w14:paraId="4BA55801">
                  <w:pPr>
                    <w:pStyle w:val="5"/>
                    <w:jc w:val="both"/>
                    <w:rPr>
                      <w:rFonts w:hint="eastAsia"/>
                      <w:lang w:eastAsia="zh-CN"/>
                    </w:rPr>
                  </w:pPr>
                  <w:r>
                    <w:rPr>
                      <w:rFonts w:hint="eastAsia"/>
                      <w:lang w:val="en-US" w:eastAsia="zh-CN"/>
                    </w:rPr>
                    <w:t>项目不使用燃煤锅炉和工业窑炉；不属于</w:t>
                  </w:r>
                  <w:r>
                    <w:t>陶瓷、玻璃、铁合金、有色、砖瓦等行业</w:t>
                  </w:r>
                  <w:r>
                    <w:rPr>
                      <w:rFonts w:hint="eastAsia"/>
                      <w:lang w:eastAsia="zh-CN"/>
                    </w:rPr>
                    <w:t>；</w:t>
                  </w:r>
                </w:p>
                <w:p w14:paraId="7DB3AA89">
                  <w:pPr>
                    <w:pStyle w:val="5"/>
                    <w:jc w:val="both"/>
                    <w:rPr>
                      <w:rFonts w:hint="eastAsia"/>
                      <w:lang w:val="en-US" w:eastAsia="zh-CN"/>
                    </w:rPr>
                  </w:pPr>
                  <w:r>
                    <w:rPr>
                      <w:rFonts w:hint="eastAsia"/>
                      <w:lang w:val="en-US" w:eastAsia="zh-CN"/>
                    </w:rPr>
                    <w:t>企业环境风险防控要求：</w:t>
                  </w:r>
                  <w:r>
                    <w:rPr>
                      <w:rFonts w:hint="eastAsia"/>
                    </w:rPr>
                    <w:t>本项目</w:t>
                  </w:r>
                  <w:r>
                    <w:rPr>
                      <w:rFonts w:hint="eastAsia"/>
                      <w:lang w:val="en-US" w:eastAsia="zh-CN"/>
                    </w:rPr>
                    <w:t>使用低VOCs胶粘剂，排放少量VOC</w:t>
                  </w:r>
                  <w:r>
                    <w:rPr>
                      <w:rFonts w:hint="eastAsia"/>
                      <w:vertAlign w:val="subscript"/>
                      <w:lang w:val="en-US" w:eastAsia="zh-CN"/>
                    </w:rPr>
                    <w:t>S</w:t>
                  </w:r>
                  <w:r>
                    <w:rPr>
                      <w:rFonts w:hint="eastAsia"/>
                      <w:lang w:val="en-US" w:eastAsia="zh-CN"/>
                    </w:rPr>
                    <w:t>，经密闭管道收集、二级活性炭吸附装置处理后，由25m高排气筒达标排放。</w:t>
                  </w:r>
                </w:p>
              </w:tc>
              <w:tc>
                <w:tcPr>
                  <w:tcW w:w="705" w:type="dxa"/>
                  <w:tcBorders>
                    <w:tl2br w:val="nil"/>
                    <w:tr2bl w:val="nil"/>
                  </w:tcBorders>
                  <w:vAlign w:val="center"/>
                </w:tcPr>
                <w:p w14:paraId="27F0EFE4">
                  <w:pPr>
                    <w:pStyle w:val="5"/>
                    <w:jc w:val="center"/>
                  </w:pPr>
                  <w:r>
                    <w:rPr>
                      <w:rFonts w:hint="eastAsia"/>
                      <w:lang w:val="en-US" w:eastAsia="zh-CN"/>
                    </w:rPr>
                    <w:t>符合</w:t>
                  </w:r>
                </w:p>
              </w:tc>
            </w:tr>
            <w:tr w14:paraId="2E966D3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4AD7F771">
                  <w:pPr>
                    <w:pStyle w:val="5"/>
                    <w:jc w:val="left"/>
                  </w:pPr>
                </w:p>
              </w:tc>
              <w:tc>
                <w:tcPr>
                  <w:tcW w:w="377" w:type="dxa"/>
                  <w:vMerge w:val="continue"/>
                  <w:tcBorders>
                    <w:tl2br w:val="nil"/>
                    <w:tr2bl w:val="nil"/>
                  </w:tcBorders>
                  <w:vAlign w:val="center"/>
                </w:tcPr>
                <w:p w14:paraId="7BFCF302">
                  <w:pPr>
                    <w:pStyle w:val="5"/>
                    <w:jc w:val="left"/>
                  </w:pPr>
                </w:p>
              </w:tc>
              <w:tc>
                <w:tcPr>
                  <w:tcW w:w="342" w:type="dxa"/>
                  <w:vMerge w:val="continue"/>
                  <w:tcBorders>
                    <w:tl2br w:val="nil"/>
                    <w:tr2bl w:val="nil"/>
                  </w:tcBorders>
                  <w:vAlign w:val="center"/>
                </w:tcPr>
                <w:p w14:paraId="3151718B">
                  <w:pPr>
                    <w:pStyle w:val="5"/>
                    <w:jc w:val="left"/>
                  </w:pPr>
                </w:p>
              </w:tc>
              <w:tc>
                <w:tcPr>
                  <w:tcW w:w="312" w:type="dxa"/>
                  <w:vMerge w:val="continue"/>
                  <w:tcBorders>
                    <w:tl2br w:val="nil"/>
                    <w:tr2bl w:val="nil"/>
                  </w:tcBorders>
                  <w:vAlign w:val="center"/>
                </w:tcPr>
                <w:p w14:paraId="1D43A420">
                  <w:pPr>
                    <w:pStyle w:val="5"/>
                    <w:jc w:val="left"/>
                  </w:pPr>
                </w:p>
              </w:tc>
              <w:tc>
                <w:tcPr>
                  <w:tcW w:w="289" w:type="dxa"/>
                  <w:vMerge w:val="continue"/>
                  <w:tcBorders>
                    <w:tl2br w:val="nil"/>
                    <w:tr2bl w:val="nil"/>
                  </w:tcBorders>
                  <w:vAlign w:val="center"/>
                </w:tcPr>
                <w:p w14:paraId="3135DB31">
                  <w:pPr>
                    <w:pStyle w:val="5"/>
                    <w:jc w:val="left"/>
                  </w:pPr>
                </w:p>
              </w:tc>
              <w:tc>
                <w:tcPr>
                  <w:tcW w:w="405" w:type="dxa"/>
                  <w:vMerge w:val="continue"/>
                  <w:tcBorders>
                    <w:tl2br w:val="nil"/>
                    <w:tr2bl w:val="nil"/>
                  </w:tcBorders>
                  <w:vAlign w:val="center"/>
                </w:tcPr>
                <w:p w14:paraId="57EE3176">
                  <w:pPr>
                    <w:pStyle w:val="5"/>
                    <w:jc w:val="left"/>
                  </w:pPr>
                </w:p>
              </w:tc>
              <w:tc>
                <w:tcPr>
                  <w:tcW w:w="435" w:type="dxa"/>
                  <w:tcBorders>
                    <w:tl2br w:val="nil"/>
                    <w:tr2bl w:val="nil"/>
                  </w:tcBorders>
                  <w:vAlign w:val="center"/>
                </w:tcPr>
                <w:p w14:paraId="2288E3D4">
                  <w:pPr>
                    <w:pStyle w:val="5"/>
                    <w:jc w:val="center"/>
                  </w:pPr>
                  <w:r>
                    <w:t>资源开发利用效率要求</w:t>
                  </w:r>
                </w:p>
              </w:tc>
              <w:tc>
                <w:tcPr>
                  <w:tcW w:w="3060" w:type="dxa"/>
                  <w:tcBorders>
                    <w:tl2br w:val="nil"/>
                    <w:tr2bl w:val="nil"/>
                  </w:tcBorders>
                  <w:vAlign w:val="center"/>
                </w:tcPr>
                <w:p w14:paraId="4868F64B">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0D073584">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79AE5DD3">
                  <w:pPr>
                    <w:pStyle w:val="5"/>
                    <w:jc w:val="center"/>
                    <w:rPr>
                      <w:rFonts w:hint="eastAsia"/>
                      <w:lang w:val="en-US" w:eastAsia="zh-CN"/>
                    </w:rPr>
                  </w:pPr>
                  <w:r>
                    <w:rPr>
                      <w:rFonts w:hint="eastAsia"/>
                      <w:lang w:val="en-US" w:eastAsia="zh-CN"/>
                    </w:rPr>
                    <w:t>/</w:t>
                  </w:r>
                </w:p>
              </w:tc>
            </w:tr>
            <w:tr w14:paraId="3E9EEBE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restart"/>
                  <w:tcBorders>
                    <w:tl2br w:val="nil"/>
                    <w:tr2bl w:val="nil"/>
                  </w:tcBorders>
                  <w:vAlign w:val="center"/>
                </w:tcPr>
                <w:p w14:paraId="721EFEDE">
                  <w:pPr>
                    <w:pStyle w:val="5"/>
                    <w:jc w:val="center"/>
                  </w:pPr>
                  <w:r>
                    <w:t>YS5117022210001</w:t>
                  </w:r>
                </w:p>
              </w:tc>
              <w:tc>
                <w:tcPr>
                  <w:tcW w:w="377" w:type="dxa"/>
                  <w:vMerge w:val="restart"/>
                  <w:tcBorders>
                    <w:tl2br w:val="nil"/>
                    <w:tr2bl w:val="nil"/>
                  </w:tcBorders>
                  <w:vAlign w:val="center"/>
                </w:tcPr>
                <w:p w14:paraId="692E5DD3">
                  <w:pPr>
                    <w:pStyle w:val="5"/>
                    <w:jc w:val="center"/>
                  </w:pPr>
                  <w:r>
                    <w:t>州河-通川区-车家河-控制单元</w:t>
                  </w:r>
                </w:p>
              </w:tc>
              <w:tc>
                <w:tcPr>
                  <w:tcW w:w="342" w:type="dxa"/>
                  <w:vMerge w:val="restart"/>
                  <w:tcBorders>
                    <w:tl2br w:val="nil"/>
                    <w:tr2bl w:val="nil"/>
                  </w:tcBorders>
                  <w:vAlign w:val="center"/>
                </w:tcPr>
                <w:p w14:paraId="2A4AF2E9">
                  <w:pPr>
                    <w:pStyle w:val="5"/>
                    <w:jc w:val="center"/>
                  </w:pPr>
                  <w:r>
                    <w:t>重点管控区</w:t>
                  </w:r>
                </w:p>
              </w:tc>
              <w:tc>
                <w:tcPr>
                  <w:tcW w:w="312" w:type="dxa"/>
                  <w:vMerge w:val="restart"/>
                  <w:tcBorders>
                    <w:tl2br w:val="nil"/>
                    <w:tr2bl w:val="nil"/>
                  </w:tcBorders>
                  <w:vAlign w:val="center"/>
                </w:tcPr>
                <w:p w14:paraId="58C7BF73">
                  <w:pPr>
                    <w:pStyle w:val="5"/>
                    <w:jc w:val="center"/>
                  </w:pPr>
                  <w:r>
                    <w:t>水</w:t>
                  </w:r>
                </w:p>
              </w:tc>
              <w:tc>
                <w:tcPr>
                  <w:tcW w:w="289" w:type="dxa"/>
                  <w:vMerge w:val="restart"/>
                  <w:tcBorders>
                    <w:tl2br w:val="nil"/>
                    <w:tr2bl w:val="nil"/>
                  </w:tcBorders>
                  <w:vAlign w:val="center"/>
                </w:tcPr>
                <w:p w14:paraId="1C0D3C63">
                  <w:pPr>
                    <w:pStyle w:val="5"/>
                    <w:jc w:val="center"/>
                  </w:pPr>
                  <w:r>
                    <w:t>水环境工业污染重点管控区</w:t>
                  </w:r>
                </w:p>
              </w:tc>
              <w:tc>
                <w:tcPr>
                  <w:tcW w:w="405" w:type="dxa"/>
                  <w:vMerge w:val="restart"/>
                  <w:tcBorders>
                    <w:tl2br w:val="nil"/>
                    <w:tr2bl w:val="nil"/>
                  </w:tcBorders>
                  <w:vAlign w:val="center"/>
                </w:tcPr>
                <w:p w14:paraId="30A20F41">
                  <w:pPr>
                    <w:pStyle w:val="5"/>
                    <w:jc w:val="center"/>
                  </w:pPr>
                  <w:r>
                    <w:t>达州市通川区</w:t>
                  </w:r>
                </w:p>
              </w:tc>
              <w:tc>
                <w:tcPr>
                  <w:tcW w:w="435" w:type="dxa"/>
                  <w:tcBorders>
                    <w:tl2br w:val="nil"/>
                    <w:tr2bl w:val="nil"/>
                  </w:tcBorders>
                  <w:vAlign w:val="center"/>
                </w:tcPr>
                <w:p w14:paraId="598CD04A">
                  <w:pPr>
                    <w:pStyle w:val="5"/>
                    <w:jc w:val="center"/>
                  </w:pPr>
                  <w:r>
                    <w:t>空间布局约束</w:t>
                  </w:r>
                </w:p>
              </w:tc>
              <w:tc>
                <w:tcPr>
                  <w:tcW w:w="3060" w:type="dxa"/>
                  <w:tcBorders>
                    <w:tl2br w:val="nil"/>
                    <w:tr2bl w:val="nil"/>
                  </w:tcBorders>
                  <w:vAlign w:val="center"/>
                </w:tcPr>
                <w:p w14:paraId="530624BE">
                  <w:pPr>
                    <w:pStyle w:val="5"/>
                    <w:jc w:val="both"/>
                  </w:pPr>
                  <w:r>
                    <w:rPr>
                      <w:rFonts w:hint="eastAsia"/>
                      <w:lang w:val="en-US" w:eastAsia="zh-CN"/>
                    </w:rPr>
                    <w:t>禁止开发建设活动的要求</w:t>
                  </w:r>
                  <w:r>
                    <w:rPr>
                      <w:rFonts w:hint="eastAsia"/>
                      <w:lang w:eastAsia="zh-CN"/>
                    </w:rPr>
                    <w:t>：</w:t>
                  </w:r>
                </w:p>
                <w:p w14:paraId="3460C8A1">
                  <w:pPr>
                    <w:pStyle w:val="5"/>
                    <w:jc w:val="both"/>
                  </w:pPr>
                  <w:r>
                    <w:rPr>
                      <w:rFonts w:hint="eastAsia"/>
                    </w:rPr>
                    <w:t>/</w:t>
                  </w:r>
                </w:p>
                <w:p w14:paraId="1ADAC339">
                  <w:pPr>
                    <w:pStyle w:val="5"/>
                    <w:jc w:val="both"/>
                    <w:rPr>
                      <w:rFonts w:hint="eastAsia"/>
                    </w:rPr>
                  </w:pPr>
                  <w:r>
                    <w:rPr>
                      <w:rFonts w:hint="eastAsia"/>
                      <w:lang w:val="en-US" w:eastAsia="zh-CN"/>
                    </w:rPr>
                    <w:t>限制开发建设活动的要求</w:t>
                  </w:r>
                  <w:r>
                    <w:rPr>
                      <w:rFonts w:hint="eastAsia"/>
                      <w:lang w:eastAsia="zh-CN"/>
                    </w:rPr>
                    <w:t>：</w:t>
                  </w:r>
                </w:p>
                <w:p w14:paraId="1730F362">
                  <w:pPr>
                    <w:pStyle w:val="5"/>
                    <w:jc w:val="both"/>
                  </w:pPr>
                  <w:r>
                    <w:rPr>
                      <w:rFonts w:hint="eastAsia"/>
                    </w:rPr>
                    <w:t>严控磷铵、黄磷等产业违规新增产能。加快退出不符合产业政策和环保要求、不满足安全生产条件的涉磷企业。</w:t>
                  </w:r>
                </w:p>
                <w:p w14:paraId="6812CADF">
                  <w:pPr>
                    <w:pStyle w:val="5"/>
                    <w:jc w:val="both"/>
                    <w:rPr>
                      <w:rFonts w:hint="eastAsia"/>
                    </w:rPr>
                  </w:pPr>
                  <w:r>
                    <w:rPr>
                      <w:rFonts w:hint="eastAsia"/>
                      <w:lang w:val="en-US" w:eastAsia="zh-CN"/>
                    </w:rPr>
                    <w:t>允许开发建设活动的要求</w:t>
                  </w:r>
                  <w:r>
                    <w:rPr>
                      <w:rFonts w:hint="eastAsia"/>
                      <w:lang w:eastAsia="zh-CN"/>
                    </w:rPr>
                    <w:t>：</w:t>
                  </w:r>
                </w:p>
                <w:p w14:paraId="4AECDE87">
                  <w:pPr>
                    <w:pStyle w:val="5"/>
                    <w:jc w:val="both"/>
                  </w:pPr>
                  <w:r>
                    <w:rPr>
                      <w:rFonts w:hint="eastAsia"/>
                    </w:rPr>
                    <w:t>/</w:t>
                  </w:r>
                </w:p>
                <w:p w14:paraId="3798197E">
                  <w:pPr>
                    <w:pStyle w:val="5"/>
                    <w:jc w:val="both"/>
                    <w:rPr>
                      <w:rFonts w:hint="eastAsia"/>
                    </w:rPr>
                  </w:pPr>
                  <w:r>
                    <w:rPr>
                      <w:rFonts w:hint="eastAsia"/>
                      <w:lang w:val="en-US" w:eastAsia="zh-CN"/>
                    </w:rPr>
                    <w:t>不符合空间布局要求活动的退出要求</w:t>
                  </w:r>
                  <w:r>
                    <w:rPr>
                      <w:rFonts w:hint="eastAsia"/>
                      <w:lang w:eastAsia="zh-CN"/>
                    </w:rPr>
                    <w:t>：</w:t>
                  </w:r>
                </w:p>
                <w:p w14:paraId="7C681A5A">
                  <w:pPr>
                    <w:pStyle w:val="5"/>
                    <w:jc w:val="both"/>
                  </w:pPr>
                  <w:r>
                    <w:rPr>
                      <w:rFonts w:hint="eastAsia"/>
                    </w:rPr>
                    <w:t>/</w:t>
                  </w:r>
                </w:p>
                <w:p w14:paraId="4172CCCB">
                  <w:pPr>
                    <w:pStyle w:val="5"/>
                    <w:jc w:val="both"/>
                    <w:rPr>
                      <w:rFonts w:hint="eastAsia"/>
                    </w:rPr>
                  </w:pPr>
                  <w:r>
                    <w:rPr>
                      <w:rFonts w:hint="eastAsia"/>
                      <w:lang w:val="en-US" w:eastAsia="zh-CN"/>
                    </w:rPr>
                    <w:t>其他空间布局约束要求</w:t>
                  </w:r>
                  <w:r>
                    <w:rPr>
                      <w:rFonts w:hint="eastAsia"/>
                      <w:lang w:eastAsia="zh-CN"/>
                    </w:rPr>
                    <w:t>：</w:t>
                  </w:r>
                </w:p>
                <w:p w14:paraId="1BB0FB1D">
                  <w:pPr>
                    <w:pStyle w:val="5"/>
                    <w:jc w:val="both"/>
                  </w:pPr>
                  <w:r>
                    <w:rPr>
                      <w:rFonts w:hint="eastAsia"/>
                    </w:rPr>
                    <w:t>/</w:t>
                  </w:r>
                </w:p>
              </w:tc>
              <w:tc>
                <w:tcPr>
                  <w:tcW w:w="2280" w:type="dxa"/>
                  <w:tcBorders>
                    <w:tl2br w:val="nil"/>
                    <w:tr2bl w:val="nil"/>
                  </w:tcBorders>
                  <w:vAlign w:val="center"/>
                </w:tcPr>
                <w:p w14:paraId="161B39C5">
                  <w:pPr>
                    <w:pStyle w:val="5"/>
                    <w:jc w:val="both"/>
                    <w:rPr>
                      <w:rFonts w:hint="eastAsia"/>
                      <w:lang w:val="en-US" w:eastAsia="zh-CN"/>
                    </w:rPr>
                  </w:pPr>
                  <w:r>
                    <w:rPr>
                      <w:rFonts w:hint="eastAsia"/>
                      <w:lang w:val="en-US" w:eastAsia="zh-CN"/>
                    </w:rPr>
                    <w:t>限制开发建设活动的要求：</w:t>
                  </w:r>
                </w:p>
                <w:p w14:paraId="15EC9808">
                  <w:pPr>
                    <w:pStyle w:val="5"/>
                    <w:jc w:val="both"/>
                    <w:rPr>
                      <w:rFonts w:hint="eastAsia"/>
                      <w:lang w:val="en-US" w:eastAsia="zh-CN"/>
                    </w:rPr>
                  </w:pPr>
                  <w:r>
                    <w:rPr>
                      <w:rFonts w:hint="eastAsia"/>
                      <w:lang w:val="en-US" w:eastAsia="zh-CN"/>
                    </w:rPr>
                    <w:t>不属于</w:t>
                  </w:r>
                  <w:r>
                    <w:rPr>
                      <w:rFonts w:hint="eastAsia"/>
                    </w:rPr>
                    <w:t>磷铵、黄磷等产业</w:t>
                  </w:r>
                  <w:r>
                    <w:rPr>
                      <w:rFonts w:hint="eastAsia"/>
                      <w:lang w:eastAsia="zh-CN"/>
                    </w:rPr>
                    <w:t>。</w:t>
                  </w:r>
                </w:p>
              </w:tc>
              <w:tc>
                <w:tcPr>
                  <w:tcW w:w="705" w:type="dxa"/>
                  <w:tcBorders>
                    <w:tl2br w:val="nil"/>
                    <w:tr2bl w:val="nil"/>
                  </w:tcBorders>
                  <w:vAlign w:val="center"/>
                </w:tcPr>
                <w:p w14:paraId="262C919D">
                  <w:pPr>
                    <w:pStyle w:val="5"/>
                    <w:jc w:val="center"/>
                    <w:rPr>
                      <w:rFonts w:hint="eastAsia" w:eastAsia="宋体"/>
                      <w:lang w:val="en-US" w:eastAsia="zh-CN"/>
                    </w:rPr>
                  </w:pPr>
                  <w:r>
                    <w:rPr>
                      <w:rFonts w:hint="eastAsia"/>
                      <w:lang w:val="en-US" w:eastAsia="zh-CN"/>
                    </w:rPr>
                    <w:t>符合</w:t>
                  </w:r>
                </w:p>
              </w:tc>
            </w:tr>
            <w:tr w14:paraId="0AADE3E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31BE2412">
                  <w:pPr>
                    <w:pStyle w:val="5"/>
                    <w:jc w:val="center"/>
                  </w:pPr>
                </w:p>
              </w:tc>
              <w:tc>
                <w:tcPr>
                  <w:tcW w:w="377" w:type="dxa"/>
                  <w:vMerge w:val="continue"/>
                  <w:tcBorders>
                    <w:tl2br w:val="nil"/>
                    <w:tr2bl w:val="nil"/>
                  </w:tcBorders>
                  <w:vAlign w:val="center"/>
                </w:tcPr>
                <w:p w14:paraId="61317A86">
                  <w:pPr>
                    <w:pStyle w:val="5"/>
                    <w:jc w:val="center"/>
                  </w:pPr>
                </w:p>
              </w:tc>
              <w:tc>
                <w:tcPr>
                  <w:tcW w:w="342" w:type="dxa"/>
                  <w:vMerge w:val="continue"/>
                  <w:tcBorders>
                    <w:tl2br w:val="nil"/>
                    <w:tr2bl w:val="nil"/>
                  </w:tcBorders>
                  <w:vAlign w:val="center"/>
                </w:tcPr>
                <w:p w14:paraId="2A5AFC78">
                  <w:pPr>
                    <w:pStyle w:val="5"/>
                    <w:jc w:val="center"/>
                  </w:pPr>
                </w:p>
              </w:tc>
              <w:tc>
                <w:tcPr>
                  <w:tcW w:w="312" w:type="dxa"/>
                  <w:vMerge w:val="continue"/>
                  <w:tcBorders>
                    <w:tl2br w:val="nil"/>
                    <w:tr2bl w:val="nil"/>
                  </w:tcBorders>
                  <w:vAlign w:val="center"/>
                </w:tcPr>
                <w:p w14:paraId="17D008FC">
                  <w:pPr>
                    <w:pStyle w:val="5"/>
                    <w:jc w:val="center"/>
                  </w:pPr>
                </w:p>
              </w:tc>
              <w:tc>
                <w:tcPr>
                  <w:tcW w:w="289" w:type="dxa"/>
                  <w:vMerge w:val="continue"/>
                  <w:tcBorders>
                    <w:tl2br w:val="nil"/>
                    <w:tr2bl w:val="nil"/>
                  </w:tcBorders>
                  <w:vAlign w:val="center"/>
                </w:tcPr>
                <w:p w14:paraId="7A9F9176">
                  <w:pPr>
                    <w:pStyle w:val="5"/>
                    <w:jc w:val="center"/>
                  </w:pPr>
                </w:p>
              </w:tc>
              <w:tc>
                <w:tcPr>
                  <w:tcW w:w="405" w:type="dxa"/>
                  <w:vMerge w:val="continue"/>
                  <w:tcBorders>
                    <w:tl2br w:val="nil"/>
                    <w:tr2bl w:val="nil"/>
                  </w:tcBorders>
                  <w:vAlign w:val="center"/>
                </w:tcPr>
                <w:p w14:paraId="46394B3F">
                  <w:pPr>
                    <w:pStyle w:val="5"/>
                    <w:jc w:val="center"/>
                  </w:pPr>
                </w:p>
              </w:tc>
              <w:tc>
                <w:tcPr>
                  <w:tcW w:w="435" w:type="dxa"/>
                  <w:tcBorders>
                    <w:tl2br w:val="nil"/>
                    <w:tr2bl w:val="nil"/>
                  </w:tcBorders>
                  <w:vAlign w:val="center"/>
                </w:tcPr>
                <w:p w14:paraId="473F5DDC">
                  <w:pPr>
                    <w:pStyle w:val="5"/>
                    <w:jc w:val="center"/>
                  </w:pPr>
                  <w:r>
                    <w:t>污染物排放管控</w:t>
                  </w:r>
                </w:p>
              </w:tc>
              <w:tc>
                <w:tcPr>
                  <w:tcW w:w="3060" w:type="dxa"/>
                  <w:tcBorders>
                    <w:tl2br w:val="nil"/>
                    <w:tr2bl w:val="nil"/>
                  </w:tcBorders>
                  <w:vAlign w:val="center"/>
                </w:tcPr>
                <w:p w14:paraId="18370E32">
                  <w:pPr>
                    <w:pStyle w:val="5"/>
                    <w:jc w:val="both"/>
                  </w:pPr>
                  <w:r>
                    <w:rPr>
                      <w:rFonts w:hint="eastAsia"/>
                      <w:lang w:val="en-US" w:eastAsia="zh-CN"/>
                    </w:rPr>
                    <w:t>现有源提标升级改造</w:t>
                  </w:r>
                  <w:r>
                    <w:rPr>
                      <w:rFonts w:hint="eastAsia"/>
                      <w:lang w:eastAsia="zh-CN"/>
                    </w:rPr>
                    <w:t>：</w:t>
                  </w:r>
                </w:p>
                <w:p w14:paraId="31FEA1D8">
                  <w:pPr>
                    <w:pStyle w:val="5"/>
                    <w:jc w:val="both"/>
                  </w:pPr>
                  <w:r>
                    <w:rPr>
                      <w:rFonts w:hint="eastAsia"/>
                    </w:rPr>
                    <w:t>/</w:t>
                  </w:r>
                </w:p>
                <w:p w14:paraId="003625B6">
                  <w:pPr>
                    <w:pStyle w:val="5"/>
                    <w:jc w:val="both"/>
                    <w:rPr>
                      <w:rFonts w:hint="eastAsia"/>
                    </w:rPr>
                  </w:pPr>
                  <w:r>
                    <w:rPr>
                      <w:rFonts w:hint="eastAsia"/>
                      <w:lang w:val="en-US" w:eastAsia="zh-CN"/>
                    </w:rPr>
                    <w:t>新增源等量或倍量替代</w:t>
                  </w:r>
                  <w:r>
                    <w:rPr>
                      <w:rFonts w:hint="eastAsia"/>
                      <w:lang w:eastAsia="zh-CN"/>
                    </w:rPr>
                    <w:t>：</w:t>
                  </w:r>
                </w:p>
                <w:p w14:paraId="4D2EF5A3">
                  <w:pPr>
                    <w:pStyle w:val="5"/>
                    <w:jc w:val="both"/>
                  </w:pPr>
                  <w:r>
                    <w:rPr>
                      <w:rFonts w:hint="eastAsi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43D6FD34">
                  <w:pPr>
                    <w:pStyle w:val="5"/>
                    <w:jc w:val="both"/>
                    <w:rPr>
                      <w:rFonts w:hint="eastAsia"/>
                    </w:rPr>
                  </w:pPr>
                  <w:r>
                    <w:rPr>
                      <w:rFonts w:hint="eastAsia"/>
                      <w:lang w:val="en-US" w:eastAsia="zh-CN"/>
                    </w:rPr>
                    <w:t>新增源排放标准限值</w:t>
                  </w:r>
                  <w:r>
                    <w:rPr>
                      <w:rFonts w:hint="eastAsia"/>
                      <w:lang w:eastAsia="zh-CN"/>
                    </w:rPr>
                    <w:t>：</w:t>
                  </w:r>
                </w:p>
                <w:p w14:paraId="025C8871">
                  <w:pPr>
                    <w:pStyle w:val="5"/>
                    <w:jc w:val="both"/>
                  </w:pPr>
                  <w:r>
                    <w:rPr>
                      <w:rFonts w:hint="eastAsia"/>
                    </w:rPr>
                    <w:t>/</w:t>
                  </w:r>
                </w:p>
                <w:p w14:paraId="77A813A1">
                  <w:pPr>
                    <w:pStyle w:val="5"/>
                    <w:jc w:val="both"/>
                    <w:rPr>
                      <w:rFonts w:hint="eastAsia"/>
                    </w:rPr>
                  </w:pPr>
                  <w:r>
                    <w:rPr>
                      <w:rFonts w:hint="eastAsia"/>
                      <w:lang w:val="en-US" w:eastAsia="zh-CN"/>
                    </w:rPr>
                    <w:t>污染物排放绩效水平准入要求</w:t>
                  </w:r>
                  <w:r>
                    <w:rPr>
                      <w:rFonts w:hint="eastAsia"/>
                      <w:lang w:eastAsia="zh-CN"/>
                    </w:rPr>
                    <w:t>：</w:t>
                  </w:r>
                </w:p>
                <w:p w14:paraId="5766FB3E">
                  <w:pPr>
                    <w:pStyle w:val="5"/>
                    <w:jc w:val="both"/>
                  </w:pPr>
                  <w:r>
                    <w:rPr>
                      <w:rFonts w:hint="eastAsia"/>
                    </w:rPr>
                    <w:t>/</w:t>
                  </w:r>
                </w:p>
                <w:p w14:paraId="69449A31">
                  <w:pPr>
                    <w:pStyle w:val="5"/>
                    <w:jc w:val="both"/>
                    <w:rPr>
                      <w:rFonts w:hint="eastAsia"/>
                    </w:rPr>
                  </w:pPr>
                  <w:r>
                    <w:rPr>
                      <w:rFonts w:hint="eastAsia"/>
                      <w:lang w:val="en-US" w:eastAsia="zh-CN"/>
                    </w:rPr>
                    <w:t>其他污染物排放管控要求</w:t>
                  </w:r>
                  <w:r>
                    <w:rPr>
                      <w:rFonts w:hint="eastAsia"/>
                      <w:lang w:eastAsia="zh-CN"/>
                    </w:rPr>
                    <w:t>：</w:t>
                  </w:r>
                </w:p>
                <w:p w14:paraId="0B3CBF60">
                  <w:pPr>
                    <w:pStyle w:val="5"/>
                    <w:jc w:val="both"/>
                  </w:pPr>
                  <w:r>
                    <w:rPr>
                      <w:rFonts w:hint="eastAsia"/>
                    </w:rPr>
                    <w:t>/</w:t>
                  </w:r>
                </w:p>
              </w:tc>
              <w:tc>
                <w:tcPr>
                  <w:tcW w:w="2280" w:type="dxa"/>
                  <w:tcBorders>
                    <w:tl2br w:val="nil"/>
                    <w:tr2bl w:val="nil"/>
                  </w:tcBorders>
                  <w:vAlign w:val="center"/>
                </w:tcPr>
                <w:p w14:paraId="19B8D9F1">
                  <w:pPr>
                    <w:pStyle w:val="5"/>
                    <w:jc w:val="both"/>
                    <w:rPr>
                      <w:rFonts w:hint="eastAsia"/>
                    </w:rPr>
                  </w:pPr>
                  <w:r>
                    <w:rPr>
                      <w:rFonts w:hint="eastAsia"/>
                      <w:lang w:val="en-US" w:eastAsia="zh-CN"/>
                    </w:rPr>
                    <w:t>新增源等量或倍量替代：</w:t>
                  </w:r>
                </w:p>
                <w:p w14:paraId="16B9C97B">
                  <w:pPr>
                    <w:pStyle w:val="5"/>
                    <w:jc w:val="both"/>
                    <w:rPr>
                      <w:rFonts w:hint="eastAsia"/>
                      <w:lang w:val="en-US" w:eastAsia="zh-CN"/>
                    </w:rPr>
                  </w:pPr>
                  <w:r>
                    <w:rPr>
                      <w:rFonts w:hint="eastAsia"/>
                      <w:lang w:val="en-US" w:eastAsia="zh-CN"/>
                    </w:rPr>
                    <w:t>1、</w:t>
                  </w:r>
                  <w:r>
                    <w:rPr>
                      <w:rFonts w:hint="eastAsia"/>
                    </w:rPr>
                    <w:t>本项目</w:t>
                  </w:r>
                  <w:r>
                    <w:rPr>
                      <w:rFonts w:hint="eastAsia"/>
                      <w:lang w:val="en-US" w:eastAsia="zh-CN"/>
                    </w:rPr>
                    <w:t>仅产生生活污水</w:t>
                  </w:r>
                  <w:r>
                    <w:rPr>
                      <w:rFonts w:hint="eastAsia"/>
                      <w:lang w:eastAsia="zh-CN"/>
                    </w:rPr>
                    <w:t>。生活污水</w:t>
                  </w:r>
                  <w:r>
                    <w:rPr>
                      <w:rFonts w:hint="eastAsia"/>
                      <w:lang w:val="en-US" w:eastAsia="zh-CN"/>
                    </w:rPr>
                    <w:t>经园区已建的一体化污水处理设施处理</w:t>
                  </w:r>
                  <w:r>
                    <w:rPr>
                      <w:rFonts w:hint="eastAsia"/>
                      <w:lang w:eastAsia="zh-CN"/>
                    </w:rPr>
                    <w:t>达到《污水综合排放标准》（GB8978-1996）三级标准</w:t>
                  </w:r>
                  <w:r>
                    <w:rPr>
                      <w:rFonts w:hint="eastAsia"/>
                      <w:lang w:val="en-US" w:eastAsia="zh-CN"/>
                    </w:rPr>
                    <w:t>后，排入</w:t>
                  </w:r>
                  <w:r>
                    <w:rPr>
                      <w:rFonts w:hint="eastAsia"/>
                      <w:lang w:eastAsia="zh-CN"/>
                    </w:rPr>
                    <w:t>园区</w:t>
                  </w:r>
                  <w:r>
                    <w:rPr>
                      <w:rFonts w:hint="eastAsia"/>
                      <w:lang w:val="en-US" w:eastAsia="zh-CN"/>
                    </w:rPr>
                    <w:t>市政污水管网，输送至魏兴场镇污水处理厂处理后达《城镇污水处理厂污染物排放标准》（GB18918—2002）一级A标准后，排入州河；</w:t>
                  </w:r>
                </w:p>
                <w:p w14:paraId="24745EFB">
                  <w:pPr>
                    <w:pStyle w:val="5"/>
                    <w:jc w:val="both"/>
                    <w:rPr>
                      <w:rFonts w:hint="eastAsia"/>
                      <w:lang w:val="en-US" w:eastAsia="zh-CN"/>
                    </w:rPr>
                  </w:pPr>
                  <w:r>
                    <w:rPr>
                      <w:rFonts w:hint="eastAsia"/>
                      <w:lang w:val="en-US" w:eastAsia="zh-CN"/>
                    </w:rPr>
                    <w:t>2、园区雨污管网建设完善，雨水进入市政雨水管网，排放进入魏家河；</w:t>
                  </w:r>
                </w:p>
                <w:p w14:paraId="5E0B78AF">
                  <w:pPr>
                    <w:pStyle w:val="5"/>
                    <w:jc w:val="both"/>
                    <w:rPr>
                      <w:rFonts w:hint="default"/>
                      <w:lang w:val="en-US" w:eastAsia="zh-CN"/>
                    </w:rPr>
                  </w:pPr>
                  <w:r>
                    <w:rPr>
                      <w:rFonts w:hint="eastAsia"/>
                      <w:lang w:val="en-US" w:eastAsia="zh-CN"/>
                    </w:rPr>
                    <w:t>3、项目生产不涉及新化学物质。</w:t>
                  </w:r>
                </w:p>
              </w:tc>
              <w:tc>
                <w:tcPr>
                  <w:tcW w:w="705" w:type="dxa"/>
                  <w:tcBorders>
                    <w:tl2br w:val="nil"/>
                    <w:tr2bl w:val="nil"/>
                  </w:tcBorders>
                  <w:vAlign w:val="center"/>
                </w:tcPr>
                <w:p w14:paraId="4010C7AA">
                  <w:pPr>
                    <w:pStyle w:val="5"/>
                    <w:jc w:val="center"/>
                  </w:pPr>
                  <w:r>
                    <w:rPr>
                      <w:rFonts w:hint="eastAsia"/>
                      <w:lang w:val="en-US" w:eastAsia="zh-CN"/>
                    </w:rPr>
                    <w:t>符合</w:t>
                  </w:r>
                </w:p>
              </w:tc>
            </w:tr>
            <w:tr w14:paraId="392845B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639" w:type="dxa"/>
                  <w:vMerge w:val="continue"/>
                  <w:tcBorders>
                    <w:tl2br w:val="nil"/>
                    <w:tr2bl w:val="nil"/>
                  </w:tcBorders>
                  <w:vAlign w:val="center"/>
                </w:tcPr>
                <w:p w14:paraId="46803203">
                  <w:pPr>
                    <w:pStyle w:val="5"/>
                    <w:jc w:val="left"/>
                  </w:pPr>
                </w:p>
              </w:tc>
              <w:tc>
                <w:tcPr>
                  <w:tcW w:w="377" w:type="dxa"/>
                  <w:vMerge w:val="continue"/>
                  <w:tcBorders>
                    <w:tl2br w:val="nil"/>
                    <w:tr2bl w:val="nil"/>
                  </w:tcBorders>
                  <w:vAlign w:val="center"/>
                </w:tcPr>
                <w:p w14:paraId="59040691">
                  <w:pPr>
                    <w:pStyle w:val="5"/>
                    <w:jc w:val="left"/>
                  </w:pPr>
                </w:p>
              </w:tc>
              <w:tc>
                <w:tcPr>
                  <w:tcW w:w="342" w:type="dxa"/>
                  <w:vMerge w:val="continue"/>
                  <w:tcBorders>
                    <w:tl2br w:val="nil"/>
                    <w:tr2bl w:val="nil"/>
                  </w:tcBorders>
                  <w:vAlign w:val="center"/>
                </w:tcPr>
                <w:p w14:paraId="2D9E10DB">
                  <w:pPr>
                    <w:pStyle w:val="5"/>
                    <w:jc w:val="left"/>
                  </w:pPr>
                </w:p>
              </w:tc>
              <w:tc>
                <w:tcPr>
                  <w:tcW w:w="312" w:type="dxa"/>
                  <w:vMerge w:val="continue"/>
                  <w:tcBorders>
                    <w:tl2br w:val="nil"/>
                    <w:tr2bl w:val="nil"/>
                  </w:tcBorders>
                  <w:vAlign w:val="center"/>
                </w:tcPr>
                <w:p w14:paraId="4C6DDD79">
                  <w:pPr>
                    <w:pStyle w:val="5"/>
                    <w:jc w:val="left"/>
                  </w:pPr>
                </w:p>
              </w:tc>
              <w:tc>
                <w:tcPr>
                  <w:tcW w:w="289" w:type="dxa"/>
                  <w:vMerge w:val="continue"/>
                  <w:tcBorders>
                    <w:tl2br w:val="nil"/>
                    <w:tr2bl w:val="nil"/>
                  </w:tcBorders>
                  <w:vAlign w:val="center"/>
                </w:tcPr>
                <w:p w14:paraId="48859A5A">
                  <w:pPr>
                    <w:pStyle w:val="5"/>
                    <w:jc w:val="left"/>
                  </w:pPr>
                </w:p>
              </w:tc>
              <w:tc>
                <w:tcPr>
                  <w:tcW w:w="405" w:type="dxa"/>
                  <w:vMerge w:val="continue"/>
                  <w:tcBorders>
                    <w:tl2br w:val="nil"/>
                    <w:tr2bl w:val="nil"/>
                  </w:tcBorders>
                  <w:vAlign w:val="center"/>
                </w:tcPr>
                <w:p w14:paraId="2298C85A">
                  <w:pPr>
                    <w:pStyle w:val="5"/>
                    <w:jc w:val="center"/>
                  </w:pPr>
                </w:p>
              </w:tc>
              <w:tc>
                <w:tcPr>
                  <w:tcW w:w="435" w:type="dxa"/>
                  <w:tcBorders>
                    <w:tl2br w:val="nil"/>
                    <w:tr2bl w:val="nil"/>
                  </w:tcBorders>
                  <w:vAlign w:val="center"/>
                </w:tcPr>
                <w:p w14:paraId="7BBFC47F">
                  <w:pPr>
                    <w:pStyle w:val="5"/>
                    <w:jc w:val="center"/>
                  </w:pPr>
                  <w:r>
                    <w:t>环境风险防控</w:t>
                  </w:r>
                </w:p>
              </w:tc>
              <w:tc>
                <w:tcPr>
                  <w:tcW w:w="3060" w:type="dxa"/>
                  <w:tcBorders>
                    <w:tl2br w:val="nil"/>
                    <w:tr2bl w:val="nil"/>
                  </w:tcBorders>
                  <w:vAlign w:val="center"/>
                </w:tcPr>
                <w:p w14:paraId="0A53A3AC">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5DEE8676">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5A5AE50D">
                  <w:pPr>
                    <w:pStyle w:val="5"/>
                    <w:jc w:val="center"/>
                    <w:rPr>
                      <w:rFonts w:hint="eastAsia"/>
                      <w:lang w:val="en-US" w:eastAsia="zh-CN"/>
                    </w:rPr>
                  </w:pPr>
                  <w:r>
                    <w:rPr>
                      <w:rFonts w:hint="eastAsia"/>
                      <w:lang w:val="en-US" w:eastAsia="zh-CN"/>
                    </w:rPr>
                    <w:t>/</w:t>
                  </w:r>
                </w:p>
              </w:tc>
            </w:tr>
            <w:tr w14:paraId="1A99EB3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7E8F966E">
                  <w:pPr>
                    <w:pStyle w:val="5"/>
                    <w:jc w:val="left"/>
                  </w:pPr>
                </w:p>
              </w:tc>
              <w:tc>
                <w:tcPr>
                  <w:tcW w:w="377" w:type="dxa"/>
                  <w:vMerge w:val="continue"/>
                  <w:tcBorders>
                    <w:tl2br w:val="nil"/>
                    <w:tr2bl w:val="nil"/>
                  </w:tcBorders>
                  <w:vAlign w:val="center"/>
                </w:tcPr>
                <w:p w14:paraId="1F32719A">
                  <w:pPr>
                    <w:pStyle w:val="5"/>
                    <w:jc w:val="left"/>
                  </w:pPr>
                </w:p>
              </w:tc>
              <w:tc>
                <w:tcPr>
                  <w:tcW w:w="342" w:type="dxa"/>
                  <w:vMerge w:val="continue"/>
                  <w:tcBorders>
                    <w:tl2br w:val="nil"/>
                    <w:tr2bl w:val="nil"/>
                  </w:tcBorders>
                  <w:vAlign w:val="center"/>
                </w:tcPr>
                <w:p w14:paraId="466FC7BF">
                  <w:pPr>
                    <w:pStyle w:val="5"/>
                    <w:jc w:val="left"/>
                  </w:pPr>
                </w:p>
              </w:tc>
              <w:tc>
                <w:tcPr>
                  <w:tcW w:w="312" w:type="dxa"/>
                  <w:vMerge w:val="continue"/>
                  <w:tcBorders>
                    <w:tl2br w:val="nil"/>
                    <w:tr2bl w:val="nil"/>
                  </w:tcBorders>
                  <w:vAlign w:val="center"/>
                </w:tcPr>
                <w:p w14:paraId="708C65A1">
                  <w:pPr>
                    <w:pStyle w:val="5"/>
                    <w:jc w:val="left"/>
                  </w:pPr>
                </w:p>
              </w:tc>
              <w:tc>
                <w:tcPr>
                  <w:tcW w:w="289" w:type="dxa"/>
                  <w:vMerge w:val="continue"/>
                  <w:tcBorders>
                    <w:tl2br w:val="nil"/>
                    <w:tr2bl w:val="nil"/>
                  </w:tcBorders>
                  <w:vAlign w:val="center"/>
                </w:tcPr>
                <w:p w14:paraId="3FFE8BA4">
                  <w:pPr>
                    <w:pStyle w:val="5"/>
                    <w:jc w:val="left"/>
                  </w:pPr>
                </w:p>
              </w:tc>
              <w:tc>
                <w:tcPr>
                  <w:tcW w:w="405" w:type="dxa"/>
                  <w:vMerge w:val="continue"/>
                  <w:tcBorders>
                    <w:tl2br w:val="nil"/>
                    <w:tr2bl w:val="nil"/>
                  </w:tcBorders>
                  <w:vAlign w:val="center"/>
                </w:tcPr>
                <w:p w14:paraId="2E9C1069">
                  <w:pPr>
                    <w:pStyle w:val="5"/>
                    <w:jc w:val="center"/>
                  </w:pPr>
                </w:p>
              </w:tc>
              <w:tc>
                <w:tcPr>
                  <w:tcW w:w="435" w:type="dxa"/>
                  <w:tcBorders>
                    <w:tl2br w:val="nil"/>
                    <w:tr2bl w:val="nil"/>
                  </w:tcBorders>
                  <w:vAlign w:val="center"/>
                </w:tcPr>
                <w:p w14:paraId="29F3AE15">
                  <w:pPr>
                    <w:pStyle w:val="5"/>
                    <w:jc w:val="center"/>
                  </w:pPr>
                  <w:r>
                    <w:t>资源开发利用效率要求</w:t>
                  </w:r>
                </w:p>
              </w:tc>
              <w:tc>
                <w:tcPr>
                  <w:tcW w:w="3060" w:type="dxa"/>
                  <w:tcBorders>
                    <w:tl2br w:val="nil"/>
                    <w:tr2bl w:val="nil"/>
                  </w:tcBorders>
                  <w:vAlign w:val="center"/>
                </w:tcPr>
                <w:p w14:paraId="5562B0E1">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00092E80">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1610239E">
                  <w:pPr>
                    <w:pStyle w:val="5"/>
                    <w:jc w:val="center"/>
                    <w:rPr>
                      <w:rFonts w:hint="eastAsia"/>
                      <w:lang w:val="en-US" w:eastAsia="zh-CN"/>
                    </w:rPr>
                  </w:pPr>
                  <w:r>
                    <w:rPr>
                      <w:rFonts w:hint="eastAsia"/>
                      <w:lang w:val="en-US" w:eastAsia="zh-CN"/>
                    </w:rPr>
                    <w:t>/</w:t>
                  </w:r>
                </w:p>
              </w:tc>
            </w:tr>
            <w:tr w14:paraId="55B669E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restart"/>
                  <w:tcBorders>
                    <w:tl2br w:val="nil"/>
                    <w:tr2bl w:val="nil"/>
                  </w:tcBorders>
                  <w:vAlign w:val="center"/>
                </w:tcPr>
                <w:p w14:paraId="549D81B7">
                  <w:pPr>
                    <w:pStyle w:val="5"/>
                    <w:jc w:val="center"/>
                  </w:pPr>
                  <w:r>
                    <w:t>YS5117022550001</w:t>
                  </w:r>
                </w:p>
              </w:tc>
              <w:tc>
                <w:tcPr>
                  <w:tcW w:w="377" w:type="dxa"/>
                  <w:vMerge w:val="restart"/>
                  <w:tcBorders>
                    <w:tl2br w:val="nil"/>
                    <w:tr2bl w:val="nil"/>
                  </w:tcBorders>
                  <w:vAlign w:val="center"/>
                </w:tcPr>
                <w:p w14:paraId="35FDC9D1">
                  <w:pPr>
                    <w:pStyle w:val="5"/>
                    <w:jc w:val="center"/>
                  </w:pPr>
                  <w:r>
                    <w:t>通川区自然资源重点管控区</w:t>
                  </w:r>
                </w:p>
              </w:tc>
              <w:tc>
                <w:tcPr>
                  <w:tcW w:w="342" w:type="dxa"/>
                  <w:vMerge w:val="restart"/>
                  <w:tcBorders>
                    <w:tl2br w:val="nil"/>
                    <w:tr2bl w:val="nil"/>
                  </w:tcBorders>
                  <w:vAlign w:val="center"/>
                </w:tcPr>
                <w:p w14:paraId="33EA0420">
                  <w:pPr>
                    <w:pStyle w:val="5"/>
                    <w:jc w:val="center"/>
                  </w:pPr>
                  <w:r>
                    <w:t>重点管控区</w:t>
                  </w:r>
                </w:p>
              </w:tc>
              <w:tc>
                <w:tcPr>
                  <w:tcW w:w="312" w:type="dxa"/>
                  <w:vMerge w:val="restart"/>
                  <w:tcBorders>
                    <w:tl2br w:val="nil"/>
                    <w:tr2bl w:val="nil"/>
                  </w:tcBorders>
                  <w:vAlign w:val="center"/>
                </w:tcPr>
                <w:p w14:paraId="3C2BFA9D">
                  <w:pPr>
                    <w:pStyle w:val="5"/>
                    <w:jc w:val="center"/>
                  </w:pPr>
                  <w:r>
                    <w:t>自然资源</w:t>
                  </w:r>
                </w:p>
              </w:tc>
              <w:tc>
                <w:tcPr>
                  <w:tcW w:w="289" w:type="dxa"/>
                  <w:vMerge w:val="restart"/>
                  <w:tcBorders>
                    <w:tl2br w:val="nil"/>
                    <w:tr2bl w:val="nil"/>
                  </w:tcBorders>
                  <w:vAlign w:val="center"/>
                </w:tcPr>
                <w:p w14:paraId="3886F83B">
                  <w:pPr>
                    <w:pStyle w:val="5"/>
                    <w:jc w:val="center"/>
                  </w:pPr>
                  <w:r>
                    <w:t>自然资源重点管控区</w:t>
                  </w:r>
                </w:p>
              </w:tc>
              <w:tc>
                <w:tcPr>
                  <w:tcW w:w="405" w:type="dxa"/>
                  <w:vMerge w:val="restart"/>
                  <w:tcBorders>
                    <w:tl2br w:val="nil"/>
                    <w:tr2bl w:val="nil"/>
                  </w:tcBorders>
                  <w:vAlign w:val="center"/>
                </w:tcPr>
                <w:p w14:paraId="1821208A">
                  <w:pPr>
                    <w:pStyle w:val="5"/>
                    <w:jc w:val="center"/>
                  </w:pPr>
                  <w:r>
                    <w:t>达州市通川区</w:t>
                  </w:r>
                </w:p>
              </w:tc>
              <w:tc>
                <w:tcPr>
                  <w:tcW w:w="435" w:type="dxa"/>
                  <w:tcBorders>
                    <w:tl2br w:val="nil"/>
                    <w:tr2bl w:val="nil"/>
                  </w:tcBorders>
                  <w:vAlign w:val="center"/>
                </w:tcPr>
                <w:p w14:paraId="73161ABE">
                  <w:pPr>
                    <w:pStyle w:val="5"/>
                    <w:jc w:val="center"/>
                  </w:pPr>
                  <w:r>
                    <w:t>空间布局约束</w:t>
                  </w:r>
                </w:p>
              </w:tc>
              <w:tc>
                <w:tcPr>
                  <w:tcW w:w="3060" w:type="dxa"/>
                  <w:tcBorders>
                    <w:tl2br w:val="nil"/>
                    <w:tr2bl w:val="nil"/>
                  </w:tcBorders>
                  <w:vAlign w:val="center"/>
                </w:tcPr>
                <w:p w14:paraId="43676A79">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6FB570F3">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398683A9">
                  <w:pPr>
                    <w:pStyle w:val="5"/>
                    <w:jc w:val="center"/>
                    <w:rPr>
                      <w:rFonts w:hint="eastAsia"/>
                      <w:lang w:val="en-US" w:eastAsia="zh-CN"/>
                    </w:rPr>
                  </w:pPr>
                  <w:r>
                    <w:rPr>
                      <w:rFonts w:hint="eastAsia"/>
                      <w:lang w:val="en-US" w:eastAsia="zh-CN"/>
                    </w:rPr>
                    <w:t>/</w:t>
                  </w:r>
                </w:p>
              </w:tc>
            </w:tr>
            <w:tr w14:paraId="5EA0C48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2043C623">
                  <w:pPr>
                    <w:pStyle w:val="5"/>
                    <w:jc w:val="center"/>
                  </w:pPr>
                </w:p>
              </w:tc>
              <w:tc>
                <w:tcPr>
                  <w:tcW w:w="377" w:type="dxa"/>
                  <w:vMerge w:val="continue"/>
                  <w:tcBorders>
                    <w:tl2br w:val="nil"/>
                    <w:tr2bl w:val="nil"/>
                  </w:tcBorders>
                  <w:vAlign w:val="center"/>
                </w:tcPr>
                <w:p w14:paraId="0302B48E">
                  <w:pPr>
                    <w:pStyle w:val="5"/>
                    <w:jc w:val="center"/>
                  </w:pPr>
                </w:p>
              </w:tc>
              <w:tc>
                <w:tcPr>
                  <w:tcW w:w="342" w:type="dxa"/>
                  <w:vMerge w:val="continue"/>
                  <w:tcBorders>
                    <w:tl2br w:val="nil"/>
                    <w:tr2bl w:val="nil"/>
                  </w:tcBorders>
                  <w:vAlign w:val="center"/>
                </w:tcPr>
                <w:p w14:paraId="74658BE1">
                  <w:pPr>
                    <w:pStyle w:val="5"/>
                    <w:jc w:val="center"/>
                  </w:pPr>
                </w:p>
              </w:tc>
              <w:tc>
                <w:tcPr>
                  <w:tcW w:w="312" w:type="dxa"/>
                  <w:vMerge w:val="continue"/>
                  <w:tcBorders>
                    <w:tl2br w:val="nil"/>
                    <w:tr2bl w:val="nil"/>
                  </w:tcBorders>
                  <w:vAlign w:val="center"/>
                </w:tcPr>
                <w:p w14:paraId="0D66693D">
                  <w:pPr>
                    <w:pStyle w:val="5"/>
                    <w:jc w:val="center"/>
                  </w:pPr>
                </w:p>
              </w:tc>
              <w:tc>
                <w:tcPr>
                  <w:tcW w:w="289" w:type="dxa"/>
                  <w:vMerge w:val="continue"/>
                  <w:tcBorders>
                    <w:tl2br w:val="nil"/>
                    <w:tr2bl w:val="nil"/>
                  </w:tcBorders>
                  <w:vAlign w:val="center"/>
                </w:tcPr>
                <w:p w14:paraId="627551C8">
                  <w:pPr>
                    <w:pStyle w:val="5"/>
                    <w:jc w:val="center"/>
                  </w:pPr>
                </w:p>
              </w:tc>
              <w:tc>
                <w:tcPr>
                  <w:tcW w:w="405" w:type="dxa"/>
                  <w:vMerge w:val="continue"/>
                  <w:tcBorders>
                    <w:tl2br w:val="nil"/>
                    <w:tr2bl w:val="nil"/>
                  </w:tcBorders>
                  <w:vAlign w:val="center"/>
                </w:tcPr>
                <w:p w14:paraId="2F4CF04A">
                  <w:pPr>
                    <w:pStyle w:val="5"/>
                    <w:jc w:val="center"/>
                  </w:pPr>
                </w:p>
              </w:tc>
              <w:tc>
                <w:tcPr>
                  <w:tcW w:w="435" w:type="dxa"/>
                  <w:tcBorders>
                    <w:tl2br w:val="nil"/>
                    <w:tr2bl w:val="nil"/>
                  </w:tcBorders>
                  <w:vAlign w:val="center"/>
                </w:tcPr>
                <w:p w14:paraId="1C906EEC">
                  <w:pPr>
                    <w:pStyle w:val="5"/>
                    <w:jc w:val="center"/>
                  </w:pPr>
                  <w:r>
                    <w:t>污染物排放管控</w:t>
                  </w:r>
                </w:p>
              </w:tc>
              <w:tc>
                <w:tcPr>
                  <w:tcW w:w="3060" w:type="dxa"/>
                  <w:tcBorders>
                    <w:tl2br w:val="nil"/>
                    <w:tr2bl w:val="nil"/>
                  </w:tcBorders>
                  <w:vAlign w:val="center"/>
                </w:tcPr>
                <w:p w14:paraId="1BF66D24">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27C7CEB3">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55272012">
                  <w:pPr>
                    <w:pStyle w:val="5"/>
                    <w:jc w:val="center"/>
                    <w:rPr>
                      <w:rFonts w:hint="eastAsia"/>
                      <w:lang w:val="en-US" w:eastAsia="zh-CN"/>
                    </w:rPr>
                  </w:pPr>
                  <w:r>
                    <w:rPr>
                      <w:rFonts w:hint="eastAsia"/>
                      <w:lang w:val="en-US" w:eastAsia="zh-CN"/>
                    </w:rPr>
                    <w:t>/</w:t>
                  </w:r>
                </w:p>
              </w:tc>
            </w:tr>
            <w:tr w14:paraId="7F9441F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639" w:type="dxa"/>
                  <w:vMerge w:val="continue"/>
                  <w:tcBorders>
                    <w:tl2br w:val="nil"/>
                    <w:tr2bl w:val="nil"/>
                  </w:tcBorders>
                  <w:vAlign w:val="center"/>
                </w:tcPr>
                <w:p w14:paraId="0A0705EB">
                  <w:pPr>
                    <w:pStyle w:val="5"/>
                    <w:jc w:val="center"/>
                  </w:pPr>
                </w:p>
              </w:tc>
              <w:tc>
                <w:tcPr>
                  <w:tcW w:w="377" w:type="dxa"/>
                  <w:vMerge w:val="continue"/>
                  <w:tcBorders>
                    <w:tl2br w:val="nil"/>
                    <w:tr2bl w:val="nil"/>
                  </w:tcBorders>
                  <w:vAlign w:val="center"/>
                </w:tcPr>
                <w:p w14:paraId="5D92D77A">
                  <w:pPr>
                    <w:pStyle w:val="5"/>
                    <w:jc w:val="center"/>
                  </w:pPr>
                </w:p>
              </w:tc>
              <w:tc>
                <w:tcPr>
                  <w:tcW w:w="342" w:type="dxa"/>
                  <w:vMerge w:val="continue"/>
                  <w:tcBorders>
                    <w:tl2br w:val="nil"/>
                    <w:tr2bl w:val="nil"/>
                  </w:tcBorders>
                  <w:vAlign w:val="center"/>
                </w:tcPr>
                <w:p w14:paraId="0AC39E85">
                  <w:pPr>
                    <w:pStyle w:val="5"/>
                    <w:jc w:val="center"/>
                  </w:pPr>
                </w:p>
              </w:tc>
              <w:tc>
                <w:tcPr>
                  <w:tcW w:w="312" w:type="dxa"/>
                  <w:vMerge w:val="continue"/>
                  <w:tcBorders>
                    <w:tl2br w:val="nil"/>
                    <w:tr2bl w:val="nil"/>
                  </w:tcBorders>
                  <w:vAlign w:val="center"/>
                </w:tcPr>
                <w:p w14:paraId="692A9E56">
                  <w:pPr>
                    <w:pStyle w:val="5"/>
                    <w:jc w:val="center"/>
                  </w:pPr>
                </w:p>
              </w:tc>
              <w:tc>
                <w:tcPr>
                  <w:tcW w:w="289" w:type="dxa"/>
                  <w:vMerge w:val="continue"/>
                  <w:tcBorders>
                    <w:tl2br w:val="nil"/>
                    <w:tr2bl w:val="nil"/>
                  </w:tcBorders>
                  <w:vAlign w:val="center"/>
                </w:tcPr>
                <w:p w14:paraId="2F9A214B">
                  <w:pPr>
                    <w:pStyle w:val="5"/>
                    <w:jc w:val="center"/>
                  </w:pPr>
                </w:p>
              </w:tc>
              <w:tc>
                <w:tcPr>
                  <w:tcW w:w="405" w:type="dxa"/>
                  <w:vMerge w:val="continue"/>
                  <w:tcBorders>
                    <w:tl2br w:val="nil"/>
                    <w:tr2bl w:val="nil"/>
                  </w:tcBorders>
                  <w:vAlign w:val="center"/>
                </w:tcPr>
                <w:p w14:paraId="1D123A67">
                  <w:pPr>
                    <w:pStyle w:val="5"/>
                    <w:jc w:val="center"/>
                  </w:pPr>
                </w:p>
              </w:tc>
              <w:tc>
                <w:tcPr>
                  <w:tcW w:w="435" w:type="dxa"/>
                  <w:tcBorders>
                    <w:tl2br w:val="nil"/>
                    <w:tr2bl w:val="nil"/>
                  </w:tcBorders>
                  <w:vAlign w:val="center"/>
                </w:tcPr>
                <w:p w14:paraId="36F89841">
                  <w:pPr>
                    <w:pStyle w:val="5"/>
                    <w:jc w:val="center"/>
                  </w:pPr>
                  <w:r>
                    <w:t>环境风险防控</w:t>
                  </w:r>
                </w:p>
              </w:tc>
              <w:tc>
                <w:tcPr>
                  <w:tcW w:w="3060" w:type="dxa"/>
                  <w:tcBorders>
                    <w:tl2br w:val="nil"/>
                    <w:tr2bl w:val="nil"/>
                  </w:tcBorders>
                  <w:vAlign w:val="center"/>
                </w:tcPr>
                <w:p w14:paraId="50D40CE1">
                  <w:pPr>
                    <w:pStyle w:val="5"/>
                    <w:jc w:val="both"/>
                  </w:pPr>
                  <w:r>
                    <w:rPr>
                      <w:rFonts w:hint="eastAsia"/>
                      <w:lang w:val="en-US" w:eastAsia="zh-CN"/>
                    </w:rPr>
                    <w:t>严格管控类农用地管控要求</w:t>
                  </w:r>
                  <w:r>
                    <w:rPr>
                      <w:rFonts w:hint="eastAsia"/>
                      <w:lang w:eastAsia="zh-CN"/>
                    </w:rPr>
                    <w:t>：</w:t>
                  </w:r>
                </w:p>
                <w:p w14:paraId="15A42898">
                  <w:pPr>
                    <w:pStyle w:val="5"/>
                    <w:jc w:val="both"/>
                  </w:pPr>
                  <w:r>
                    <w:rPr>
                      <w:rFonts w:hint="eastAsia"/>
                    </w:rPr>
                    <w:t>/</w:t>
                  </w:r>
                </w:p>
                <w:p w14:paraId="2CBE960F">
                  <w:pPr>
                    <w:pStyle w:val="5"/>
                    <w:jc w:val="both"/>
                    <w:rPr>
                      <w:rFonts w:hint="eastAsia"/>
                    </w:rPr>
                  </w:pPr>
                  <w:r>
                    <w:rPr>
                      <w:rFonts w:hint="eastAsia"/>
                      <w:lang w:val="en-US" w:eastAsia="zh-CN"/>
                    </w:rPr>
                    <w:t>安全利用类农用地管控要求</w:t>
                  </w:r>
                  <w:r>
                    <w:rPr>
                      <w:rFonts w:hint="eastAsia"/>
                      <w:lang w:eastAsia="zh-CN"/>
                    </w:rPr>
                    <w:t>：</w:t>
                  </w:r>
                </w:p>
                <w:p w14:paraId="7115367E">
                  <w:pPr>
                    <w:pStyle w:val="5"/>
                    <w:jc w:val="both"/>
                  </w:pPr>
                  <w:r>
                    <w:rPr>
                      <w:rFonts w:hint="eastAsia"/>
                    </w:rPr>
                    <w:t>/</w:t>
                  </w:r>
                </w:p>
                <w:p w14:paraId="03784811">
                  <w:pPr>
                    <w:pStyle w:val="5"/>
                    <w:jc w:val="both"/>
                    <w:rPr>
                      <w:rFonts w:hint="eastAsia"/>
                    </w:rPr>
                  </w:pPr>
                  <w:r>
                    <w:rPr>
                      <w:rFonts w:hint="eastAsia"/>
                      <w:lang w:val="en-US" w:eastAsia="zh-CN"/>
                    </w:rPr>
                    <w:t>污染地块管控要求</w:t>
                  </w:r>
                  <w:r>
                    <w:rPr>
                      <w:rFonts w:hint="eastAsia"/>
                      <w:lang w:eastAsia="zh-CN"/>
                    </w:rPr>
                    <w:t>：</w:t>
                  </w:r>
                </w:p>
                <w:p w14:paraId="6A3CEF46">
                  <w:pPr>
                    <w:pStyle w:val="5"/>
                    <w:jc w:val="both"/>
                  </w:pPr>
                  <w:r>
                    <w:rPr>
                      <w:rFonts w:hint="eastAsia"/>
                    </w:rPr>
                    <w:t>土地资源开发利用量不得超过土地资源利用上线控制性指标。</w:t>
                  </w:r>
                </w:p>
                <w:p w14:paraId="6FBE98EA">
                  <w:pPr>
                    <w:pStyle w:val="5"/>
                    <w:jc w:val="both"/>
                    <w:rPr>
                      <w:rFonts w:hint="eastAsia"/>
                    </w:rPr>
                  </w:pPr>
                  <w:r>
                    <w:rPr>
                      <w:rFonts w:hint="eastAsia"/>
                      <w:lang w:val="en-US" w:eastAsia="zh-CN"/>
                    </w:rPr>
                    <w:t>园区环境风险防控要求</w:t>
                  </w:r>
                  <w:r>
                    <w:rPr>
                      <w:rFonts w:hint="eastAsia"/>
                      <w:lang w:eastAsia="zh-CN"/>
                    </w:rPr>
                    <w:t>：</w:t>
                  </w:r>
                </w:p>
                <w:p w14:paraId="12DDD5D5">
                  <w:pPr>
                    <w:pStyle w:val="5"/>
                    <w:jc w:val="both"/>
                  </w:pPr>
                  <w:r>
                    <w:rPr>
                      <w:rFonts w:hint="eastAsia"/>
                    </w:rPr>
                    <w:t>/</w:t>
                  </w:r>
                </w:p>
                <w:p w14:paraId="5A4BD26D">
                  <w:pPr>
                    <w:pStyle w:val="5"/>
                    <w:jc w:val="both"/>
                    <w:rPr>
                      <w:rFonts w:hint="eastAsia"/>
                    </w:rPr>
                  </w:pPr>
                  <w:r>
                    <w:rPr>
                      <w:rFonts w:hint="eastAsia"/>
                      <w:lang w:val="en-US" w:eastAsia="zh-CN"/>
                    </w:rPr>
                    <w:t>企业环境风险防控要求</w:t>
                  </w:r>
                  <w:r>
                    <w:rPr>
                      <w:rFonts w:hint="eastAsia"/>
                      <w:lang w:eastAsia="zh-CN"/>
                    </w:rPr>
                    <w:t>：</w:t>
                  </w:r>
                </w:p>
                <w:p w14:paraId="66B6AA3B">
                  <w:pPr>
                    <w:pStyle w:val="5"/>
                    <w:jc w:val="both"/>
                  </w:pPr>
                  <w:r>
                    <w:rPr>
                      <w:rFonts w:hint="eastAsia"/>
                    </w:rPr>
                    <w:t>/</w:t>
                  </w:r>
                </w:p>
                <w:p w14:paraId="30398646">
                  <w:pPr>
                    <w:pStyle w:val="5"/>
                    <w:jc w:val="both"/>
                    <w:rPr>
                      <w:rFonts w:hint="eastAsia"/>
                    </w:rPr>
                  </w:pPr>
                  <w:r>
                    <w:rPr>
                      <w:rFonts w:hint="eastAsia"/>
                      <w:lang w:val="en-US" w:eastAsia="zh-CN"/>
                    </w:rPr>
                    <w:t>其他环境风险防控要求</w:t>
                  </w:r>
                  <w:r>
                    <w:rPr>
                      <w:rFonts w:hint="eastAsia"/>
                      <w:lang w:eastAsia="zh-CN"/>
                    </w:rPr>
                    <w:t>：</w:t>
                  </w:r>
                </w:p>
                <w:p w14:paraId="0F28987F">
                  <w:pPr>
                    <w:pStyle w:val="5"/>
                    <w:jc w:val="both"/>
                  </w:pPr>
                  <w:r>
                    <w:rPr>
                      <w:rFonts w:hint="eastAsia"/>
                    </w:rPr>
                    <w:t>/</w:t>
                  </w:r>
                </w:p>
              </w:tc>
              <w:tc>
                <w:tcPr>
                  <w:tcW w:w="2280" w:type="dxa"/>
                  <w:tcBorders>
                    <w:tl2br w:val="nil"/>
                    <w:tr2bl w:val="nil"/>
                  </w:tcBorders>
                  <w:vAlign w:val="center"/>
                </w:tcPr>
                <w:p w14:paraId="7DC884A5">
                  <w:pPr>
                    <w:pStyle w:val="5"/>
                    <w:jc w:val="both"/>
                    <w:rPr>
                      <w:rFonts w:hint="eastAsia"/>
                    </w:rPr>
                  </w:pPr>
                  <w:r>
                    <w:rPr>
                      <w:rFonts w:hint="eastAsia"/>
                      <w:lang w:val="en-US" w:eastAsia="zh-CN"/>
                    </w:rPr>
                    <w:t>污染地块管控要求</w:t>
                  </w:r>
                  <w:r>
                    <w:rPr>
                      <w:rFonts w:hint="eastAsia"/>
                      <w:lang w:eastAsia="zh-CN"/>
                    </w:rPr>
                    <w:t>：</w:t>
                  </w:r>
                </w:p>
                <w:p w14:paraId="4FA4F985">
                  <w:pPr>
                    <w:pStyle w:val="5"/>
                    <w:jc w:val="both"/>
                  </w:pPr>
                  <w:r>
                    <w:rPr>
                      <w:rFonts w:hint="eastAsia"/>
                      <w:lang w:val="en-US" w:eastAsia="zh-CN"/>
                    </w:rPr>
                    <w:t>项目</w:t>
                  </w:r>
                  <w:r>
                    <w:rPr>
                      <w:rFonts w:hint="eastAsia"/>
                    </w:rPr>
                    <w:t>土地资源开发利用量</w:t>
                  </w:r>
                  <w:r>
                    <w:rPr>
                      <w:rFonts w:hint="eastAsia"/>
                      <w:lang w:val="en-US" w:eastAsia="zh-CN"/>
                    </w:rPr>
                    <w:t>未</w:t>
                  </w:r>
                  <w:r>
                    <w:rPr>
                      <w:rFonts w:hint="eastAsia"/>
                    </w:rPr>
                    <w:t>超过土地资源利用上线控制性指标。</w:t>
                  </w:r>
                </w:p>
              </w:tc>
              <w:tc>
                <w:tcPr>
                  <w:tcW w:w="705" w:type="dxa"/>
                  <w:tcBorders>
                    <w:tl2br w:val="nil"/>
                    <w:tr2bl w:val="nil"/>
                  </w:tcBorders>
                  <w:vAlign w:val="center"/>
                </w:tcPr>
                <w:p w14:paraId="5372806C">
                  <w:pPr>
                    <w:pStyle w:val="5"/>
                    <w:jc w:val="center"/>
                    <w:rPr>
                      <w:rFonts w:hint="eastAsia" w:eastAsia="宋体"/>
                      <w:lang w:val="en-US" w:eastAsia="zh-CN"/>
                    </w:rPr>
                  </w:pPr>
                  <w:r>
                    <w:rPr>
                      <w:rFonts w:hint="eastAsia"/>
                      <w:lang w:val="en-US" w:eastAsia="zh-CN"/>
                    </w:rPr>
                    <w:t>符合</w:t>
                  </w:r>
                </w:p>
              </w:tc>
            </w:tr>
            <w:tr w14:paraId="339A074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2FD0AD32">
                  <w:pPr>
                    <w:pStyle w:val="5"/>
                    <w:jc w:val="left"/>
                  </w:pPr>
                </w:p>
              </w:tc>
              <w:tc>
                <w:tcPr>
                  <w:tcW w:w="377" w:type="dxa"/>
                  <w:vMerge w:val="continue"/>
                  <w:tcBorders>
                    <w:tl2br w:val="nil"/>
                    <w:tr2bl w:val="nil"/>
                  </w:tcBorders>
                  <w:vAlign w:val="center"/>
                </w:tcPr>
                <w:p w14:paraId="60C0AECA">
                  <w:pPr>
                    <w:pStyle w:val="5"/>
                    <w:jc w:val="left"/>
                  </w:pPr>
                </w:p>
              </w:tc>
              <w:tc>
                <w:tcPr>
                  <w:tcW w:w="342" w:type="dxa"/>
                  <w:vMerge w:val="continue"/>
                  <w:tcBorders>
                    <w:tl2br w:val="nil"/>
                    <w:tr2bl w:val="nil"/>
                  </w:tcBorders>
                  <w:vAlign w:val="center"/>
                </w:tcPr>
                <w:p w14:paraId="5612EB8D">
                  <w:pPr>
                    <w:pStyle w:val="5"/>
                    <w:jc w:val="left"/>
                  </w:pPr>
                </w:p>
              </w:tc>
              <w:tc>
                <w:tcPr>
                  <w:tcW w:w="312" w:type="dxa"/>
                  <w:vMerge w:val="continue"/>
                  <w:tcBorders>
                    <w:tl2br w:val="nil"/>
                    <w:tr2bl w:val="nil"/>
                  </w:tcBorders>
                  <w:vAlign w:val="center"/>
                </w:tcPr>
                <w:p w14:paraId="7BEE311A">
                  <w:pPr>
                    <w:pStyle w:val="5"/>
                    <w:jc w:val="left"/>
                  </w:pPr>
                </w:p>
              </w:tc>
              <w:tc>
                <w:tcPr>
                  <w:tcW w:w="289" w:type="dxa"/>
                  <w:vMerge w:val="continue"/>
                  <w:tcBorders>
                    <w:tl2br w:val="nil"/>
                    <w:tr2bl w:val="nil"/>
                  </w:tcBorders>
                  <w:vAlign w:val="center"/>
                </w:tcPr>
                <w:p w14:paraId="092BC43A">
                  <w:pPr>
                    <w:pStyle w:val="5"/>
                    <w:jc w:val="left"/>
                  </w:pPr>
                </w:p>
              </w:tc>
              <w:tc>
                <w:tcPr>
                  <w:tcW w:w="405" w:type="dxa"/>
                  <w:vMerge w:val="continue"/>
                  <w:tcBorders>
                    <w:tl2br w:val="nil"/>
                    <w:tr2bl w:val="nil"/>
                  </w:tcBorders>
                  <w:vAlign w:val="center"/>
                </w:tcPr>
                <w:p w14:paraId="577C1617">
                  <w:pPr>
                    <w:pStyle w:val="5"/>
                    <w:jc w:val="left"/>
                  </w:pPr>
                </w:p>
              </w:tc>
              <w:tc>
                <w:tcPr>
                  <w:tcW w:w="435" w:type="dxa"/>
                  <w:tcBorders>
                    <w:tl2br w:val="nil"/>
                    <w:tr2bl w:val="nil"/>
                  </w:tcBorders>
                  <w:vAlign w:val="center"/>
                </w:tcPr>
                <w:p w14:paraId="2A6DC786">
                  <w:pPr>
                    <w:pStyle w:val="5"/>
                    <w:jc w:val="center"/>
                  </w:pPr>
                  <w:r>
                    <w:t>资源开发利用效率要求</w:t>
                  </w:r>
                </w:p>
              </w:tc>
              <w:tc>
                <w:tcPr>
                  <w:tcW w:w="3060" w:type="dxa"/>
                  <w:tcBorders>
                    <w:tl2br w:val="nil"/>
                    <w:tr2bl w:val="nil"/>
                  </w:tcBorders>
                  <w:vAlign w:val="center"/>
                </w:tcPr>
                <w:p w14:paraId="3D4111E4">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40B672B4">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7D1D59B4">
                  <w:pPr>
                    <w:pStyle w:val="5"/>
                    <w:jc w:val="center"/>
                    <w:rPr>
                      <w:rFonts w:hint="eastAsia"/>
                      <w:lang w:val="en-US" w:eastAsia="zh-CN"/>
                    </w:rPr>
                  </w:pPr>
                  <w:r>
                    <w:rPr>
                      <w:rFonts w:hint="eastAsia"/>
                      <w:lang w:val="en-US" w:eastAsia="zh-CN"/>
                    </w:rPr>
                    <w:t>/</w:t>
                  </w:r>
                </w:p>
              </w:tc>
            </w:tr>
            <w:tr w14:paraId="609D61D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restart"/>
                  <w:tcBorders>
                    <w:tl2br w:val="nil"/>
                    <w:tr2bl w:val="nil"/>
                  </w:tcBorders>
                  <w:vAlign w:val="center"/>
                </w:tcPr>
                <w:p w14:paraId="7FDEC351">
                  <w:pPr>
                    <w:pStyle w:val="5"/>
                    <w:jc w:val="center"/>
                  </w:pPr>
                  <w:r>
                    <w:t>YS5117022530001</w:t>
                  </w:r>
                </w:p>
              </w:tc>
              <w:tc>
                <w:tcPr>
                  <w:tcW w:w="377" w:type="dxa"/>
                  <w:vMerge w:val="restart"/>
                  <w:tcBorders>
                    <w:tl2br w:val="nil"/>
                    <w:tr2bl w:val="nil"/>
                  </w:tcBorders>
                  <w:vAlign w:val="center"/>
                </w:tcPr>
                <w:p w14:paraId="59AEF8AC">
                  <w:pPr>
                    <w:pStyle w:val="5"/>
                    <w:jc w:val="center"/>
                  </w:pPr>
                  <w:r>
                    <w:t>通川区城镇开发边界</w:t>
                  </w:r>
                </w:p>
              </w:tc>
              <w:tc>
                <w:tcPr>
                  <w:tcW w:w="342" w:type="dxa"/>
                  <w:vMerge w:val="restart"/>
                  <w:tcBorders>
                    <w:tl2br w:val="nil"/>
                    <w:tr2bl w:val="nil"/>
                  </w:tcBorders>
                  <w:vAlign w:val="center"/>
                </w:tcPr>
                <w:p w14:paraId="5DD63488">
                  <w:pPr>
                    <w:pStyle w:val="5"/>
                    <w:jc w:val="center"/>
                  </w:pPr>
                  <w:r>
                    <w:t>重点管控区</w:t>
                  </w:r>
                </w:p>
              </w:tc>
              <w:tc>
                <w:tcPr>
                  <w:tcW w:w="312" w:type="dxa"/>
                  <w:vMerge w:val="restart"/>
                  <w:tcBorders>
                    <w:tl2br w:val="nil"/>
                    <w:tr2bl w:val="nil"/>
                  </w:tcBorders>
                  <w:vAlign w:val="center"/>
                </w:tcPr>
                <w:p w14:paraId="00E00EBE">
                  <w:pPr>
                    <w:pStyle w:val="5"/>
                    <w:jc w:val="center"/>
                  </w:pPr>
                  <w:r>
                    <w:t>自然资源</w:t>
                  </w:r>
                </w:p>
              </w:tc>
              <w:tc>
                <w:tcPr>
                  <w:tcW w:w="289" w:type="dxa"/>
                  <w:vMerge w:val="restart"/>
                  <w:tcBorders>
                    <w:tl2br w:val="nil"/>
                    <w:tr2bl w:val="nil"/>
                  </w:tcBorders>
                  <w:vAlign w:val="center"/>
                </w:tcPr>
                <w:p w14:paraId="5D143B6A">
                  <w:pPr>
                    <w:pStyle w:val="5"/>
                    <w:jc w:val="center"/>
                  </w:pPr>
                  <w:r>
                    <w:t>土地资源重点管控区</w:t>
                  </w:r>
                </w:p>
              </w:tc>
              <w:tc>
                <w:tcPr>
                  <w:tcW w:w="405" w:type="dxa"/>
                  <w:vMerge w:val="restart"/>
                  <w:tcBorders>
                    <w:tl2br w:val="nil"/>
                    <w:tr2bl w:val="nil"/>
                  </w:tcBorders>
                  <w:vAlign w:val="center"/>
                </w:tcPr>
                <w:p w14:paraId="29924EA2">
                  <w:pPr>
                    <w:pStyle w:val="5"/>
                    <w:jc w:val="center"/>
                  </w:pPr>
                  <w:r>
                    <w:t>达州市通川区</w:t>
                  </w:r>
                </w:p>
              </w:tc>
              <w:tc>
                <w:tcPr>
                  <w:tcW w:w="435" w:type="dxa"/>
                  <w:tcBorders>
                    <w:tl2br w:val="nil"/>
                    <w:tr2bl w:val="nil"/>
                  </w:tcBorders>
                  <w:vAlign w:val="center"/>
                </w:tcPr>
                <w:p w14:paraId="34103EAC">
                  <w:pPr>
                    <w:pStyle w:val="5"/>
                    <w:jc w:val="center"/>
                  </w:pPr>
                  <w:r>
                    <w:t>空间布局约束</w:t>
                  </w:r>
                </w:p>
              </w:tc>
              <w:tc>
                <w:tcPr>
                  <w:tcW w:w="3060" w:type="dxa"/>
                  <w:tcBorders>
                    <w:tl2br w:val="nil"/>
                    <w:tr2bl w:val="nil"/>
                  </w:tcBorders>
                  <w:vAlign w:val="center"/>
                </w:tcPr>
                <w:p w14:paraId="0F6B87CB">
                  <w:pPr>
                    <w:pStyle w:val="5"/>
                    <w:jc w:val="both"/>
                  </w:pPr>
                  <w:r>
                    <w:rPr>
                      <w:rFonts w:hint="eastAsia"/>
                      <w:lang w:val="en-US" w:eastAsia="zh-CN"/>
                    </w:rPr>
                    <w:t>禁止开发建设活动的要求：</w:t>
                  </w:r>
                </w:p>
                <w:p w14:paraId="5E919216">
                  <w:pPr>
                    <w:pStyle w:val="5"/>
                    <w:jc w:val="both"/>
                  </w:pPr>
                  <w:r>
                    <w:rPr>
                      <w:rFonts w:hint="eastAsi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p w14:paraId="6DEEAC08">
                  <w:pPr>
                    <w:pStyle w:val="5"/>
                    <w:jc w:val="both"/>
                    <w:rPr>
                      <w:rFonts w:hint="eastAsia"/>
                    </w:rPr>
                  </w:pPr>
                  <w:r>
                    <w:rPr>
                      <w:rFonts w:hint="eastAsia"/>
                      <w:lang w:val="en-US" w:eastAsia="zh-CN"/>
                    </w:rPr>
                    <w:t>限制开发建设活动的要求：</w:t>
                  </w:r>
                </w:p>
                <w:p w14:paraId="76420D0C">
                  <w:pPr>
                    <w:pStyle w:val="5"/>
                    <w:jc w:val="both"/>
                  </w:pPr>
                  <w:r>
                    <w:rPr>
                      <w:rFonts w:hint="eastAsia"/>
                    </w:rPr>
                    <w:t>/</w:t>
                  </w:r>
                </w:p>
                <w:p w14:paraId="392CE396">
                  <w:pPr>
                    <w:pStyle w:val="5"/>
                    <w:jc w:val="both"/>
                    <w:rPr>
                      <w:rFonts w:hint="eastAsia"/>
                    </w:rPr>
                  </w:pPr>
                  <w:r>
                    <w:rPr>
                      <w:rFonts w:hint="eastAsia"/>
                      <w:lang w:val="en-US" w:eastAsia="zh-CN"/>
                    </w:rPr>
                    <w:t>允许开发建设活动的要求：</w:t>
                  </w:r>
                </w:p>
                <w:p w14:paraId="325B7378">
                  <w:pPr>
                    <w:pStyle w:val="5"/>
                    <w:jc w:val="both"/>
                  </w:pPr>
                  <w:r>
                    <w:rPr>
                      <w:rFonts w:hint="eastAsia"/>
                    </w:rPr>
                    <w:t>/</w:t>
                  </w:r>
                </w:p>
                <w:p w14:paraId="5216835C">
                  <w:pPr>
                    <w:pStyle w:val="5"/>
                    <w:jc w:val="both"/>
                    <w:rPr>
                      <w:rFonts w:hint="eastAsia"/>
                    </w:rPr>
                  </w:pPr>
                  <w:r>
                    <w:rPr>
                      <w:rFonts w:hint="eastAsia"/>
                      <w:lang w:val="en-US" w:eastAsia="zh-CN"/>
                    </w:rPr>
                    <w:t>不符合空间布局要求活动的退出要求：</w:t>
                  </w:r>
                </w:p>
                <w:p w14:paraId="6463A1C4">
                  <w:pPr>
                    <w:pStyle w:val="5"/>
                    <w:jc w:val="both"/>
                  </w:pPr>
                  <w:r>
                    <w:rPr>
                      <w:rFonts w:hint="eastAsia"/>
                    </w:rPr>
                    <w:t>/</w:t>
                  </w:r>
                </w:p>
                <w:p w14:paraId="1AF3EA45">
                  <w:pPr>
                    <w:pStyle w:val="5"/>
                    <w:jc w:val="both"/>
                    <w:rPr>
                      <w:rFonts w:hint="eastAsia"/>
                    </w:rPr>
                  </w:pPr>
                  <w:r>
                    <w:rPr>
                      <w:rFonts w:hint="eastAsia"/>
                      <w:lang w:val="en-US" w:eastAsia="zh-CN"/>
                    </w:rPr>
                    <w:t>其他空间布局约束要求：</w:t>
                  </w:r>
                </w:p>
                <w:p w14:paraId="6642C677">
                  <w:pPr>
                    <w:pStyle w:val="5"/>
                    <w:jc w:val="both"/>
                  </w:pPr>
                  <w:r>
                    <w:rPr>
                      <w:rFonts w:hint="eastAsia"/>
                    </w:rPr>
                    <w:t>/</w:t>
                  </w:r>
                </w:p>
              </w:tc>
              <w:tc>
                <w:tcPr>
                  <w:tcW w:w="2280" w:type="dxa"/>
                  <w:tcBorders>
                    <w:tl2br w:val="nil"/>
                    <w:tr2bl w:val="nil"/>
                  </w:tcBorders>
                  <w:vAlign w:val="center"/>
                </w:tcPr>
                <w:p w14:paraId="422B7D15">
                  <w:pPr>
                    <w:pStyle w:val="5"/>
                    <w:jc w:val="both"/>
                  </w:pPr>
                  <w:r>
                    <w:rPr>
                      <w:rFonts w:hint="eastAsia"/>
                      <w:lang w:val="en-US" w:eastAsia="zh-CN"/>
                    </w:rPr>
                    <w:t>禁止开发建设活动的要求：</w:t>
                  </w:r>
                </w:p>
                <w:p w14:paraId="6D19D00B">
                  <w:pPr>
                    <w:pStyle w:val="5"/>
                    <w:jc w:val="both"/>
                    <w:rPr>
                      <w:rFonts w:hint="eastAsia" w:eastAsia="宋体"/>
                      <w:lang w:eastAsia="zh-CN"/>
                    </w:rPr>
                  </w:pPr>
                  <w:r>
                    <w:rPr>
                      <w:rFonts w:hint="eastAsia"/>
                    </w:rPr>
                    <w:t>1.</w:t>
                  </w:r>
                  <w:r>
                    <w:rPr>
                      <w:rFonts w:hint="eastAsia"/>
                      <w:lang w:val="en-US" w:eastAsia="zh-CN"/>
                    </w:rPr>
                    <w:t>本项目</w:t>
                  </w:r>
                  <w:r>
                    <w:rPr>
                      <w:rFonts w:hint="eastAsia"/>
                    </w:rPr>
                    <w:t>综合考虑资源承载能力、人口分布、经济布局、城乡统</w:t>
                  </w:r>
                  <w:r>
                    <w:rPr>
                      <w:rFonts w:hint="eastAsia"/>
                      <w:lang w:val="en-US" w:eastAsia="zh-CN"/>
                    </w:rPr>
                    <w:t>等</w:t>
                  </w:r>
                  <w:r>
                    <w:rPr>
                      <w:rFonts w:hint="eastAsia"/>
                      <w:lang w:eastAsia="zh-CN"/>
                    </w:rPr>
                    <w:t>，</w:t>
                  </w:r>
                  <w:r>
                    <w:rPr>
                      <w:rFonts w:hint="eastAsia"/>
                    </w:rPr>
                    <w:t>科学预留一定比例的留白区。</w:t>
                  </w:r>
                  <w:r>
                    <w:rPr>
                      <w:rFonts w:hint="eastAsia"/>
                      <w:lang w:val="en-US" w:eastAsia="zh-CN"/>
                    </w:rPr>
                    <w:t>本项目未</w:t>
                  </w:r>
                  <w:r>
                    <w:rPr>
                      <w:rFonts w:hint="eastAsia"/>
                    </w:rPr>
                    <w:t>侵占河道、湖面、滩地。2</w:t>
                  </w:r>
                  <w:r>
                    <w:rPr>
                      <w:rFonts w:hint="eastAsia"/>
                      <w:lang w:val="en-US" w:eastAsia="zh-CN"/>
                    </w:rPr>
                    <w:t>不涉及</w:t>
                  </w:r>
                  <w:r>
                    <w:rPr>
                      <w:rFonts w:hint="eastAsia"/>
                    </w:rPr>
                    <w:t>城镇开发边界</w:t>
                  </w:r>
                  <w:r>
                    <w:rPr>
                      <w:rFonts w:hint="eastAsia"/>
                      <w:lang w:val="en-US" w:eastAsia="zh-CN"/>
                    </w:rPr>
                    <w:t>的</w:t>
                  </w:r>
                  <w:r>
                    <w:rPr>
                      <w:rFonts w:hint="eastAsia"/>
                    </w:rPr>
                    <w:t>调整</w:t>
                  </w:r>
                  <w:r>
                    <w:rPr>
                      <w:rFonts w:hint="eastAsia"/>
                      <w:lang w:eastAsia="zh-CN"/>
                    </w:rPr>
                    <w:t>。</w:t>
                  </w:r>
                </w:p>
              </w:tc>
              <w:tc>
                <w:tcPr>
                  <w:tcW w:w="705" w:type="dxa"/>
                  <w:tcBorders>
                    <w:tl2br w:val="nil"/>
                    <w:tr2bl w:val="nil"/>
                  </w:tcBorders>
                  <w:vAlign w:val="center"/>
                </w:tcPr>
                <w:p w14:paraId="398C69CD">
                  <w:pPr>
                    <w:pStyle w:val="5"/>
                    <w:jc w:val="center"/>
                    <w:rPr>
                      <w:rFonts w:hint="eastAsia" w:eastAsia="宋体"/>
                      <w:lang w:val="en-US" w:eastAsia="zh-CN"/>
                    </w:rPr>
                  </w:pPr>
                  <w:r>
                    <w:rPr>
                      <w:rFonts w:hint="eastAsia"/>
                      <w:lang w:val="en-US" w:eastAsia="zh-CN"/>
                    </w:rPr>
                    <w:t>符合</w:t>
                  </w:r>
                </w:p>
              </w:tc>
            </w:tr>
            <w:tr w14:paraId="3DF91C1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5C520665">
                  <w:pPr>
                    <w:pStyle w:val="5"/>
                    <w:jc w:val="center"/>
                  </w:pPr>
                </w:p>
              </w:tc>
              <w:tc>
                <w:tcPr>
                  <w:tcW w:w="377" w:type="dxa"/>
                  <w:vMerge w:val="continue"/>
                  <w:tcBorders>
                    <w:tl2br w:val="nil"/>
                    <w:tr2bl w:val="nil"/>
                  </w:tcBorders>
                  <w:vAlign w:val="center"/>
                </w:tcPr>
                <w:p w14:paraId="08DD7B3A">
                  <w:pPr>
                    <w:pStyle w:val="5"/>
                    <w:jc w:val="center"/>
                  </w:pPr>
                </w:p>
              </w:tc>
              <w:tc>
                <w:tcPr>
                  <w:tcW w:w="342" w:type="dxa"/>
                  <w:vMerge w:val="continue"/>
                  <w:tcBorders>
                    <w:tl2br w:val="nil"/>
                    <w:tr2bl w:val="nil"/>
                  </w:tcBorders>
                  <w:vAlign w:val="center"/>
                </w:tcPr>
                <w:p w14:paraId="0957F380">
                  <w:pPr>
                    <w:pStyle w:val="5"/>
                    <w:jc w:val="center"/>
                  </w:pPr>
                </w:p>
              </w:tc>
              <w:tc>
                <w:tcPr>
                  <w:tcW w:w="312" w:type="dxa"/>
                  <w:vMerge w:val="continue"/>
                  <w:tcBorders>
                    <w:tl2br w:val="nil"/>
                    <w:tr2bl w:val="nil"/>
                  </w:tcBorders>
                  <w:vAlign w:val="center"/>
                </w:tcPr>
                <w:p w14:paraId="7A1F5654">
                  <w:pPr>
                    <w:pStyle w:val="5"/>
                    <w:jc w:val="center"/>
                  </w:pPr>
                </w:p>
              </w:tc>
              <w:tc>
                <w:tcPr>
                  <w:tcW w:w="289" w:type="dxa"/>
                  <w:vMerge w:val="continue"/>
                  <w:tcBorders>
                    <w:tl2br w:val="nil"/>
                    <w:tr2bl w:val="nil"/>
                  </w:tcBorders>
                  <w:vAlign w:val="center"/>
                </w:tcPr>
                <w:p w14:paraId="09DAC094">
                  <w:pPr>
                    <w:pStyle w:val="5"/>
                    <w:jc w:val="center"/>
                  </w:pPr>
                </w:p>
              </w:tc>
              <w:tc>
                <w:tcPr>
                  <w:tcW w:w="405" w:type="dxa"/>
                  <w:vMerge w:val="continue"/>
                  <w:tcBorders>
                    <w:tl2br w:val="nil"/>
                    <w:tr2bl w:val="nil"/>
                  </w:tcBorders>
                  <w:vAlign w:val="center"/>
                </w:tcPr>
                <w:p w14:paraId="5F869BF8">
                  <w:pPr>
                    <w:pStyle w:val="5"/>
                    <w:jc w:val="center"/>
                  </w:pPr>
                </w:p>
              </w:tc>
              <w:tc>
                <w:tcPr>
                  <w:tcW w:w="435" w:type="dxa"/>
                  <w:tcBorders>
                    <w:tl2br w:val="nil"/>
                    <w:tr2bl w:val="nil"/>
                  </w:tcBorders>
                  <w:vAlign w:val="center"/>
                </w:tcPr>
                <w:p w14:paraId="1DEAFA54">
                  <w:pPr>
                    <w:pStyle w:val="5"/>
                    <w:jc w:val="center"/>
                  </w:pPr>
                  <w:r>
                    <w:t>污染物排放管控</w:t>
                  </w:r>
                </w:p>
              </w:tc>
              <w:tc>
                <w:tcPr>
                  <w:tcW w:w="3060" w:type="dxa"/>
                  <w:tcBorders>
                    <w:tl2br w:val="nil"/>
                    <w:tr2bl w:val="nil"/>
                  </w:tcBorders>
                  <w:vAlign w:val="center"/>
                </w:tcPr>
                <w:p w14:paraId="1B6A2D3D">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7FB45881">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5A51420D">
                  <w:pPr>
                    <w:pStyle w:val="5"/>
                    <w:jc w:val="center"/>
                    <w:rPr>
                      <w:rFonts w:hint="eastAsia"/>
                      <w:lang w:val="en-US" w:eastAsia="zh-CN"/>
                    </w:rPr>
                  </w:pPr>
                  <w:r>
                    <w:rPr>
                      <w:rFonts w:hint="eastAsia"/>
                      <w:lang w:val="en-US" w:eastAsia="zh-CN"/>
                    </w:rPr>
                    <w:t>/</w:t>
                  </w:r>
                </w:p>
              </w:tc>
            </w:tr>
            <w:tr w14:paraId="33B01A4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c>
                <w:tcPr>
                  <w:tcW w:w="639" w:type="dxa"/>
                  <w:vMerge w:val="continue"/>
                  <w:tcBorders>
                    <w:tl2br w:val="nil"/>
                    <w:tr2bl w:val="nil"/>
                  </w:tcBorders>
                  <w:vAlign w:val="center"/>
                </w:tcPr>
                <w:p w14:paraId="2915A1B7">
                  <w:pPr>
                    <w:pStyle w:val="5"/>
                    <w:jc w:val="center"/>
                  </w:pPr>
                </w:p>
              </w:tc>
              <w:tc>
                <w:tcPr>
                  <w:tcW w:w="377" w:type="dxa"/>
                  <w:vMerge w:val="continue"/>
                  <w:tcBorders>
                    <w:tl2br w:val="nil"/>
                    <w:tr2bl w:val="nil"/>
                  </w:tcBorders>
                  <w:vAlign w:val="center"/>
                </w:tcPr>
                <w:p w14:paraId="1BC1E3AB">
                  <w:pPr>
                    <w:pStyle w:val="5"/>
                    <w:jc w:val="center"/>
                  </w:pPr>
                </w:p>
              </w:tc>
              <w:tc>
                <w:tcPr>
                  <w:tcW w:w="342" w:type="dxa"/>
                  <w:vMerge w:val="continue"/>
                  <w:tcBorders>
                    <w:tl2br w:val="nil"/>
                    <w:tr2bl w:val="nil"/>
                  </w:tcBorders>
                  <w:vAlign w:val="center"/>
                </w:tcPr>
                <w:p w14:paraId="518F345C">
                  <w:pPr>
                    <w:pStyle w:val="5"/>
                    <w:jc w:val="center"/>
                  </w:pPr>
                </w:p>
              </w:tc>
              <w:tc>
                <w:tcPr>
                  <w:tcW w:w="312" w:type="dxa"/>
                  <w:vMerge w:val="continue"/>
                  <w:tcBorders>
                    <w:tl2br w:val="nil"/>
                    <w:tr2bl w:val="nil"/>
                  </w:tcBorders>
                  <w:vAlign w:val="center"/>
                </w:tcPr>
                <w:p w14:paraId="37917921">
                  <w:pPr>
                    <w:pStyle w:val="5"/>
                    <w:jc w:val="center"/>
                  </w:pPr>
                </w:p>
              </w:tc>
              <w:tc>
                <w:tcPr>
                  <w:tcW w:w="289" w:type="dxa"/>
                  <w:vMerge w:val="continue"/>
                  <w:tcBorders>
                    <w:tl2br w:val="nil"/>
                    <w:tr2bl w:val="nil"/>
                  </w:tcBorders>
                  <w:vAlign w:val="center"/>
                </w:tcPr>
                <w:p w14:paraId="2899A0CC">
                  <w:pPr>
                    <w:pStyle w:val="5"/>
                    <w:jc w:val="center"/>
                  </w:pPr>
                </w:p>
              </w:tc>
              <w:tc>
                <w:tcPr>
                  <w:tcW w:w="405" w:type="dxa"/>
                  <w:vMerge w:val="continue"/>
                  <w:tcBorders>
                    <w:tl2br w:val="nil"/>
                    <w:tr2bl w:val="nil"/>
                  </w:tcBorders>
                  <w:vAlign w:val="center"/>
                </w:tcPr>
                <w:p w14:paraId="553F07F0">
                  <w:pPr>
                    <w:pStyle w:val="5"/>
                    <w:jc w:val="center"/>
                  </w:pPr>
                </w:p>
              </w:tc>
              <w:tc>
                <w:tcPr>
                  <w:tcW w:w="435" w:type="dxa"/>
                  <w:tcBorders>
                    <w:tl2br w:val="nil"/>
                    <w:tr2bl w:val="nil"/>
                  </w:tcBorders>
                  <w:vAlign w:val="center"/>
                </w:tcPr>
                <w:p w14:paraId="5261BDB5">
                  <w:pPr>
                    <w:pStyle w:val="5"/>
                    <w:jc w:val="center"/>
                  </w:pPr>
                  <w:r>
                    <w:t>环境风险防控</w:t>
                  </w:r>
                </w:p>
              </w:tc>
              <w:tc>
                <w:tcPr>
                  <w:tcW w:w="3060" w:type="dxa"/>
                  <w:tcBorders>
                    <w:tl2br w:val="nil"/>
                    <w:tr2bl w:val="nil"/>
                  </w:tcBorders>
                  <w:vAlign w:val="center"/>
                </w:tcPr>
                <w:p w14:paraId="00B4CF9C">
                  <w:pPr>
                    <w:pStyle w:val="5"/>
                    <w:jc w:val="left"/>
                  </w:pPr>
                  <w:r>
                    <w:rPr>
                      <w:rFonts w:hint="eastAsia"/>
                      <w:lang w:val="en-US" w:eastAsia="zh-CN"/>
                    </w:rPr>
                    <w:t>严格管控类农用地管控要求：</w:t>
                  </w:r>
                </w:p>
                <w:p w14:paraId="08C4448F">
                  <w:pPr>
                    <w:pStyle w:val="5"/>
                    <w:jc w:val="left"/>
                  </w:pPr>
                  <w:r>
                    <w:rPr>
                      <w:rFonts w:hint="eastAsia"/>
                    </w:rPr>
                    <w:t>/</w:t>
                  </w:r>
                </w:p>
                <w:p w14:paraId="42AB9D46">
                  <w:pPr>
                    <w:pStyle w:val="5"/>
                    <w:jc w:val="left"/>
                    <w:rPr>
                      <w:rFonts w:hint="eastAsia"/>
                    </w:rPr>
                  </w:pPr>
                  <w:r>
                    <w:rPr>
                      <w:rFonts w:hint="eastAsia"/>
                      <w:lang w:val="en-US" w:eastAsia="zh-CN"/>
                    </w:rPr>
                    <w:t>安全利用类农用地管控要求：</w:t>
                  </w:r>
                </w:p>
                <w:p w14:paraId="77176B0A">
                  <w:pPr>
                    <w:pStyle w:val="5"/>
                    <w:jc w:val="left"/>
                  </w:pPr>
                  <w:r>
                    <w:rPr>
                      <w:rFonts w:hint="eastAsia"/>
                    </w:rPr>
                    <w:t>/</w:t>
                  </w:r>
                </w:p>
                <w:p w14:paraId="55DC612F">
                  <w:pPr>
                    <w:pStyle w:val="5"/>
                    <w:jc w:val="left"/>
                    <w:rPr>
                      <w:rFonts w:hint="eastAsia"/>
                    </w:rPr>
                  </w:pPr>
                  <w:r>
                    <w:rPr>
                      <w:rFonts w:hint="eastAsia"/>
                      <w:lang w:val="en-US" w:eastAsia="zh-CN"/>
                    </w:rPr>
                    <w:t>污染地块管控要求：</w:t>
                  </w:r>
                </w:p>
                <w:p w14:paraId="31E3A99A">
                  <w:pPr>
                    <w:pStyle w:val="5"/>
                    <w:jc w:val="left"/>
                  </w:pPr>
                  <w:r>
                    <w:rPr>
                      <w:rFonts w:hint="eastAsia"/>
                    </w:rPr>
                    <w:t>土地资源开发利用量不得超过土地资源利用上线控制性指标。</w:t>
                  </w:r>
                </w:p>
                <w:p w14:paraId="6BD1116D">
                  <w:pPr>
                    <w:pStyle w:val="5"/>
                    <w:jc w:val="left"/>
                    <w:rPr>
                      <w:rFonts w:hint="eastAsia"/>
                    </w:rPr>
                  </w:pPr>
                  <w:r>
                    <w:rPr>
                      <w:rFonts w:hint="eastAsia"/>
                      <w:lang w:val="en-US" w:eastAsia="zh-CN"/>
                    </w:rPr>
                    <w:t>园区环境风险防控要求：</w:t>
                  </w:r>
                </w:p>
                <w:p w14:paraId="58FB911E">
                  <w:pPr>
                    <w:pStyle w:val="5"/>
                    <w:jc w:val="left"/>
                  </w:pPr>
                  <w:r>
                    <w:rPr>
                      <w:rFonts w:hint="eastAsia"/>
                    </w:rPr>
                    <w:t>/</w:t>
                  </w:r>
                </w:p>
                <w:p w14:paraId="5B972E93">
                  <w:pPr>
                    <w:pStyle w:val="5"/>
                    <w:jc w:val="left"/>
                    <w:rPr>
                      <w:rFonts w:hint="eastAsia"/>
                    </w:rPr>
                  </w:pPr>
                  <w:r>
                    <w:rPr>
                      <w:rFonts w:hint="eastAsia"/>
                      <w:lang w:val="en-US" w:eastAsia="zh-CN"/>
                    </w:rPr>
                    <w:t>企业环境风险防控要求：</w:t>
                  </w:r>
                </w:p>
                <w:p w14:paraId="0E93E06A">
                  <w:pPr>
                    <w:pStyle w:val="5"/>
                    <w:jc w:val="left"/>
                  </w:pPr>
                  <w:r>
                    <w:rPr>
                      <w:rFonts w:hint="eastAsia"/>
                    </w:rPr>
                    <w:t>/</w:t>
                  </w:r>
                </w:p>
                <w:p w14:paraId="79A54568">
                  <w:pPr>
                    <w:pStyle w:val="5"/>
                    <w:jc w:val="left"/>
                    <w:rPr>
                      <w:rFonts w:hint="eastAsia"/>
                    </w:rPr>
                  </w:pPr>
                  <w:r>
                    <w:rPr>
                      <w:rFonts w:hint="eastAsia"/>
                      <w:lang w:val="en-US" w:eastAsia="zh-CN"/>
                    </w:rPr>
                    <w:t>其他环境风险防控要求：</w:t>
                  </w:r>
                </w:p>
                <w:p w14:paraId="7AABE00B">
                  <w:pPr>
                    <w:pStyle w:val="5"/>
                    <w:jc w:val="left"/>
                  </w:pPr>
                  <w:r>
                    <w:rPr>
                      <w:rFonts w:hint="eastAsia"/>
                    </w:rPr>
                    <w:t>/</w:t>
                  </w:r>
                </w:p>
              </w:tc>
              <w:tc>
                <w:tcPr>
                  <w:tcW w:w="2280" w:type="dxa"/>
                  <w:tcBorders>
                    <w:tl2br w:val="nil"/>
                    <w:tr2bl w:val="nil"/>
                  </w:tcBorders>
                  <w:vAlign w:val="center"/>
                </w:tcPr>
                <w:p w14:paraId="2D18B32B">
                  <w:pPr>
                    <w:pStyle w:val="5"/>
                    <w:jc w:val="left"/>
                    <w:rPr>
                      <w:rFonts w:hint="eastAsia"/>
                    </w:rPr>
                  </w:pPr>
                  <w:r>
                    <w:rPr>
                      <w:rFonts w:hint="eastAsia"/>
                      <w:lang w:val="en-US" w:eastAsia="zh-CN"/>
                    </w:rPr>
                    <w:t>污染地块管控要求：</w:t>
                  </w:r>
                </w:p>
                <w:p w14:paraId="362B67DE">
                  <w:pPr>
                    <w:pStyle w:val="5"/>
                    <w:jc w:val="left"/>
                  </w:pPr>
                  <w:r>
                    <w:rPr>
                      <w:rFonts w:hint="eastAsia"/>
                      <w:lang w:val="en-US" w:eastAsia="zh-CN"/>
                    </w:rPr>
                    <w:t>项目</w:t>
                  </w:r>
                  <w:r>
                    <w:rPr>
                      <w:rFonts w:hint="eastAsia"/>
                    </w:rPr>
                    <w:t>土地资源开发利用量</w:t>
                  </w:r>
                  <w:r>
                    <w:rPr>
                      <w:rFonts w:hint="eastAsia"/>
                      <w:lang w:val="en-US" w:eastAsia="zh-CN"/>
                    </w:rPr>
                    <w:t>未</w:t>
                  </w:r>
                  <w:r>
                    <w:rPr>
                      <w:rFonts w:hint="eastAsia"/>
                    </w:rPr>
                    <w:t>超过土地资源利用上线控制性指标。</w:t>
                  </w:r>
                </w:p>
              </w:tc>
              <w:tc>
                <w:tcPr>
                  <w:tcW w:w="705" w:type="dxa"/>
                  <w:tcBorders>
                    <w:tl2br w:val="nil"/>
                    <w:tr2bl w:val="nil"/>
                  </w:tcBorders>
                  <w:vAlign w:val="center"/>
                </w:tcPr>
                <w:p w14:paraId="5822DE83">
                  <w:pPr>
                    <w:pStyle w:val="5"/>
                    <w:jc w:val="center"/>
                    <w:rPr>
                      <w:rFonts w:hint="eastAsia" w:eastAsia="宋体"/>
                      <w:lang w:val="en-US" w:eastAsia="zh-CN"/>
                    </w:rPr>
                  </w:pPr>
                  <w:r>
                    <w:rPr>
                      <w:rFonts w:hint="eastAsia"/>
                      <w:lang w:val="en-US" w:eastAsia="zh-CN"/>
                    </w:rPr>
                    <w:t>符合</w:t>
                  </w:r>
                </w:p>
              </w:tc>
            </w:tr>
            <w:tr w14:paraId="381A5C2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 w:type="dxa"/>
                  <w:bottom w:w="0" w:type="dxa"/>
                  <w:right w:w="10" w:type="dxa"/>
                </w:tblCellMar>
              </w:tblPrEx>
              <w:tc>
                <w:tcPr>
                  <w:tcW w:w="639" w:type="dxa"/>
                  <w:vMerge w:val="continue"/>
                  <w:tcBorders>
                    <w:tl2br w:val="nil"/>
                    <w:tr2bl w:val="nil"/>
                  </w:tcBorders>
                  <w:vAlign w:val="center"/>
                </w:tcPr>
                <w:p w14:paraId="36BF2BC9">
                  <w:pPr>
                    <w:pStyle w:val="5"/>
                    <w:jc w:val="center"/>
                  </w:pPr>
                </w:p>
              </w:tc>
              <w:tc>
                <w:tcPr>
                  <w:tcW w:w="377" w:type="dxa"/>
                  <w:vMerge w:val="continue"/>
                  <w:tcBorders>
                    <w:tl2br w:val="nil"/>
                    <w:tr2bl w:val="nil"/>
                  </w:tcBorders>
                  <w:vAlign w:val="center"/>
                </w:tcPr>
                <w:p w14:paraId="214DA3B1">
                  <w:pPr>
                    <w:pStyle w:val="5"/>
                    <w:jc w:val="center"/>
                  </w:pPr>
                </w:p>
              </w:tc>
              <w:tc>
                <w:tcPr>
                  <w:tcW w:w="342" w:type="dxa"/>
                  <w:vMerge w:val="continue"/>
                  <w:tcBorders>
                    <w:tl2br w:val="nil"/>
                    <w:tr2bl w:val="nil"/>
                  </w:tcBorders>
                  <w:vAlign w:val="center"/>
                </w:tcPr>
                <w:p w14:paraId="6D5609A8">
                  <w:pPr>
                    <w:pStyle w:val="5"/>
                    <w:jc w:val="center"/>
                  </w:pPr>
                </w:p>
              </w:tc>
              <w:tc>
                <w:tcPr>
                  <w:tcW w:w="312" w:type="dxa"/>
                  <w:vMerge w:val="continue"/>
                  <w:tcBorders>
                    <w:tl2br w:val="nil"/>
                    <w:tr2bl w:val="nil"/>
                  </w:tcBorders>
                  <w:vAlign w:val="center"/>
                </w:tcPr>
                <w:p w14:paraId="2C3B3806">
                  <w:pPr>
                    <w:pStyle w:val="5"/>
                    <w:jc w:val="center"/>
                  </w:pPr>
                </w:p>
              </w:tc>
              <w:tc>
                <w:tcPr>
                  <w:tcW w:w="289" w:type="dxa"/>
                  <w:vMerge w:val="continue"/>
                  <w:tcBorders>
                    <w:tl2br w:val="nil"/>
                    <w:tr2bl w:val="nil"/>
                  </w:tcBorders>
                  <w:vAlign w:val="center"/>
                </w:tcPr>
                <w:p w14:paraId="7B1B53C6">
                  <w:pPr>
                    <w:pStyle w:val="5"/>
                    <w:jc w:val="center"/>
                  </w:pPr>
                </w:p>
              </w:tc>
              <w:tc>
                <w:tcPr>
                  <w:tcW w:w="405" w:type="dxa"/>
                  <w:vMerge w:val="continue"/>
                  <w:tcBorders>
                    <w:tl2br w:val="nil"/>
                    <w:tr2bl w:val="nil"/>
                  </w:tcBorders>
                  <w:vAlign w:val="center"/>
                </w:tcPr>
                <w:p w14:paraId="05EFA230">
                  <w:pPr>
                    <w:pStyle w:val="5"/>
                    <w:jc w:val="center"/>
                  </w:pPr>
                </w:p>
              </w:tc>
              <w:tc>
                <w:tcPr>
                  <w:tcW w:w="435" w:type="dxa"/>
                  <w:tcBorders>
                    <w:tl2br w:val="nil"/>
                    <w:tr2bl w:val="nil"/>
                  </w:tcBorders>
                  <w:vAlign w:val="center"/>
                </w:tcPr>
                <w:p w14:paraId="6ABD63DA">
                  <w:pPr>
                    <w:pStyle w:val="5"/>
                    <w:jc w:val="center"/>
                  </w:pPr>
                  <w:r>
                    <w:t>资源开发利用效率要求</w:t>
                  </w:r>
                </w:p>
              </w:tc>
              <w:tc>
                <w:tcPr>
                  <w:tcW w:w="3060" w:type="dxa"/>
                  <w:tcBorders>
                    <w:tl2br w:val="nil"/>
                    <w:tr2bl w:val="nil"/>
                  </w:tcBorders>
                  <w:vAlign w:val="center"/>
                </w:tcPr>
                <w:p w14:paraId="55592E22">
                  <w:pPr>
                    <w:pStyle w:val="5"/>
                    <w:jc w:val="center"/>
                    <w:rPr>
                      <w:rFonts w:hint="eastAsia"/>
                      <w:lang w:val="en-US" w:eastAsia="zh-CN"/>
                    </w:rPr>
                  </w:pPr>
                  <w:r>
                    <w:rPr>
                      <w:rFonts w:hint="eastAsia"/>
                      <w:lang w:val="en-US" w:eastAsia="zh-CN"/>
                    </w:rPr>
                    <w:t>/</w:t>
                  </w:r>
                </w:p>
              </w:tc>
              <w:tc>
                <w:tcPr>
                  <w:tcW w:w="2280" w:type="dxa"/>
                  <w:tcBorders>
                    <w:tl2br w:val="nil"/>
                    <w:tr2bl w:val="nil"/>
                  </w:tcBorders>
                  <w:vAlign w:val="center"/>
                </w:tcPr>
                <w:p w14:paraId="4A751152">
                  <w:pPr>
                    <w:pStyle w:val="5"/>
                    <w:jc w:val="center"/>
                    <w:rPr>
                      <w:rFonts w:hint="eastAsia"/>
                      <w:lang w:val="en-US" w:eastAsia="zh-CN"/>
                    </w:rPr>
                  </w:pPr>
                  <w:r>
                    <w:rPr>
                      <w:rFonts w:hint="eastAsia"/>
                      <w:lang w:val="en-US" w:eastAsia="zh-CN"/>
                    </w:rPr>
                    <w:t>/</w:t>
                  </w:r>
                </w:p>
              </w:tc>
              <w:tc>
                <w:tcPr>
                  <w:tcW w:w="705" w:type="dxa"/>
                  <w:tcBorders>
                    <w:tl2br w:val="nil"/>
                    <w:tr2bl w:val="nil"/>
                  </w:tcBorders>
                  <w:vAlign w:val="center"/>
                </w:tcPr>
                <w:p w14:paraId="4D533F39">
                  <w:pPr>
                    <w:pStyle w:val="5"/>
                    <w:jc w:val="center"/>
                    <w:rPr>
                      <w:rFonts w:hint="eastAsia"/>
                      <w:lang w:val="en-US" w:eastAsia="zh-CN"/>
                    </w:rPr>
                  </w:pPr>
                  <w:r>
                    <w:rPr>
                      <w:rFonts w:hint="eastAsia"/>
                      <w:lang w:val="en-US" w:eastAsia="zh-CN"/>
                    </w:rPr>
                    <w:t>/</w:t>
                  </w:r>
                </w:p>
              </w:tc>
            </w:tr>
          </w:tbl>
          <w:p w14:paraId="31F83BA8">
            <w:pPr>
              <w:wordWrap/>
              <w:spacing w:line="367" w:lineRule="auto"/>
              <w:ind w:firstLine="482" w:firstLineChars="200"/>
              <w:jc w:val="both"/>
              <w:textAlignment w:val="baseline"/>
              <w:rPr>
                <w:rFonts w:hint="eastAsia"/>
                <w:b/>
                <w:bCs/>
                <w:color w:val="auto"/>
              </w:rPr>
            </w:pPr>
            <w:r>
              <w:rPr>
                <w:b/>
                <w:bCs/>
              </w:rPr>
              <w:t>综上，本项目满足</w:t>
            </w:r>
            <w:r>
              <w:rPr>
                <w:rFonts w:hint="eastAsia"/>
                <w:b/>
                <w:bCs/>
                <w:lang w:val="en-US" w:eastAsia="zh-CN"/>
              </w:rPr>
              <w:t>达州市</w:t>
            </w:r>
            <w:r>
              <w:rPr>
                <w:rFonts w:ascii="宋体" w:hAnsi="宋体"/>
                <w:b/>
                <w:bCs/>
              </w:rPr>
              <w:t>“生态环境分区管控”要求。</w:t>
            </w:r>
          </w:p>
          <w:p w14:paraId="3D425609">
            <w:pPr>
              <w:wordWrap/>
              <w:spacing w:line="367" w:lineRule="auto"/>
              <w:ind w:firstLine="482" w:firstLineChars="200"/>
              <w:jc w:val="both"/>
              <w:textAlignment w:val="baseline"/>
              <w:rPr>
                <w:rFonts w:hint="eastAsia" w:ascii="Times New Roman" w:hAnsi="Times New Roman" w:eastAsia="宋体" w:cstheme="minorBidi"/>
                <w:b/>
                <w:bCs w:val="0"/>
                <w:kern w:val="2"/>
                <w:sz w:val="24"/>
                <w:szCs w:val="32"/>
                <w:lang w:val="en-US" w:eastAsia="zh-CN" w:bidi="ar-SA"/>
              </w:rPr>
            </w:pPr>
            <w:r>
              <w:rPr>
                <w:rFonts w:hint="eastAsia" w:cstheme="minorBidi"/>
                <w:b/>
                <w:bCs w:val="0"/>
                <w:kern w:val="2"/>
                <w:sz w:val="24"/>
                <w:szCs w:val="32"/>
                <w:lang w:val="en-US" w:eastAsia="zh-CN" w:bidi="ar-SA"/>
              </w:rPr>
              <w:t>4</w:t>
            </w:r>
            <w:r>
              <w:rPr>
                <w:rFonts w:hint="eastAsia" w:ascii="Times New Roman" w:hAnsi="Times New Roman" w:eastAsia="宋体" w:cstheme="minorBidi"/>
                <w:b/>
                <w:bCs w:val="0"/>
                <w:kern w:val="2"/>
                <w:sz w:val="24"/>
                <w:szCs w:val="32"/>
                <w:lang w:val="en-US" w:eastAsia="zh-CN" w:bidi="ar-SA"/>
              </w:rPr>
              <w:t>、与相关法律法规、污染防治政策的符合性</w:t>
            </w:r>
          </w:p>
          <w:p w14:paraId="6B260740">
            <w:pPr>
              <w:wordWrap/>
              <w:bidi w:val="0"/>
              <w:ind w:firstLine="482" w:firstLineChars="200"/>
              <w:jc w:val="both"/>
              <w:rPr>
                <w:rFonts w:ascii="Times New Roman" w:hAnsi="Times New Roman" w:eastAsiaTheme="minorEastAsia" w:cstheme="minorBidi"/>
                <w:szCs w:val="24"/>
              </w:rPr>
            </w:pPr>
            <w:r>
              <w:rPr>
                <w:rFonts w:hint="eastAsia" w:ascii="Times New Roman" w:hAnsi="Times New Roman" w:eastAsiaTheme="minorEastAsia" w:cstheme="minorBidi"/>
                <w:b/>
                <w:bCs/>
                <w:szCs w:val="24"/>
                <w:lang w:eastAsia="zh-CN"/>
              </w:rPr>
              <w:t>（</w:t>
            </w:r>
            <w:r>
              <w:rPr>
                <w:rFonts w:hint="eastAsia" w:ascii="Times New Roman" w:hAnsi="Times New Roman" w:eastAsiaTheme="minorEastAsia" w:cstheme="minorBidi"/>
                <w:b/>
                <w:bCs/>
                <w:szCs w:val="24"/>
                <w:lang w:val="en-US" w:eastAsia="zh-CN"/>
              </w:rPr>
              <w:t>1</w:t>
            </w:r>
            <w:r>
              <w:rPr>
                <w:rFonts w:hint="eastAsia" w:ascii="Times New Roman" w:hAnsi="Times New Roman" w:eastAsiaTheme="minorEastAsia" w:cstheme="minorBidi"/>
                <w:b/>
                <w:bCs/>
                <w:szCs w:val="24"/>
                <w:lang w:eastAsia="zh-CN"/>
              </w:rPr>
              <w:t>）</w:t>
            </w:r>
            <w:r>
              <w:rPr>
                <w:rFonts w:hint="eastAsia" w:ascii="Times New Roman" w:hAnsi="Times New Roman" w:eastAsiaTheme="minorEastAsia" w:cstheme="minorBidi"/>
                <w:b/>
                <w:bCs/>
                <w:szCs w:val="24"/>
              </w:rPr>
              <w:t>与</w:t>
            </w:r>
            <w:r>
              <w:rPr>
                <w:rFonts w:ascii="Times New Roman" w:hAnsi="Times New Roman" w:eastAsiaTheme="minorEastAsia" w:cstheme="minorBidi"/>
                <w:b/>
                <w:bCs/>
                <w:szCs w:val="24"/>
              </w:rPr>
              <w:t>《长江经济带发展负面清单指南（试行，2022年版）》</w:t>
            </w:r>
            <w:r>
              <w:rPr>
                <w:rFonts w:hint="eastAsia" w:ascii="Times New Roman" w:hAnsi="Times New Roman" w:eastAsiaTheme="minorEastAsia" w:cstheme="minorBidi"/>
                <w:b/>
                <w:bCs/>
                <w:szCs w:val="24"/>
              </w:rPr>
              <w:t>的</w:t>
            </w:r>
            <w:r>
              <w:rPr>
                <w:rFonts w:ascii="Times New Roman" w:hAnsi="Times New Roman" w:eastAsiaTheme="minorEastAsia" w:cstheme="minorBidi"/>
                <w:b/>
                <w:bCs/>
                <w:szCs w:val="24"/>
              </w:rPr>
              <w:t>符合性分析</w:t>
            </w:r>
          </w:p>
          <w:p w14:paraId="1C998F50">
            <w:pPr>
              <w:wordWrap/>
              <w:ind w:firstLine="480" w:firstLineChars="200"/>
              <w:jc w:val="both"/>
              <w:rPr>
                <w:rFonts w:hint="eastAsia" w:ascii="Times New Roman" w:hAnsi="Times New Roman" w:cs="Times New Roman" w:eastAsiaTheme="minorEastAsia"/>
                <w:szCs w:val="32"/>
                <w:highlight w:val="none"/>
                <w:lang w:eastAsia="zh-CN"/>
              </w:rPr>
            </w:pPr>
            <w:r>
              <w:rPr>
                <w:rFonts w:ascii="Times New Roman" w:hAnsi="Times New Roman" w:cs="Times New Roman" w:eastAsiaTheme="minorEastAsia"/>
                <w:szCs w:val="32"/>
              </w:rPr>
              <w:t>本项</w:t>
            </w:r>
            <w:r>
              <w:rPr>
                <w:rFonts w:ascii="Times New Roman" w:hAnsi="Times New Roman" w:cs="Times New Roman" w:eastAsiaTheme="minorEastAsia"/>
                <w:szCs w:val="32"/>
                <w:highlight w:val="none"/>
              </w:rPr>
              <w:t>目为</w:t>
            </w:r>
            <w:r>
              <w:rPr>
                <w:rFonts w:hint="eastAsia" w:ascii="Times New Roman" w:hAnsi="Times New Roman" w:cs="Times New Roman" w:eastAsiaTheme="minorEastAsia"/>
                <w:szCs w:val="32"/>
                <w:highlight w:val="none"/>
                <w:lang w:val="en-US" w:eastAsia="zh-CN"/>
              </w:rPr>
              <w:t>氢能源混合动力系统与</w:t>
            </w:r>
            <w:r>
              <w:rPr>
                <w:rFonts w:ascii="Times New Roman" w:hAnsi="Times New Roman" w:cs="Times New Roman" w:eastAsiaTheme="minorEastAsia"/>
                <w:szCs w:val="32"/>
                <w:highlight w:val="none"/>
                <w:lang w:val="en-US" w:eastAsia="zh-CN"/>
              </w:rPr>
              <w:t>氢能源两轮车</w:t>
            </w:r>
            <w:r>
              <w:rPr>
                <w:rFonts w:hint="eastAsia" w:ascii="Times New Roman" w:hAnsi="Times New Roman" w:cs="Times New Roman" w:eastAsiaTheme="minorEastAsia"/>
                <w:szCs w:val="32"/>
                <w:highlight w:val="none"/>
                <w:lang w:val="en-US" w:eastAsia="zh-CN"/>
              </w:rPr>
              <w:t>的组装</w:t>
            </w:r>
            <w:r>
              <w:rPr>
                <w:rFonts w:hint="eastAsia" w:ascii="Times New Roman" w:hAnsi="Times New Roman" w:cs="Times New Roman" w:eastAsiaTheme="minorEastAsia"/>
                <w:szCs w:val="32"/>
                <w:highlight w:val="none"/>
                <w:lang w:eastAsia="zh-CN"/>
              </w:rPr>
              <w:t>。</w:t>
            </w:r>
            <w:r>
              <w:rPr>
                <w:rFonts w:hint="eastAsia" w:ascii="Times New Roman" w:hAnsi="Times New Roman" w:cs="Times New Roman" w:eastAsiaTheme="minorEastAsia"/>
                <w:szCs w:val="32"/>
                <w:highlight w:val="none"/>
                <w:lang w:val="en-US" w:eastAsia="zh-CN"/>
              </w:rPr>
              <w:t>本项目</w:t>
            </w:r>
            <w:r>
              <w:rPr>
                <w:rFonts w:ascii="Times New Roman" w:hAnsi="Times New Roman" w:cs="Times New Roman" w:eastAsiaTheme="minorEastAsia"/>
                <w:szCs w:val="32"/>
                <w:highlight w:val="none"/>
              </w:rPr>
              <w:t>与《长江经济带发展负面清单指南（试行，2022年版）》（长江办〔2022〕7号）符合性分析见表1</w:t>
            </w:r>
            <w:r>
              <w:rPr>
                <w:rFonts w:hint="eastAsia" w:cs="Times New Roman" w:eastAsiaTheme="minorEastAsia"/>
                <w:szCs w:val="32"/>
                <w:highlight w:val="none"/>
                <w:lang w:val="en-US" w:eastAsia="zh-CN"/>
              </w:rPr>
              <w:t>-10</w:t>
            </w:r>
            <w:r>
              <w:rPr>
                <w:rFonts w:hint="eastAsia" w:cs="Times New Roman" w:eastAsiaTheme="minorEastAsia"/>
                <w:szCs w:val="32"/>
                <w:highlight w:val="none"/>
                <w:lang w:eastAsia="zh-CN"/>
              </w:rPr>
              <w:t>。</w:t>
            </w:r>
          </w:p>
          <w:p w14:paraId="7CD4C3A5">
            <w:pPr>
              <w:pStyle w:val="7"/>
              <w:bidi w:val="0"/>
              <w:jc w:val="center"/>
            </w:pPr>
            <w:r>
              <w:t>表</w:t>
            </w:r>
            <w:r>
              <w:rPr>
                <w:rFonts w:hint="eastAsia"/>
                <w:lang w:val="en-US" w:eastAsia="zh-CN"/>
              </w:rPr>
              <w:t>1-10</w:t>
            </w:r>
            <w:r>
              <w:t xml:space="preserve">  本项目与长江办〔2022〕7号符合性分析</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4529"/>
              <w:gridCol w:w="2575"/>
              <w:gridCol w:w="865"/>
            </w:tblGrid>
            <w:tr w14:paraId="4C0FBA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00" w:type="pct"/>
                  <w:tcBorders>
                    <w:tl2br w:val="nil"/>
                    <w:tr2bl w:val="nil"/>
                  </w:tcBorders>
                  <w:vAlign w:val="center"/>
                </w:tcPr>
                <w:p w14:paraId="3887453E">
                  <w:pPr>
                    <w:pStyle w:val="5"/>
                    <w:bidi w:val="0"/>
                    <w:jc w:val="center"/>
                    <w:rPr>
                      <w:b/>
                      <w:bCs/>
                    </w:rPr>
                  </w:pPr>
                  <w:r>
                    <w:rPr>
                      <w:b/>
                      <w:bCs/>
                    </w:rPr>
                    <w:t>序号</w:t>
                  </w:r>
                </w:p>
              </w:tc>
              <w:tc>
                <w:tcPr>
                  <w:tcW w:w="2556" w:type="pct"/>
                  <w:tcBorders>
                    <w:tl2br w:val="nil"/>
                    <w:tr2bl w:val="nil"/>
                  </w:tcBorders>
                  <w:vAlign w:val="center"/>
                </w:tcPr>
                <w:p w14:paraId="26DCF216">
                  <w:pPr>
                    <w:pStyle w:val="5"/>
                    <w:bidi w:val="0"/>
                    <w:jc w:val="center"/>
                    <w:rPr>
                      <w:b/>
                      <w:bCs/>
                    </w:rPr>
                  </w:pPr>
                  <w:r>
                    <w:rPr>
                      <w:b/>
                      <w:bCs/>
                    </w:rPr>
                    <w:t>规范要求</w:t>
                  </w:r>
                </w:p>
              </w:tc>
              <w:tc>
                <w:tcPr>
                  <w:tcW w:w="1453" w:type="pct"/>
                  <w:tcBorders>
                    <w:tl2br w:val="nil"/>
                    <w:tr2bl w:val="nil"/>
                  </w:tcBorders>
                  <w:vAlign w:val="center"/>
                </w:tcPr>
                <w:p w14:paraId="34705F25">
                  <w:pPr>
                    <w:pStyle w:val="5"/>
                    <w:bidi w:val="0"/>
                    <w:jc w:val="center"/>
                    <w:rPr>
                      <w:b/>
                      <w:bCs/>
                    </w:rPr>
                  </w:pPr>
                  <w:r>
                    <w:rPr>
                      <w:b/>
                      <w:bCs/>
                    </w:rPr>
                    <w:t>本项目建设情况</w:t>
                  </w:r>
                </w:p>
              </w:tc>
              <w:tc>
                <w:tcPr>
                  <w:tcW w:w="488" w:type="pct"/>
                  <w:tcBorders>
                    <w:tl2br w:val="nil"/>
                    <w:tr2bl w:val="nil"/>
                  </w:tcBorders>
                  <w:vAlign w:val="center"/>
                </w:tcPr>
                <w:p w14:paraId="6EDB0F95">
                  <w:pPr>
                    <w:pStyle w:val="5"/>
                    <w:bidi w:val="0"/>
                    <w:jc w:val="center"/>
                    <w:rPr>
                      <w:b/>
                      <w:bCs/>
                    </w:rPr>
                  </w:pPr>
                  <w:r>
                    <w:rPr>
                      <w:b/>
                      <w:bCs/>
                    </w:rPr>
                    <w:t>结论</w:t>
                  </w:r>
                </w:p>
              </w:tc>
            </w:tr>
            <w:tr w14:paraId="0B80B8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036124AE">
                  <w:pPr>
                    <w:pStyle w:val="5"/>
                    <w:bidi w:val="0"/>
                    <w:jc w:val="center"/>
                  </w:pPr>
                  <w:r>
                    <w:t>1</w:t>
                  </w:r>
                </w:p>
              </w:tc>
              <w:tc>
                <w:tcPr>
                  <w:tcW w:w="2556" w:type="pct"/>
                  <w:tcBorders>
                    <w:tl2br w:val="nil"/>
                    <w:tr2bl w:val="nil"/>
                  </w:tcBorders>
                  <w:vAlign w:val="center"/>
                </w:tcPr>
                <w:p w14:paraId="05AD0493">
                  <w:pPr>
                    <w:pStyle w:val="5"/>
                    <w:bidi w:val="0"/>
                    <w:jc w:val="both"/>
                  </w:pPr>
                  <w:r>
                    <w:t>禁止建设不符合全国和省级港口布局规划以及港口总体规划的码头项目，禁止建设不符合《长江干线过江通道布局规划》的过长江通道项目</w:t>
                  </w:r>
                </w:p>
              </w:tc>
              <w:tc>
                <w:tcPr>
                  <w:tcW w:w="1453" w:type="pct"/>
                  <w:tcBorders>
                    <w:tl2br w:val="nil"/>
                    <w:tr2bl w:val="nil"/>
                  </w:tcBorders>
                  <w:vAlign w:val="center"/>
                </w:tcPr>
                <w:p w14:paraId="115D45B9">
                  <w:pPr>
                    <w:pStyle w:val="5"/>
                    <w:bidi w:val="0"/>
                    <w:jc w:val="both"/>
                  </w:pPr>
                  <w:r>
                    <w:t>不属于码头项目及过江通道项目。</w:t>
                  </w:r>
                </w:p>
              </w:tc>
              <w:tc>
                <w:tcPr>
                  <w:tcW w:w="488" w:type="pct"/>
                  <w:tcBorders>
                    <w:tl2br w:val="nil"/>
                    <w:tr2bl w:val="nil"/>
                  </w:tcBorders>
                  <w:vAlign w:val="center"/>
                </w:tcPr>
                <w:p w14:paraId="0ABFB5DC">
                  <w:pPr>
                    <w:pStyle w:val="5"/>
                    <w:bidi w:val="0"/>
                    <w:jc w:val="center"/>
                    <w:rPr>
                      <w:rFonts w:hint="eastAsia"/>
                      <w:lang w:eastAsia="zh-CN"/>
                    </w:rPr>
                  </w:pPr>
                  <w:r>
                    <w:rPr>
                      <w:rFonts w:hint="eastAsia"/>
                      <w:lang w:val="en-US" w:eastAsia="zh-CN"/>
                    </w:rPr>
                    <w:t>符合</w:t>
                  </w:r>
                </w:p>
              </w:tc>
            </w:tr>
            <w:tr w14:paraId="3DD19E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4DE019EC">
                  <w:pPr>
                    <w:pStyle w:val="5"/>
                    <w:bidi w:val="0"/>
                    <w:jc w:val="center"/>
                  </w:pPr>
                  <w:r>
                    <w:t>2</w:t>
                  </w:r>
                </w:p>
              </w:tc>
              <w:tc>
                <w:tcPr>
                  <w:tcW w:w="2556" w:type="pct"/>
                  <w:tcBorders>
                    <w:tl2br w:val="nil"/>
                    <w:tr2bl w:val="nil"/>
                  </w:tcBorders>
                  <w:vAlign w:val="center"/>
                </w:tcPr>
                <w:p w14:paraId="6C44435E">
                  <w:pPr>
                    <w:pStyle w:val="5"/>
                    <w:bidi w:val="0"/>
                    <w:jc w:val="both"/>
                  </w:pPr>
                  <w:r>
                    <w:t>禁止在自然保护核心区、缓冲区的岸线和河段范围内投资建设旅游和生产经营项目。禁止在风景名胜区核心景区的岸线和河段范围内投资建设与风景名胜资源保护无关的项目。</w:t>
                  </w:r>
                </w:p>
              </w:tc>
              <w:tc>
                <w:tcPr>
                  <w:tcW w:w="1453" w:type="pct"/>
                  <w:tcBorders>
                    <w:tl2br w:val="nil"/>
                    <w:tr2bl w:val="nil"/>
                  </w:tcBorders>
                  <w:vAlign w:val="center"/>
                </w:tcPr>
                <w:p w14:paraId="7BFFE1A4">
                  <w:pPr>
                    <w:pStyle w:val="5"/>
                    <w:bidi w:val="0"/>
                    <w:jc w:val="both"/>
                  </w:pPr>
                  <w:r>
                    <w:t>不在自然保护核心区、缓冲区的岸线范围内，不在风景名胜区核心景区的岸线和河段范围内。</w:t>
                  </w:r>
                </w:p>
              </w:tc>
              <w:tc>
                <w:tcPr>
                  <w:tcW w:w="488" w:type="pct"/>
                  <w:tcBorders>
                    <w:tl2br w:val="nil"/>
                    <w:tr2bl w:val="nil"/>
                  </w:tcBorders>
                  <w:vAlign w:val="center"/>
                </w:tcPr>
                <w:p w14:paraId="3C41FAB2">
                  <w:pPr>
                    <w:pStyle w:val="5"/>
                    <w:bidi w:val="0"/>
                    <w:jc w:val="center"/>
                  </w:pPr>
                  <w:r>
                    <w:rPr>
                      <w:rFonts w:hint="eastAsia"/>
                      <w:lang w:val="en-US" w:eastAsia="zh-CN"/>
                    </w:rPr>
                    <w:t>符合</w:t>
                  </w:r>
                </w:p>
              </w:tc>
            </w:tr>
            <w:tr w14:paraId="3B274E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4DACEB7A">
                  <w:pPr>
                    <w:pStyle w:val="5"/>
                    <w:bidi w:val="0"/>
                    <w:jc w:val="center"/>
                  </w:pPr>
                  <w:r>
                    <w:t>3</w:t>
                  </w:r>
                </w:p>
              </w:tc>
              <w:tc>
                <w:tcPr>
                  <w:tcW w:w="2556" w:type="pct"/>
                  <w:tcBorders>
                    <w:tl2br w:val="nil"/>
                    <w:tr2bl w:val="nil"/>
                  </w:tcBorders>
                  <w:vAlign w:val="center"/>
                </w:tcPr>
                <w:p w14:paraId="355C0935">
                  <w:pPr>
                    <w:pStyle w:val="5"/>
                    <w:bidi w:val="0"/>
                    <w:jc w:val="both"/>
                  </w:pPr>
                  <w: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53" w:type="pct"/>
                  <w:tcBorders>
                    <w:tl2br w:val="nil"/>
                    <w:tr2bl w:val="nil"/>
                  </w:tcBorders>
                  <w:vAlign w:val="center"/>
                </w:tcPr>
                <w:p w14:paraId="2610A166">
                  <w:pPr>
                    <w:pStyle w:val="5"/>
                    <w:bidi w:val="0"/>
                    <w:jc w:val="both"/>
                  </w:pPr>
                  <w:r>
                    <w:t>不在饮用水水源一级、二级保护区的岸线和河段范围内。</w:t>
                  </w:r>
                </w:p>
              </w:tc>
              <w:tc>
                <w:tcPr>
                  <w:tcW w:w="488" w:type="pct"/>
                  <w:tcBorders>
                    <w:tl2br w:val="nil"/>
                    <w:tr2bl w:val="nil"/>
                  </w:tcBorders>
                  <w:vAlign w:val="center"/>
                </w:tcPr>
                <w:p w14:paraId="615D6D0B">
                  <w:pPr>
                    <w:pStyle w:val="5"/>
                    <w:bidi w:val="0"/>
                    <w:jc w:val="center"/>
                  </w:pPr>
                  <w:r>
                    <w:rPr>
                      <w:rFonts w:hint="eastAsia"/>
                      <w:lang w:val="en-US" w:eastAsia="zh-CN"/>
                    </w:rPr>
                    <w:t>符合</w:t>
                  </w:r>
                </w:p>
              </w:tc>
            </w:tr>
            <w:tr w14:paraId="2585FF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31D95663">
                  <w:pPr>
                    <w:pStyle w:val="5"/>
                    <w:bidi w:val="0"/>
                    <w:jc w:val="center"/>
                  </w:pPr>
                  <w:r>
                    <w:t>4</w:t>
                  </w:r>
                </w:p>
              </w:tc>
              <w:tc>
                <w:tcPr>
                  <w:tcW w:w="2556" w:type="pct"/>
                  <w:tcBorders>
                    <w:tl2br w:val="nil"/>
                    <w:tr2bl w:val="nil"/>
                  </w:tcBorders>
                  <w:vAlign w:val="center"/>
                </w:tcPr>
                <w:p w14:paraId="5FC750C2">
                  <w:pPr>
                    <w:pStyle w:val="5"/>
                    <w:bidi w:val="0"/>
                    <w:jc w:val="both"/>
                  </w:pPr>
                  <w:r>
                    <w:t>禁止在水产种质资源保护区的岸线和河段范围内新建围湖造田、围海造地或围填海等投资建设项目。禁止在国家湿地公园的岸线和河段范围内挖沙、采矿，以及任何不符合主动功能定位的投资建设项目</w:t>
                  </w:r>
                </w:p>
              </w:tc>
              <w:tc>
                <w:tcPr>
                  <w:tcW w:w="1453" w:type="pct"/>
                  <w:tcBorders>
                    <w:tl2br w:val="nil"/>
                    <w:tr2bl w:val="nil"/>
                  </w:tcBorders>
                  <w:vAlign w:val="center"/>
                </w:tcPr>
                <w:p w14:paraId="3B550939">
                  <w:pPr>
                    <w:pStyle w:val="5"/>
                    <w:bidi w:val="0"/>
                    <w:jc w:val="both"/>
                  </w:pPr>
                  <w:r>
                    <w:t>不涉及水产种质资源保护区及国家湿地公园。</w:t>
                  </w:r>
                </w:p>
              </w:tc>
              <w:tc>
                <w:tcPr>
                  <w:tcW w:w="488" w:type="pct"/>
                  <w:tcBorders>
                    <w:tl2br w:val="nil"/>
                    <w:tr2bl w:val="nil"/>
                  </w:tcBorders>
                  <w:vAlign w:val="center"/>
                </w:tcPr>
                <w:p w14:paraId="5C823E1B">
                  <w:pPr>
                    <w:pStyle w:val="5"/>
                    <w:bidi w:val="0"/>
                    <w:jc w:val="center"/>
                  </w:pPr>
                  <w:r>
                    <w:rPr>
                      <w:rFonts w:hint="eastAsia"/>
                      <w:lang w:val="en-US" w:eastAsia="zh-CN"/>
                    </w:rPr>
                    <w:t>符合</w:t>
                  </w:r>
                </w:p>
              </w:tc>
            </w:tr>
            <w:tr w14:paraId="1E0060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529BD310">
                  <w:pPr>
                    <w:pStyle w:val="5"/>
                    <w:bidi w:val="0"/>
                    <w:jc w:val="center"/>
                  </w:pPr>
                  <w:r>
                    <w:t>5</w:t>
                  </w:r>
                </w:p>
              </w:tc>
              <w:tc>
                <w:tcPr>
                  <w:tcW w:w="2556" w:type="pct"/>
                  <w:tcBorders>
                    <w:tl2br w:val="nil"/>
                    <w:tr2bl w:val="nil"/>
                  </w:tcBorders>
                  <w:vAlign w:val="center"/>
                </w:tcPr>
                <w:p w14:paraId="60DCA932">
                  <w:pPr>
                    <w:pStyle w:val="5"/>
                    <w:bidi w:val="0"/>
                    <w:jc w:val="both"/>
                  </w:pPr>
                  <w: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453" w:type="pct"/>
                  <w:tcBorders>
                    <w:tl2br w:val="nil"/>
                    <w:tr2bl w:val="nil"/>
                  </w:tcBorders>
                  <w:vAlign w:val="center"/>
                </w:tcPr>
                <w:p w14:paraId="7279EEA3">
                  <w:pPr>
                    <w:pStyle w:val="5"/>
                    <w:bidi w:val="0"/>
                    <w:jc w:val="both"/>
                  </w:pPr>
                  <w:r>
                    <w:t>不占用长江流域河湖岸线；不在《全国重要江河湖泊水功能区划》划定的河段及湖泊保护区和保留区内，不在《全国重要江河湖泊水功能区划》划定的河段及湖泊保护区、保留区内。</w:t>
                  </w:r>
                </w:p>
              </w:tc>
              <w:tc>
                <w:tcPr>
                  <w:tcW w:w="488" w:type="pct"/>
                  <w:tcBorders>
                    <w:tl2br w:val="nil"/>
                    <w:tr2bl w:val="nil"/>
                  </w:tcBorders>
                  <w:vAlign w:val="center"/>
                </w:tcPr>
                <w:p w14:paraId="7C14EAB0">
                  <w:pPr>
                    <w:pStyle w:val="5"/>
                    <w:bidi w:val="0"/>
                    <w:jc w:val="center"/>
                  </w:pPr>
                  <w:r>
                    <w:rPr>
                      <w:rFonts w:hint="eastAsia"/>
                      <w:lang w:val="en-US" w:eastAsia="zh-CN"/>
                    </w:rPr>
                    <w:t>符合</w:t>
                  </w:r>
                </w:p>
              </w:tc>
            </w:tr>
            <w:tr w14:paraId="6A598D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5B519BC1">
                  <w:pPr>
                    <w:pStyle w:val="5"/>
                    <w:bidi w:val="0"/>
                    <w:jc w:val="center"/>
                  </w:pPr>
                  <w:r>
                    <w:t>6</w:t>
                  </w:r>
                </w:p>
              </w:tc>
              <w:tc>
                <w:tcPr>
                  <w:tcW w:w="2556" w:type="pct"/>
                  <w:tcBorders>
                    <w:tl2br w:val="nil"/>
                    <w:tr2bl w:val="nil"/>
                  </w:tcBorders>
                  <w:vAlign w:val="center"/>
                </w:tcPr>
                <w:p w14:paraId="524A6A15">
                  <w:pPr>
                    <w:pStyle w:val="5"/>
                    <w:bidi w:val="0"/>
                    <w:jc w:val="both"/>
                  </w:pPr>
                  <w:r>
                    <w:t>禁止未经许可在长江干流及湖泊新设、改设或扩大排污口。</w:t>
                  </w:r>
                </w:p>
              </w:tc>
              <w:tc>
                <w:tcPr>
                  <w:tcW w:w="1453" w:type="pct"/>
                  <w:tcBorders>
                    <w:tl2br w:val="nil"/>
                    <w:tr2bl w:val="nil"/>
                  </w:tcBorders>
                  <w:vAlign w:val="center"/>
                </w:tcPr>
                <w:p w14:paraId="64EFD179">
                  <w:pPr>
                    <w:pStyle w:val="5"/>
                    <w:bidi w:val="0"/>
                    <w:jc w:val="both"/>
                    <w:rPr>
                      <w:rFonts w:hint="default"/>
                      <w:lang w:val="en-US" w:eastAsia="zh-CN"/>
                    </w:rPr>
                  </w:pPr>
                  <w:r>
                    <w:rPr>
                      <w:rFonts w:hint="eastAsia"/>
                      <w:lang w:val="en-US" w:eastAsia="zh-CN"/>
                    </w:rPr>
                    <w:t>项目生活污水进入园区一体化污水处理设施处理后，排入魏兴场镇污水处理厂，污水达到《城镇污水处理厂污染物排放标准》（GB18918—2002）一级A标准后，排入州河。</w:t>
                  </w:r>
                </w:p>
              </w:tc>
              <w:tc>
                <w:tcPr>
                  <w:tcW w:w="488" w:type="pct"/>
                  <w:tcBorders>
                    <w:tl2br w:val="nil"/>
                    <w:tr2bl w:val="nil"/>
                  </w:tcBorders>
                  <w:vAlign w:val="center"/>
                </w:tcPr>
                <w:p w14:paraId="0F5DC1C9">
                  <w:pPr>
                    <w:pStyle w:val="5"/>
                    <w:bidi w:val="0"/>
                    <w:jc w:val="center"/>
                  </w:pPr>
                  <w:r>
                    <w:rPr>
                      <w:rFonts w:hint="eastAsia"/>
                      <w:lang w:val="en-US" w:eastAsia="zh-CN"/>
                    </w:rPr>
                    <w:t>符合</w:t>
                  </w:r>
                </w:p>
              </w:tc>
            </w:tr>
            <w:tr w14:paraId="1BE24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1B9FC7F9">
                  <w:pPr>
                    <w:pStyle w:val="5"/>
                    <w:bidi w:val="0"/>
                    <w:jc w:val="center"/>
                  </w:pPr>
                  <w:r>
                    <w:t>7</w:t>
                  </w:r>
                </w:p>
              </w:tc>
              <w:tc>
                <w:tcPr>
                  <w:tcW w:w="2556" w:type="pct"/>
                  <w:tcBorders>
                    <w:tl2br w:val="nil"/>
                    <w:tr2bl w:val="nil"/>
                  </w:tcBorders>
                  <w:vAlign w:val="center"/>
                </w:tcPr>
                <w:p w14:paraId="217BA60B">
                  <w:pPr>
                    <w:pStyle w:val="5"/>
                    <w:bidi w:val="0"/>
                    <w:jc w:val="both"/>
                  </w:pPr>
                  <w:r>
                    <w:t>禁止在“一江一口两湖七河”和332个水生生物保护区开展生产性捕捞。</w:t>
                  </w:r>
                </w:p>
              </w:tc>
              <w:tc>
                <w:tcPr>
                  <w:tcW w:w="1453" w:type="pct"/>
                  <w:tcBorders>
                    <w:tl2br w:val="nil"/>
                    <w:tr2bl w:val="nil"/>
                  </w:tcBorders>
                  <w:vAlign w:val="center"/>
                </w:tcPr>
                <w:p w14:paraId="0CF213AB">
                  <w:pPr>
                    <w:pStyle w:val="5"/>
                    <w:bidi w:val="0"/>
                    <w:jc w:val="both"/>
                  </w:pPr>
                  <w:r>
                    <w:t>不涉及水生生物捕捞。</w:t>
                  </w:r>
                </w:p>
              </w:tc>
              <w:tc>
                <w:tcPr>
                  <w:tcW w:w="488" w:type="pct"/>
                  <w:tcBorders>
                    <w:tl2br w:val="nil"/>
                    <w:tr2bl w:val="nil"/>
                  </w:tcBorders>
                  <w:vAlign w:val="center"/>
                </w:tcPr>
                <w:p w14:paraId="40710D26">
                  <w:pPr>
                    <w:pStyle w:val="5"/>
                    <w:bidi w:val="0"/>
                    <w:jc w:val="center"/>
                  </w:pPr>
                  <w:r>
                    <w:rPr>
                      <w:rFonts w:hint="eastAsia"/>
                      <w:lang w:val="en-US" w:eastAsia="zh-CN"/>
                    </w:rPr>
                    <w:t>符合</w:t>
                  </w:r>
                </w:p>
              </w:tc>
            </w:tr>
            <w:tr w14:paraId="4D31FA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3BE2CE73">
                  <w:pPr>
                    <w:pStyle w:val="5"/>
                    <w:bidi w:val="0"/>
                    <w:jc w:val="center"/>
                  </w:pPr>
                  <w:r>
                    <w:t>8</w:t>
                  </w:r>
                </w:p>
              </w:tc>
              <w:tc>
                <w:tcPr>
                  <w:tcW w:w="2556" w:type="pct"/>
                  <w:tcBorders>
                    <w:tl2br w:val="nil"/>
                    <w:tr2bl w:val="nil"/>
                  </w:tcBorders>
                  <w:vAlign w:val="center"/>
                </w:tcPr>
                <w:p w14:paraId="2AA04477">
                  <w:pPr>
                    <w:pStyle w:val="5"/>
                    <w:bidi w:val="0"/>
                    <w:jc w:val="both"/>
                  </w:pPr>
                  <w: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453" w:type="pct"/>
                  <w:tcBorders>
                    <w:tl2br w:val="nil"/>
                    <w:tr2bl w:val="nil"/>
                  </w:tcBorders>
                  <w:vAlign w:val="center"/>
                </w:tcPr>
                <w:p w14:paraId="0E42F324">
                  <w:pPr>
                    <w:pStyle w:val="5"/>
                    <w:bidi w:val="0"/>
                    <w:jc w:val="both"/>
                  </w:pPr>
                  <w:r>
                    <w:t>不属于化工园区和化工项目</w:t>
                  </w:r>
                  <w:r>
                    <w:rPr>
                      <w:rFonts w:hint="eastAsia"/>
                      <w:lang w:eastAsia="zh-CN"/>
                    </w:rPr>
                    <w:t>；</w:t>
                  </w:r>
                  <w:r>
                    <w:t>不属于尾矿库、冶炼渣库和磷石膏库项目。</w:t>
                  </w:r>
                </w:p>
              </w:tc>
              <w:tc>
                <w:tcPr>
                  <w:tcW w:w="488" w:type="pct"/>
                  <w:tcBorders>
                    <w:tl2br w:val="nil"/>
                    <w:tr2bl w:val="nil"/>
                  </w:tcBorders>
                  <w:vAlign w:val="center"/>
                </w:tcPr>
                <w:p w14:paraId="65DE2D07">
                  <w:pPr>
                    <w:pStyle w:val="5"/>
                    <w:bidi w:val="0"/>
                    <w:jc w:val="both"/>
                  </w:pPr>
                  <w:r>
                    <w:rPr>
                      <w:rFonts w:hint="eastAsia"/>
                      <w:lang w:val="en-US" w:eastAsia="zh-CN"/>
                    </w:rPr>
                    <w:t>符合</w:t>
                  </w:r>
                </w:p>
              </w:tc>
            </w:tr>
            <w:tr w14:paraId="0F1856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1067C6FA">
                  <w:pPr>
                    <w:pStyle w:val="5"/>
                    <w:bidi w:val="0"/>
                    <w:jc w:val="center"/>
                  </w:pPr>
                  <w:r>
                    <w:t>9</w:t>
                  </w:r>
                </w:p>
              </w:tc>
              <w:tc>
                <w:tcPr>
                  <w:tcW w:w="2556" w:type="pct"/>
                  <w:tcBorders>
                    <w:tl2br w:val="nil"/>
                    <w:tr2bl w:val="nil"/>
                  </w:tcBorders>
                  <w:vAlign w:val="center"/>
                </w:tcPr>
                <w:p w14:paraId="5DA555CF">
                  <w:pPr>
                    <w:pStyle w:val="5"/>
                    <w:bidi w:val="0"/>
                    <w:jc w:val="both"/>
                  </w:pPr>
                  <w:r>
                    <w:t>禁止在合规园区外新建、改建钢铁、石化、化工、焦化、建材、有色、制浆造纸等高污染项目。</w:t>
                  </w:r>
                </w:p>
              </w:tc>
              <w:tc>
                <w:tcPr>
                  <w:tcW w:w="1453" w:type="pct"/>
                  <w:tcBorders>
                    <w:tl2br w:val="nil"/>
                    <w:tr2bl w:val="nil"/>
                  </w:tcBorders>
                  <w:vAlign w:val="center"/>
                </w:tcPr>
                <w:p w14:paraId="72054CD2">
                  <w:pPr>
                    <w:pStyle w:val="5"/>
                    <w:bidi w:val="0"/>
                    <w:jc w:val="both"/>
                    <w:rPr>
                      <w:rFonts w:hint="eastAsia"/>
                      <w:lang w:eastAsia="zh-CN"/>
                    </w:rPr>
                  </w:pPr>
                  <w:r>
                    <w:t>不属于新建、改建钢铁、石化、化工、焦化、建材、有色、制浆造纸等高污染项目</w:t>
                  </w:r>
                  <w:r>
                    <w:rPr>
                      <w:rFonts w:hint="eastAsia"/>
                      <w:lang w:eastAsia="zh-CN"/>
                    </w:rPr>
                    <w:t>。</w:t>
                  </w:r>
                </w:p>
              </w:tc>
              <w:tc>
                <w:tcPr>
                  <w:tcW w:w="488" w:type="pct"/>
                  <w:tcBorders>
                    <w:tl2br w:val="nil"/>
                    <w:tr2bl w:val="nil"/>
                  </w:tcBorders>
                  <w:vAlign w:val="center"/>
                </w:tcPr>
                <w:p w14:paraId="51096B9D">
                  <w:pPr>
                    <w:pStyle w:val="5"/>
                    <w:bidi w:val="0"/>
                    <w:jc w:val="both"/>
                  </w:pPr>
                  <w:r>
                    <w:rPr>
                      <w:rFonts w:hint="eastAsia"/>
                      <w:lang w:val="en-US" w:eastAsia="zh-CN"/>
                    </w:rPr>
                    <w:t>符合</w:t>
                  </w:r>
                </w:p>
              </w:tc>
            </w:tr>
            <w:tr w14:paraId="246A11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6B58BED9">
                  <w:pPr>
                    <w:pStyle w:val="5"/>
                    <w:bidi w:val="0"/>
                    <w:jc w:val="center"/>
                  </w:pPr>
                  <w:r>
                    <w:t>10</w:t>
                  </w:r>
                </w:p>
              </w:tc>
              <w:tc>
                <w:tcPr>
                  <w:tcW w:w="2556" w:type="pct"/>
                  <w:tcBorders>
                    <w:tl2br w:val="nil"/>
                    <w:tr2bl w:val="nil"/>
                  </w:tcBorders>
                  <w:vAlign w:val="center"/>
                </w:tcPr>
                <w:p w14:paraId="550285A7">
                  <w:pPr>
                    <w:pStyle w:val="5"/>
                    <w:bidi w:val="0"/>
                    <w:jc w:val="both"/>
                  </w:pPr>
                  <w:r>
                    <w:t>禁止新建、扩建不符合国家石化、现代煤化工等产业布局规划的项目。</w:t>
                  </w:r>
                </w:p>
              </w:tc>
              <w:tc>
                <w:tcPr>
                  <w:tcW w:w="1453" w:type="pct"/>
                  <w:tcBorders>
                    <w:tl2br w:val="nil"/>
                    <w:tr2bl w:val="nil"/>
                  </w:tcBorders>
                  <w:vAlign w:val="center"/>
                </w:tcPr>
                <w:p w14:paraId="3FA21ACE">
                  <w:pPr>
                    <w:pStyle w:val="5"/>
                    <w:bidi w:val="0"/>
                    <w:jc w:val="both"/>
                  </w:pPr>
                  <w:r>
                    <w:t>不属于石化、现代煤化工类项目。</w:t>
                  </w:r>
                </w:p>
              </w:tc>
              <w:tc>
                <w:tcPr>
                  <w:tcW w:w="488" w:type="pct"/>
                  <w:tcBorders>
                    <w:tl2br w:val="nil"/>
                    <w:tr2bl w:val="nil"/>
                  </w:tcBorders>
                  <w:vAlign w:val="center"/>
                </w:tcPr>
                <w:p w14:paraId="278AEC84">
                  <w:pPr>
                    <w:pStyle w:val="5"/>
                    <w:bidi w:val="0"/>
                    <w:jc w:val="both"/>
                  </w:pPr>
                  <w:r>
                    <w:rPr>
                      <w:rFonts w:hint="eastAsia"/>
                      <w:lang w:val="en-US" w:eastAsia="zh-CN"/>
                    </w:rPr>
                    <w:t>符合</w:t>
                  </w:r>
                </w:p>
              </w:tc>
            </w:tr>
            <w:tr w14:paraId="2EB77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 w:type="pct"/>
                  <w:tcBorders>
                    <w:tl2br w:val="nil"/>
                    <w:tr2bl w:val="nil"/>
                  </w:tcBorders>
                  <w:vAlign w:val="center"/>
                </w:tcPr>
                <w:p w14:paraId="58D1FC84">
                  <w:pPr>
                    <w:pStyle w:val="5"/>
                    <w:bidi w:val="0"/>
                    <w:jc w:val="center"/>
                  </w:pPr>
                  <w:r>
                    <w:t>11</w:t>
                  </w:r>
                </w:p>
              </w:tc>
              <w:tc>
                <w:tcPr>
                  <w:tcW w:w="2556" w:type="pct"/>
                  <w:tcBorders>
                    <w:tl2br w:val="nil"/>
                    <w:tr2bl w:val="nil"/>
                  </w:tcBorders>
                  <w:vAlign w:val="center"/>
                </w:tcPr>
                <w:p w14:paraId="61665352">
                  <w:pPr>
                    <w:pStyle w:val="5"/>
                    <w:bidi w:val="0"/>
                    <w:jc w:val="both"/>
                  </w:pPr>
                  <w:r>
                    <w:t>禁止新建、扩建法律法规和相关政策命令禁止的落后产能项目。禁止新建、扩建不符合国家产能置换要求的严重过剩产能行业的项目。禁止新建、扩建不符合要求的高耗能高排放项目。</w:t>
                  </w:r>
                </w:p>
              </w:tc>
              <w:tc>
                <w:tcPr>
                  <w:tcW w:w="1453" w:type="pct"/>
                  <w:tcBorders>
                    <w:tl2br w:val="nil"/>
                    <w:tr2bl w:val="nil"/>
                  </w:tcBorders>
                  <w:vAlign w:val="center"/>
                </w:tcPr>
                <w:p w14:paraId="07E21EFD">
                  <w:pPr>
                    <w:pStyle w:val="5"/>
                    <w:bidi w:val="0"/>
                    <w:jc w:val="both"/>
                  </w:pPr>
                  <w:r>
                    <w:t>不属于落后产能项目，不属于严重过剩产能行业项目，不属于高耗能高排放项目。</w:t>
                  </w:r>
                </w:p>
              </w:tc>
              <w:tc>
                <w:tcPr>
                  <w:tcW w:w="488" w:type="pct"/>
                  <w:tcBorders>
                    <w:tl2br w:val="nil"/>
                    <w:tr2bl w:val="nil"/>
                  </w:tcBorders>
                  <w:vAlign w:val="center"/>
                </w:tcPr>
                <w:p w14:paraId="7F8F0D76">
                  <w:pPr>
                    <w:pStyle w:val="5"/>
                    <w:bidi w:val="0"/>
                    <w:jc w:val="both"/>
                  </w:pPr>
                  <w:r>
                    <w:rPr>
                      <w:rFonts w:hint="eastAsia"/>
                      <w:lang w:val="en-US" w:eastAsia="zh-CN"/>
                    </w:rPr>
                    <w:t>符合</w:t>
                  </w:r>
                </w:p>
              </w:tc>
            </w:tr>
          </w:tbl>
          <w:p w14:paraId="23A87989">
            <w:pPr>
              <w:wordWrap/>
              <w:spacing w:before="156" w:beforeLines="50"/>
              <w:ind w:firstLine="482" w:firstLineChars="200"/>
              <w:jc w:val="both"/>
              <w:rPr>
                <w:rFonts w:ascii="Times New Roman" w:hAnsi="Times New Roman" w:cs="Times New Roman" w:eastAsiaTheme="minorEastAsia"/>
                <w:b/>
                <w:bCs/>
                <w:kern w:val="0"/>
                <w:szCs w:val="32"/>
              </w:rPr>
            </w:pPr>
            <w:r>
              <w:rPr>
                <w:rFonts w:ascii="Times New Roman" w:hAnsi="Times New Roman" w:cs="Times New Roman" w:eastAsiaTheme="minorEastAsia"/>
                <w:b/>
                <w:bCs/>
                <w:kern w:val="0"/>
                <w:szCs w:val="24"/>
              </w:rPr>
              <w:t>综上，本项目符合《长江经济带发展负面清单指南（试行，2022年版）》（长江办〔2022〕7号）要求。</w:t>
            </w:r>
          </w:p>
          <w:p w14:paraId="2332EFF6">
            <w:pPr>
              <w:wordWrap/>
              <w:bidi w:val="0"/>
              <w:ind w:firstLine="482" w:firstLineChars="200"/>
              <w:jc w:val="both"/>
              <w:rPr>
                <w:rFonts w:ascii="Times New Roman" w:hAnsi="Times New Roman" w:eastAsiaTheme="minorEastAsia" w:cstheme="minorBidi"/>
                <w:b/>
                <w:bCs/>
                <w:szCs w:val="24"/>
              </w:rPr>
            </w:pPr>
            <w:r>
              <w:rPr>
                <w:rFonts w:hint="eastAsia" w:ascii="Times New Roman" w:hAnsi="Times New Roman" w:eastAsiaTheme="minorEastAsia" w:cstheme="minorBidi"/>
                <w:b/>
                <w:bCs/>
                <w:szCs w:val="24"/>
                <w:lang w:val="en-US" w:eastAsia="zh-CN"/>
              </w:rPr>
              <w:t>（2）</w:t>
            </w:r>
            <w:r>
              <w:rPr>
                <w:rFonts w:hint="eastAsia" w:ascii="Times New Roman" w:hAnsi="Times New Roman" w:eastAsiaTheme="minorEastAsia" w:cstheme="minorBidi"/>
                <w:b/>
                <w:bCs/>
                <w:szCs w:val="24"/>
              </w:rPr>
              <w:t>与</w:t>
            </w:r>
            <w:r>
              <w:rPr>
                <w:rFonts w:ascii="Times New Roman" w:hAnsi="Times New Roman" w:eastAsiaTheme="minorEastAsia" w:cstheme="minorBidi"/>
                <w:b/>
                <w:bCs/>
                <w:szCs w:val="24"/>
              </w:rPr>
              <w:t>《四川省、重庆市长江经济带发展负面清单实施细则（试行，2022年版）》（川长江办〔2022〕17号）</w:t>
            </w:r>
            <w:r>
              <w:rPr>
                <w:rFonts w:hint="eastAsia" w:ascii="Times New Roman" w:hAnsi="Times New Roman" w:eastAsiaTheme="minorEastAsia" w:cstheme="minorBidi"/>
                <w:b/>
                <w:bCs/>
                <w:szCs w:val="24"/>
              </w:rPr>
              <w:t>的</w:t>
            </w:r>
            <w:r>
              <w:rPr>
                <w:rFonts w:ascii="Times New Roman" w:hAnsi="Times New Roman" w:eastAsiaTheme="minorEastAsia" w:cstheme="minorBidi"/>
                <w:b/>
                <w:bCs/>
                <w:szCs w:val="24"/>
              </w:rPr>
              <w:t>符合性分析</w:t>
            </w:r>
          </w:p>
          <w:p w14:paraId="13DDDA61">
            <w:pPr>
              <w:wordWrap/>
              <w:ind w:firstLine="480" w:firstLineChars="200"/>
              <w:jc w:val="both"/>
              <w:rPr>
                <w:rFonts w:hint="eastAsia" w:ascii="Times New Roman" w:hAnsi="Times New Roman" w:cs="Times New Roman" w:eastAsiaTheme="minorEastAsia"/>
                <w:szCs w:val="32"/>
                <w:lang w:eastAsia="zh-CN"/>
              </w:rPr>
            </w:pPr>
            <w:r>
              <w:rPr>
                <w:rFonts w:ascii="Times New Roman" w:hAnsi="Times New Roman" w:cs="Times New Roman" w:eastAsiaTheme="minorEastAsia"/>
                <w:szCs w:val="32"/>
              </w:rPr>
              <w:t>本项目为</w:t>
            </w:r>
            <w:r>
              <w:rPr>
                <w:rFonts w:hint="eastAsia" w:ascii="Times New Roman" w:hAnsi="Times New Roman" w:cs="Times New Roman" w:eastAsiaTheme="minorEastAsia"/>
                <w:szCs w:val="32"/>
                <w:highlight w:val="none"/>
                <w:lang w:val="en-US" w:eastAsia="zh-CN"/>
              </w:rPr>
              <w:t>氢能源混合动力系统与</w:t>
            </w:r>
            <w:r>
              <w:rPr>
                <w:rFonts w:ascii="Times New Roman" w:hAnsi="Times New Roman" w:cs="Times New Roman" w:eastAsiaTheme="minorEastAsia"/>
                <w:szCs w:val="32"/>
                <w:highlight w:val="none"/>
                <w:lang w:val="en-US" w:eastAsia="zh-CN"/>
              </w:rPr>
              <w:t>氢能源两轮车</w:t>
            </w:r>
            <w:r>
              <w:rPr>
                <w:rFonts w:hint="eastAsia" w:ascii="Times New Roman" w:hAnsi="Times New Roman" w:cs="Times New Roman" w:eastAsiaTheme="minorEastAsia"/>
                <w:szCs w:val="32"/>
                <w:highlight w:val="none"/>
                <w:lang w:val="en-US" w:eastAsia="zh-CN"/>
              </w:rPr>
              <w:t>的组装</w:t>
            </w:r>
            <w:r>
              <w:rPr>
                <w:rFonts w:ascii="Times New Roman" w:hAnsi="Times New Roman" w:cs="Times New Roman" w:eastAsiaTheme="minorEastAsia"/>
                <w:szCs w:val="32"/>
              </w:rPr>
              <w:t>，与《四川省、重庆市长江经济带发展负面清单实施细则（试行，2022年版）》（</w:t>
            </w:r>
            <w:r>
              <w:rPr>
                <w:rFonts w:ascii="Times New Roman" w:hAnsi="Times New Roman" w:cs="Times New Roman" w:eastAsiaTheme="minorEastAsia"/>
                <w:bCs/>
                <w:kern w:val="0"/>
                <w:szCs w:val="24"/>
              </w:rPr>
              <w:t>川长江办〔2022〕17号</w:t>
            </w:r>
            <w:r>
              <w:rPr>
                <w:rFonts w:ascii="Times New Roman" w:hAnsi="Times New Roman" w:cs="Times New Roman" w:eastAsiaTheme="minorEastAsia"/>
                <w:szCs w:val="32"/>
              </w:rPr>
              <w:t>）符合性分析见表1</w:t>
            </w:r>
            <w:r>
              <w:rPr>
                <w:rFonts w:hint="eastAsia" w:cs="Times New Roman" w:eastAsiaTheme="minorEastAsia"/>
                <w:szCs w:val="32"/>
                <w:lang w:val="en-US" w:eastAsia="zh-CN"/>
              </w:rPr>
              <w:t>-11</w:t>
            </w:r>
            <w:r>
              <w:rPr>
                <w:rFonts w:hint="eastAsia" w:cs="Times New Roman" w:eastAsiaTheme="minorEastAsia"/>
                <w:szCs w:val="32"/>
                <w:lang w:eastAsia="zh-CN"/>
              </w:rPr>
              <w:t>。</w:t>
            </w:r>
          </w:p>
          <w:p w14:paraId="26686EB6">
            <w:pPr>
              <w:pStyle w:val="7"/>
              <w:bidi w:val="0"/>
              <w:jc w:val="center"/>
            </w:pPr>
            <w:r>
              <w:t>表1</w:t>
            </w:r>
            <w:r>
              <w:rPr>
                <w:rFonts w:hint="eastAsia"/>
                <w:lang w:val="en-US" w:eastAsia="zh-CN"/>
              </w:rPr>
              <w:t>-11</w:t>
            </w:r>
            <w:r>
              <w:t xml:space="preserve">  本项目与《四川省、重庆市长江经济带发展负面清单实施细则（试行，2022年版）》（川长江办〔2022〕17号）符合性分析</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534"/>
              <w:gridCol w:w="2847"/>
              <w:gridCol w:w="737"/>
            </w:tblGrid>
            <w:tr w14:paraId="1BB371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416" w:type="pct"/>
                  <w:tcBorders>
                    <w:tl2br w:val="nil"/>
                    <w:tr2bl w:val="nil"/>
                  </w:tcBorders>
                  <w:vAlign w:val="center"/>
                </w:tcPr>
                <w:p w14:paraId="6FFE4675">
                  <w:pPr>
                    <w:pStyle w:val="5"/>
                    <w:bidi w:val="0"/>
                    <w:jc w:val="center"/>
                    <w:rPr>
                      <w:b/>
                      <w:bCs/>
                    </w:rPr>
                  </w:pPr>
                  <w:r>
                    <w:rPr>
                      <w:b/>
                      <w:bCs/>
                    </w:rPr>
                    <w:t>序号</w:t>
                  </w:r>
                </w:p>
              </w:tc>
              <w:tc>
                <w:tcPr>
                  <w:tcW w:w="2559" w:type="pct"/>
                  <w:tcBorders>
                    <w:tl2br w:val="nil"/>
                    <w:tr2bl w:val="nil"/>
                  </w:tcBorders>
                  <w:vAlign w:val="center"/>
                </w:tcPr>
                <w:p w14:paraId="3627AA88">
                  <w:pPr>
                    <w:pStyle w:val="5"/>
                    <w:bidi w:val="0"/>
                    <w:jc w:val="center"/>
                    <w:rPr>
                      <w:b/>
                      <w:bCs/>
                    </w:rPr>
                  </w:pPr>
                  <w:r>
                    <w:rPr>
                      <w:b/>
                      <w:bCs/>
                    </w:rPr>
                    <w:t>规范要求</w:t>
                  </w:r>
                </w:p>
              </w:tc>
              <w:tc>
                <w:tcPr>
                  <w:tcW w:w="1607" w:type="pct"/>
                  <w:tcBorders>
                    <w:tl2br w:val="nil"/>
                    <w:tr2bl w:val="nil"/>
                  </w:tcBorders>
                  <w:vAlign w:val="center"/>
                </w:tcPr>
                <w:p w14:paraId="44B8BB40">
                  <w:pPr>
                    <w:pStyle w:val="5"/>
                    <w:bidi w:val="0"/>
                    <w:jc w:val="center"/>
                    <w:rPr>
                      <w:b/>
                      <w:bCs/>
                    </w:rPr>
                  </w:pPr>
                  <w:r>
                    <w:rPr>
                      <w:b/>
                      <w:bCs/>
                    </w:rPr>
                    <w:t>本项目建设情况</w:t>
                  </w:r>
                </w:p>
              </w:tc>
              <w:tc>
                <w:tcPr>
                  <w:tcW w:w="416" w:type="pct"/>
                  <w:tcBorders>
                    <w:tl2br w:val="nil"/>
                    <w:tr2bl w:val="nil"/>
                  </w:tcBorders>
                  <w:vAlign w:val="center"/>
                </w:tcPr>
                <w:p w14:paraId="303A4DEC">
                  <w:pPr>
                    <w:pStyle w:val="5"/>
                    <w:bidi w:val="0"/>
                    <w:jc w:val="center"/>
                    <w:rPr>
                      <w:b/>
                      <w:bCs/>
                    </w:rPr>
                  </w:pPr>
                  <w:r>
                    <w:rPr>
                      <w:b/>
                      <w:bCs/>
                    </w:rPr>
                    <w:t>结论</w:t>
                  </w:r>
                </w:p>
              </w:tc>
            </w:tr>
            <w:tr w14:paraId="128A9D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70FDEE8A">
                  <w:pPr>
                    <w:pStyle w:val="5"/>
                    <w:bidi w:val="0"/>
                    <w:jc w:val="center"/>
                  </w:pPr>
                  <w:r>
                    <w:t>1</w:t>
                  </w:r>
                </w:p>
              </w:tc>
              <w:tc>
                <w:tcPr>
                  <w:tcW w:w="2559" w:type="pct"/>
                  <w:tcBorders>
                    <w:tl2br w:val="nil"/>
                    <w:tr2bl w:val="nil"/>
                  </w:tcBorders>
                  <w:vAlign w:val="center"/>
                </w:tcPr>
                <w:p w14:paraId="2517D4C6">
                  <w:pPr>
                    <w:pStyle w:val="5"/>
                    <w:bidi w:val="0"/>
                    <w:jc w:val="both"/>
                  </w:pPr>
                  <w:r>
                    <w:t>禁止新建、改建和扩建不符合全国港口布局规划，以及《四川省内河水运发展规划》《泸州—宜宾—乐山港口群布局规划》《重庆港总体规划（2035年）》等省级港口布局规划及市级港口总体规划的码头项目。</w:t>
                  </w:r>
                </w:p>
              </w:tc>
              <w:tc>
                <w:tcPr>
                  <w:tcW w:w="1607" w:type="pct"/>
                  <w:tcBorders>
                    <w:tl2br w:val="nil"/>
                    <w:tr2bl w:val="nil"/>
                  </w:tcBorders>
                  <w:vAlign w:val="center"/>
                </w:tcPr>
                <w:p w14:paraId="20AEB0B2">
                  <w:pPr>
                    <w:pStyle w:val="5"/>
                    <w:bidi w:val="0"/>
                    <w:jc w:val="both"/>
                  </w:pPr>
                  <w:r>
                    <w:t>不属于港口码头建设项目。</w:t>
                  </w:r>
                </w:p>
              </w:tc>
              <w:tc>
                <w:tcPr>
                  <w:tcW w:w="416" w:type="pct"/>
                  <w:tcBorders>
                    <w:tl2br w:val="nil"/>
                    <w:tr2bl w:val="nil"/>
                  </w:tcBorders>
                  <w:vAlign w:val="center"/>
                </w:tcPr>
                <w:p w14:paraId="38976484">
                  <w:pPr>
                    <w:pStyle w:val="5"/>
                    <w:bidi w:val="0"/>
                    <w:jc w:val="center"/>
                  </w:pPr>
                  <w:r>
                    <w:rPr>
                      <w:rFonts w:hint="eastAsia"/>
                      <w:lang w:val="en-US" w:eastAsia="zh-CN"/>
                    </w:rPr>
                    <w:t>符合</w:t>
                  </w:r>
                </w:p>
              </w:tc>
            </w:tr>
            <w:tr w14:paraId="6F0501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23F3B09A">
                  <w:pPr>
                    <w:pStyle w:val="5"/>
                    <w:bidi w:val="0"/>
                    <w:jc w:val="center"/>
                  </w:pPr>
                  <w:r>
                    <w:t>2</w:t>
                  </w:r>
                </w:p>
              </w:tc>
              <w:tc>
                <w:tcPr>
                  <w:tcW w:w="2559" w:type="pct"/>
                  <w:tcBorders>
                    <w:tl2br w:val="nil"/>
                    <w:tr2bl w:val="nil"/>
                  </w:tcBorders>
                  <w:vAlign w:val="center"/>
                </w:tcPr>
                <w:p w14:paraId="47B2723C">
                  <w:pPr>
                    <w:pStyle w:val="5"/>
                    <w:bidi w:val="0"/>
                    <w:jc w:val="both"/>
                  </w:pPr>
                  <w:r>
                    <w:t>禁止新建、改建和扩建不符合《长江干线过江通道布局规划（2020</w:t>
                  </w:r>
                  <w:r>
                    <w:rPr>
                      <w:rFonts w:hint="eastAsia"/>
                      <w:lang w:eastAsia="zh-CN"/>
                    </w:rPr>
                    <w:t>—</w:t>
                  </w:r>
                  <w:r>
                    <w:t>2035年）》的过长江通道项目（含桥梁、隧道），国家发展改革委同意过长江通道线位调整的除外。</w:t>
                  </w:r>
                </w:p>
              </w:tc>
              <w:tc>
                <w:tcPr>
                  <w:tcW w:w="1607" w:type="pct"/>
                  <w:tcBorders>
                    <w:tl2br w:val="nil"/>
                    <w:tr2bl w:val="nil"/>
                  </w:tcBorders>
                  <w:vAlign w:val="center"/>
                </w:tcPr>
                <w:p w14:paraId="68C6F87B">
                  <w:pPr>
                    <w:pStyle w:val="5"/>
                    <w:bidi w:val="0"/>
                    <w:jc w:val="both"/>
                  </w:pPr>
                  <w:r>
                    <w:t>不属于过长江通道建设项目。</w:t>
                  </w:r>
                </w:p>
              </w:tc>
              <w:tc>
                <w:tcPr>
                  <w:tcW w:w="416" w:type="pct"/>
                  <w:tcBorders>
                    <w:tl2br w:val="nil"/>
                    <w:tr2bl w:val="nil"/>
                  </w:tcBorders>
                  <w:vAlign w:val="center"/>
                </w:tcPr>
                <w:p w14:paraId="05338EAB">
                  <w:pPr>
                    <w:pStyle w:val="5"/>
                    <w:bidi w:val="0"/>
                    <w:jc w:val="center"/>
                  </w:pPr>
                  <w:r>
                    <w:rPr>
                      <w:rFonts w:hint="eastAsia"/>
                      <w:lang w:val="en-US" w:eastAsia="zh-CN"/>
                    </w:rPr>
                    <w:t>符合</w:t>
                  </w:r>
                </w:p>
              </w:tc>
            </w:tr>
            <w:tr w14:paraId="298B6B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474D8ABF">
                  <w:pPr>
                    <w:pStyle w:val="5"/>
                    <w:bidi w:val="0"/>
                    <w:jc w:val="center"/>
                  </w:pPr>
                  <w:r>
                    <w:t>3</w:t>
                  </w:r>
                </w:p>
              </w:tc>
              <w:tc>
                <w:tcPr>
                  <w:tcW w:w="2559" w:type="pct"/>
                  <w:tcBorders>
                    <w:tl2br w:val="nil"/>
                    <w:tr2bl w:val="nil"/>
                  </w:tcBorders>
                  <w:vAlign w:val="center"/>
                </w:tcPr>
                <w:p w14:paraId="462615DF">
                  <w:pPr>
                    <w:pStyle w:val="5"/>
                    <w:bidi w:val="0"/>
                    <w:jc w:val="both"/>
                  </w:pPr>
                  <w:r>
                    <w:t>禁止在自然保护区核心区、缓冲区的岸线和河段范围内投资建设旅游和生产经营项目。自然保护区的内部未分区的，依照核心区和缓冲区的规定管控。</w:t>
                  </w:r>
                </w:p>
              </w:tc>
              <w:tc>
                <w:tcPr>
                  <w:tcW w:w="1607" w:type="pct"/>
                  <w:tcBorders>
                    <w:tl2br w:val="nil"/>
                    <w:tr2bl w:val="nil"/>
                  </w:tcBorders>
                  <w:vAlign w:val="center"/>
                </w:tcPr>
                <w:p w14:paraId="3E890580">
                  <w:pPr>
                    <w:pStyle w:val="5"/>
                    <w:bidi w:val="0"/>
                    <w:jc w:val="both"/>
                  </w:pPr>
                  <w:r>
                    <w:t>不涉及自然保护区。</w:t>
                  </w:r>
                </w:p>
              </w:tc>
              <w:tc>
                <w:tcPr>
                  <w:tcW w:w="416" w:type="pct"/>
                  <w:tcBorders>
                    <w:tl2br w:val="nil"/>
                    <w:tr2bl w:val="nil"/>
                  </w:tcBorders>
                  <w:vAlign w:val="center"/>
                </w:tcPr>
                <w:p w14:paraId="516DABE3">
                  <w:pPr>
                    <w:pStyle w:val="5"/>
                    <w:bidi w:val="0"/>
                    <w:jc w:val="center"/>
                  </w:pPr>
                  <w:r>
                    <w:rPr>
                      <w:rFonts w:hint="eastAsia"/>
                      <w:lang w:val="en-US" w:eastAsia="zh-CN"/>
                    </w:rPr>
                    <w:t>符合</w:t>
                  </w:r>
                </w:p>
              </w:tc>
            </w:tr>
            <w:tr w14:paraId="7D47D8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2D24F9A0">
                  <w:pPr>
                    <w:pStyle w:val="5"/>
                    <w:bidi w:val="0"/>
                    <w:jc w:val="center"/>
                  </w:pPr>
                  <w:r>
                    <w:t>4</w:t>
                  </w:r>
                </w:p>
              </w:tc>
              <w:tc>
                <w:tcPr>
                  <w:tcW w:w="2559" w:type="pct"/>
                  <w:tcBorders>
                    <w:tl2br w:val="nil"/>
                    <w:tr2bl w:val="nil"/>
                  </w:tcBorders>
                  <w:vAlign w:val="center"/>
                </w:tcPr>
                <w:p w14:paraId="3377DA7C">
                  <w:pPr>
                    <w:pStyle w:val="5"/>
                    <w:bidi w:val="0"/>
                    <w:jc w:val="both"/>
                  </w:pPr>
                  <w:r>
                    <w:t>禁止违反风景名胜区规划，在风景名胜区内设立各类开发区。禁止在风景名胜区核心景区的岸线和河段范围内建设宾馆、招待所、培训中心、疗养院以及与风景名胜资源保护无关的项目。</w:t>
                  </w:r>
                </w:p>
              </w:tc>
              <w:tc>
                <w:tcPr>
                  <w:tcW w:w="1607" w:type="pct"/>
                  <w:tcBorders>
                    <w:tl2br w:val="nil"/>
                    <w:tr2bl w:val="nil"/>
                  </w:tcBorders>
                  <w:vAlign w:val="center"/>
                </w:tcPr>
                <w:p w14:paraId="26D9BA42">
                  <w:pPr>
                    <w:pStyle w:val="5"/>
                    <w:bidi w:val="0"/>
                    <w:jc w:val="both"/>
                  </w:pPr>
                  <w:r>
                    <w:t>不涉及风景名胜区。</w:t>
                  </w:r>
                </w:p>
              </w:tc>
              <w:tc>
                <w:tcPr>
                  <w:tcW w:w="416" w:type="pct"/>
                  <w:tcBorders>
                    <w:tl2br w:val="nil"/>
                    <w:tr2bl w:val="nil"/>
                  </w:tcBorders>
                  <w:vAlign w:val="center"/>
                </w:tcPr>
                <w:p w14:paraId="3BA77B4E">
                  <w:pPr>
                    <w:pStyle w:val="5"/>
                    <w:bidi w:val="0"/>
                    <w:jc w:val="center"/>
                  </w:pPr>
                  <w:r>
                    <w:rPr>
                      <w:rFonts w:hint="eastAsia"/>
                      <w:lang w:val="en-US" w:eastAsia="zh-CN"/>
                    </w:rPr>
                    <w:t>符合</w:t>
                  </w:r>
                </w:p>
              </w:tc>
            </w:tr>
            <w:tr w14:paraId="61A0B0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02E80BF9">
                  <w:pPr>
                    <w:pStyle w:val="5"/>
                    <w:bidi w:val="0"/>
                    <w:jc w:val="center"/>
                  </w:pPr>
                  <w:r>
                    <w:t>5</w:t>
                  </w:r>
                </w:p>
              </w:tc>
              <w:tc>
                <w:tcPr>
                  <w:tcW w:w="2559" w:type="pct"/>
                  <w:tcBorders>
                    <w:tl2br w:val="nil"/>
                    <w:tr2bl w:val="nil"/>
                  </w:tcBorders>
                  <w:vAlign w:val="center"/>
                </w:tcPr>
                <w:p w14:paraId="7D2D7B37">
                  <w:pPr>
                    <w:pStyle w:val="5"/>
                    <w:bidi w:val="0"/>
                    <w:jc w:val="both"/>
                  </w:pPr>
                  <w:r>
                    <w:t>禁止在饮用水水源准保护区的岸线和河段范围内新建、扩建对水体污染严重的建设项目，禁止改建增加排污量的建设项目。</w:t>
                  </w:r>
                </w:p>
              </w:tc>
              <w:tc>
                <w:tcPr>
                  <w:tcW w:w="1607" w:type="pct"/>
                  <w:tcBorders>
                    <w:tl2br w:val="nil"/>
                    <w:tr2bl w:val="nil"/>
                  </w:tcBorders>
                  <w:vAlign w:val="center"/>
                </w:tcPr>
                <w:p w14:paraId="3C674A21">
                  <w:pPr>
                    <w:pStyle w:val="5"/>
                    <w:bidi w:val="0"/>
                    <w:jc w:val="both"/>
                  </w:pPr>
                  <w:r>
                    <w:t>不涉及饮用水水源准保护区。</w:t>
                  </w:r>
                </w:p>
              </w:tc>
              <w:tc>
                <w:tcPr>
                  <w:tcW w:w="416" w:type="pct"/>
                  <w:tcBorders>
                    <w:tl2br w:val="nil"/>
                    <w:tr2bl w:val="nil"/>
                  </w:tcBorders>
                  <w:vAlign w:val="center"/>
                </w:tcPr>
                <w:p w14:paraId="68833A53">
                  <w:pPr>
                    <w:pStyle w:val="5"/>
                    <w:bidi w:val="0"/>
                    <w:jc w:val="center"/>
                  </w:pPr>
                  <w:r>
                    <w:rPr>
                      <w:rFonts w:hint="eastAsia"/>
                      <w:lang w:val="en-US" w:eastAsia="zh-CN"/>
                    </w:rPr>
                    <w:t>符合</w:t>
                  </w:r>
                </w:p>
              </w:tc>
            </w:tr>
            <w:tr w14:paraId="1DCD3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189AD406">
                  <w:pPr>
                    <w:pStyle w:val="5"/>
                    <w:bidi w:val="0"/>
                    <w:jc w:val="center"/>
                  </w:pPr>
                  <w:r>
                    <w:t>6</w:t>
                  </w:r>
                </w:p>
              </w:tc>
              <w:tc>
                <w:tcPr>
                  <w:tcW w:w="2559" w:type="pct"/>
                  <w:tcBorders>
                    <w:tl2br w:val="nil"/>
                    <w:tr2bl w:val="nil"/>
                  </w:tcBorders>
                  <w:vAlign w:val="center"/>
                </w:tcPr>
                <w:p w14:paraId="1AEE01F0">
                  <w:pPr>
                    <w:pStyle w:val="5"/>
                    <w:bidi w:val="0"/>
                    <w:jc w:val="both"/>
                  </w:pPr>
                  <w:r>
                    <w:t>饮用水水源二级保护区的岸线和河段范围内，除遵守准保护区规定外，禁止新建、改建、扩建排放污染物的投资建设项目</w:t>
                  </w:r>
                  <w:r>
                    <w:rPr>
                      <w:rFonts w:hint="eastAsia"/>
                      <w:lang w:eastAsia="zh-CN"/>
                    </w:rPr>
                    <w:t>；</w:t>
                  </w:r>
                  <w:r>
                    <w:t>禁止从事对水体有污染的水产养殖等活动。</w:t>
                  </w:r>
                </w:p>
              </w:tc>
              <w:tc>
                <w:tcPr>
                  <w:tcW w:w="1607" w:type="pct"/>
                  <w:tcBorders>
                    <w:tl2br w:val="nil"/>
                    <w:tr2bl w:val="nil"/>
                  </w:tcBorders>
                  <w:vAlign w:val="center"/>
                </w:tcPr>
                <w:p w14:paraId="75F53C3B">
                  <w:pPr>
                    <w:pStyle w:val="5"/>
                    <w:bidi w:val="0"/>
                    <w:jc w:val="both"/>
                  </w:pPr>
                  <w:r>
                    <w:t>不在</w:t>
                  </w:r>
                  <w:r>
                    <w:rPr>
                      <w:rFonts w:hint="eastAsia"/>
                    </w:rPr>
                    <w:t>饮用</w:t>
                  </w:r>
                  <w:r>
                    <w:t>水源二级保护区的岸线和河段范围内，不涉及水产养殖活动。</w:t>
                  </w:r>
                </w:p>
              </w:tc>
              <w:tc>
                <w:tcPr>
                  <w:tcW w:w="416" w:type="pct"/>
                  <w:tcBorders>
                    <w:tl2br w:val="nil"/>
                    <w:tr2bl w:val="nil"/>
                  </w:tcBorders>
                  <w:vAlign w:val="center"/>
                </w:tcPr>
                <w:p w14:paraId="663B876B">
                  <w:pPr>
                    <w:pStyle w:val="5"/>
                    <w:bidi w:val="0"/>
                    <w:jc w:val="center"/>
                  </w:pPr>
                  <w:r>
                    <w:rPr>
                      <w:rFonts w:hint="eastAsia"/>
                      <w:lang w:val="en-US" w:eastAsia="zh-CN"/>
                    </w:rPr>
                    <w:t>符合</w:t>
                  </w:r>
                </w:p>
              </w:tc>
            </w:tr>
            <w:tr w14:paraId="52A1F7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1806FD14">
                  <w:pPr>
                    <w:pStyle w:val="5"/>
                    <w:bidi w:val="0"/>
                    <w:jc w:val="center"/>
                  </w:pPr>
                  <w:r>
                    <w:t>7</w:t>
                  </w:r>
                </w:p>
              </w:tc>
              <w:tc>
                <w:tcPr>
                  <w:tcW w:w="2559" w:type="pct"/>
                  <w:tcBorders>
                    <w:tl2br w:val="nil"/>
                    <w:tr2bl w:val="nil"/>
                  </w:tcBorders>
                  <w:vAlign w:val="center"/>
                </w:tcPr>
                <w:p w14:paraId="764F1F79">
                  <w:pPr>
                    <w:pStyle w:val="5"/>
                    <w:bidi w:val="0"/>
                    <w:jc w:val="both"/>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607" w:type="pct"/>
                  <w:tcBorders>
                    <w:tl2br w:val="nil"/>
                    <w:tr2bl w:val="nil"/>
                  </w:tcBorders>
                  <w:vAlign w:val="center"/>
                </w:tcPr>
                <w:p w14:paraId="2287D8A8">
                  <w:pPr>
                    <w:pStyle w:val="5"/>
                    <w:bidi w:val="0"/>
                    <w:jc w:val="both"/>
                  </w:pPr>
                  <w:r>
                    <w:t>不在饮用水水源一级保护区的岸线和河段范围内，且本项目不属于养殖、旅游项目。</w:t>
                  </w:r>
                </w:p>
              </w:tc>
              <w:tc>
                <w:tcPr>
                  <w:tcW w:w="416" w:type="pct"/>
                  <w:tcBorders>
                    <w:tl2br w:val="nil"/>
                    <w:tr2bl w:val="nil"/>
                  </w:tcBorders>
                  <w:vAlign w:val="center"/>
                </w:tcPr>
                <w:p w14:paraId="7E9609BA">
                  <w:pPr>
                    <w:pStyle w:val="5"/>
                    <w:bidi w:val="0"/>
                    <w:jc w:val="center"/>
                  </w:pPr>
                  <w:r>
                    <w:rPr>
                      <w:rFonts w:hint="eastAsia"/>
                      <w:lang w:val="en-US" w:eastAsia="zh-CN"/>
                    </w:rPr>
                    <w:t>符合</w:t>
                  </w:r>
                </w:p>
              </w:tc>
            </w:tr>
            <w:tr w14:paraId="04188B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6EC7034D">
                  <w:pPr>
                    <w:pStyle w:val="5"/>
                    <w:bidi w:val="0"/>
                    <w:jc w:val="center"/>
                  </w:pPr>
                  <w:r>
                    <w:t>8</w:t>
                  </w:r>
                </w:p>
              </w:tc>
              <w:tc>
                <w:tcPr>
                  <w:tcW w:w="2559" w:type="pct"/>
                  <w:tcBorders>
                    <w:tl2br w:val="nil"/>
                    <w:tr2bl w:val="nil"/>
                  </w:tcBorders>
                  <w:vAlign w:val="center"/>
                </w:tcPr>
                <w:p w14:paraId="0E6BA554">
                  <w:pPr>
                    <w:pStyle w:val="5"/>
                    <w:bidi w:val="0"/>
                    <w:jc w:val="both"/>
                  </w:pPr>
                  <w:r>
                    <w:t>禁止在水产种质资源保护区岸线和河段范围内新建围湖造田、围湖造地或挖沙采石等投资建设项目。</w:t>
                  </w:r>
                </w:p>
              </w:tc>
              <w:tc>
                <w:tcPr>
                  <w:tcW w:w="1607" w:type="pct"/>
                  <w:tcBorders>
                    <w:tl2br w:val="nil"/>
                    <w:tr2bl w:val="nil"/>
                  </w:tcBorders>
                  <w:vAlign w:val="center"/>
                </w:tcPr>
                <w:p w14:paraId="69995D94">
                  <w:pPr>
                    <w:pStyle w:val="5"/>
                    <w:bidi w:val="0"/>
                    <w:jc w:val="both"/>
                  </w:pPr>
                  <w:r>
                    <w:t>不涉及水产种质资源保护区及国家湿地公园，且不属于围湖造田、围湖造地、挖沙采石项目。</w:t>
                  </w:r>
                </w:p>
              </w:tc>
              <w:tc>
                <w:tcPr>
                  <w:tcW w:w="416" w:type="pct"/>
                  <w:tcBorders>
                    <w:tl2br w:val="nil"/>
                    <w:tr2bl w:val="nil"/>
                  </w:tcBorders>
                  <w:vAlign w:val="center"/>
                </w:tcPr>
                <w:p w14:paraId="2B74729E">
                  <w:pPr>
                    <w:pStyle w:val="5"/>
                    <w:bidi w:val="0"/>
                    <w:jc w:val="center"/>
                  </w:pPr>
                  <w:r>
                    <w:rPr>
                      <w:rFonts w:hint="eastAsia"/>
                      <w:lang w:val="en-US" w:eastAsia="zh-CN"/>
                    </w:rPr>
                    <w:t>符合</w:t>
                  </w:r>
                </w:p>
              </w:tc>
            </w:tr>
            <w:tr w14:paraId="145A49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64F07863">
                  <w:pPr>
                    <w:pStyle w:val="5"/>
                    <w:bidi w:val="0"/>
                    <w:jc w:val="center"/>
                  </w:pPr>
                  <w:r>
                    <w:t>9</w:t>
                  </w:r>
                </w:p>
              </w:tc>
              <w:tc>
                <w:tcPr>
                  <w:tcW w:w="2559" w:type="pct"/>
                  <w:tcBorders>
                    <w:tl2br w:val="nil"/>
                    <w:tr2bl w:val="nil"/>
                  </w:tcBorders>
                  <w:vAlign w:val="center"/>
                </w:tcPr>
                <w:p w14:paraId="2811DFD7">
                  <w:pPr>
                    <w:pStyle w:val="5"/>
                    <w:bidi w:val="0"/>
                    <w:jc w:val="both"/>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607" w:type="pct"/>
                  <w:tcBorders>
                    <w:tl2br w:val="nil"/>
                    <w:tr2bl w:val="nil"/>
                  </w:tcBorders>
                  <w:vAlign w:val="center"/>
                </w:tcPr>
                <w:p w14:paraId="6025C09A">
                  <w:pPr>
                    <w:pStyle w:val="5"/>
                    <w:bidi w:val="0"/>
                    <w:jc w:val="both"/>
                  </w:pPr>
                  <w:r>
                    <w:t>不涉及国家湿地公园。</w:t>
                  </w:r>
                </w:p>
              </w:tc>
              <w:tc>
                <w:tcPr>
                  <w:tcW w:w="416" w:type="pct"/>
                  <w:tcBorders>
                    <w:tl2br w:val="nil"/>
                    <w:tr2bl w:val="nil"/>
                  </w:tcBorders>
                  <w:vAlign w:val="center"/>
                </w:tcPr>
                <w:p w14:paraId="0375D838">
                  <w:pPr>
                    <w:pStyle w:val="5"/>
                    <w:bidi w:val="0"/>
                    <w:jc w:val="center"/>
                  </w:pPr>
                  <w:r>
                    <w:rPr>
                      <w:rFonts w:hint="eastAsia"/>
                      <w:lang w:val="en-US" w:eastAsia="zh-CN"/>
                    </w:rPr>
                    <w:t>符合</w:t>
                  </w:r>
                </w:p>
              </w:tc>
            </w:tr>
            <w:tr w14:paraId="2EEA2C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08AB4ED5">
                  <w:pPr>
                    <w:pStyle w:val="5"/>
                    <w:bidi w:val="0"/>
                    <w:jc w:val="center"/>
                  </w:pPr>
                  <w:r>
                    <w:t>10</w:t>
                  </w:r>
                </w:p>
              </w:tc>
              <w:tc>
                <w:tcPr>
                  <w:tcW w:w="2559" w:type="pct"/>
                  <w:tcBorders>
                    <w:tl2br w:val="nil"/>
                    <w:tr2bl w:val="nil"/>
                  </w:tcBorders>
                  <w:vAlign w:val="center"/>
                </w:tcPr>
                <w:p w14:paraId="0190BF9E">
                  <w:pPr>
                    <w:pStyle w:val="5"/>
                    <w:bidi w:val="0"/>
                    <w:jc w:val="both"/>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07" w:type="pct"/>
                  <w:tcBorders>
                    <w:tl2br w:val="nil"/>
                    <w:tr2bl w:val="nil"/>
                  </w:tcBorders>
                  <w:vAlign w:val="center"/>
                </w:tcPr>
                <w:p w14:paraId="2D5512E1">
                  <w:pPr>
                    <w:pStyle w:val="5"/>
                    <w:bidi w:val="0"/>
                    <w:jc w:val="both"/>
                  </w:pPr>
                  <w:r>
                    <w:t>不涉及利用、占用长江流域河湖岸线，且不在《长江岸线保护和开发利用总体规划》划定的岸线保护区和岸线保留区内。</w:t>
                  </w:r>
                </w:p>
              </w:tc>
              <w:tc>
                <w:tcPr>
                  <w:tcW w:w="416" w:type="pct"/>
                  <w:tcBorders>
                    <w:tl2br w:val="nil"/>
                    <w:tr2bl w:val="nil"/>
                  </w:tcBorders>
                  <w:vAlign w:val="center"/>
                </w:tcPr>
                <w:p w14:paraId="6459A16F">
                  <w:pPr>
                    <w:pStyle w:val="5"/>
                    <w:bidi w:val="0"/>
                    <w:jc w:val="center"/>
                  </w:pPr>
                  <w:r>
                    <w:rPr>
                      <w:rFonts w:hint="eastAsia"/>
                      <w:lang w:val="en-US" w:eastAsia="zh-CN"/>
                    </w:rPr>
                    <w:t>符合</w:t>
                  </w:r>
                </w:p>
              </w:tc>
            </w:tr>
            <w:tr w14:paraId="5B2DBD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73A4E312">
                  <w:pPr>
                    <w:pStyle w:val="5"/>
                    <w:bidi w:val="0"/>
                    <w:jc w:val="center"/>
                  </w:pPr>
                  <w:r>
                    <w:t>11</w:t>
                  </w:r>
                </w:p>
              </w:tc>
              <w:tc>
                <w:tcPr>
                  <w:tcW w:w="2559" w:type="pct"/>
                  <w:tcBorders>
                    <w:tl2br w:val="nil"/>
                    <w:tr2bl w:val="nil"/>
                  </w:tcBorders>
                  <w:vAlign w:val="center"/>
                </w:tcPr>
                <w:p w14:paraId="1E2A44D4">
                  <w:pPr>
                    <w:pStyle w:val="5"/>
                    <w:bidi w:val="0"/>
                    <w:jc w:val="both"/>
                  </w:pPr>
                  <w:r>
                    <w:t>禁止在《全国重要江河湖泊水功能区划》划定的河段及湖泊保护区、保留区内投资建设不利于水资源及自然生态保护的项目。</w:t>
                  </w:r>
                </w:p>
              </w:tc>
              <w:tc>
                <w:tcPr>
                  <w:tcW w:w="1607" w:type="pct"/>
                  <w:tcBorders>
                    <w:tl2br w:val="nil"/>
                    <w:tr2bl w:val="nil"/>
                  </w:tcBorders>
                  <w:vAlign w:val="center"/>
                </w:tcPr>
                <w:p w14:paraId="6EE6B00B">
                  <w:pPr>
                    <w:pStyle w:val="5"/>
                    <w:bidi w:val="0"/>
                    <w:jc w:val="both"/>
                  </w:pPr>
                  <w:r>
                    <w:t>不涉及全国重要江河湖泊水功能区划划定的河段及湖泊保护区、保留区。</w:t>
                  </w:r>
                </w:p>
              </w:tc>
              <w:tc>
                <w:tcPr>
                  <w:tcW w:w="416" w:type="pct"/>
                  <w:tcBorders>
                    <w:tl2br w:val="nil"/>
                    <w:tr2bl w:val="nil"/>
                  </w:tcBorders>
                  <w:vAlign w:val="center"/>
                </w:tcPr>
                <w:p w14:paraId="7834E83E">
                  <w:pPr>
                    <w:pStyle w:val="5"/>
                    <w:bidi w:val="0"/>
                    <w:jc w:val="center"/>
                  </w:pPr>
                  <w:r>
                    <w:rPr>
                      <w:rFonts w:hint="eastAsia"/>
                      <w:lang w:val="en-US" w:eastAsia="zh-CN"/>
                    </w:rPr>
                    <w:t>符合</w:t>
                  </w:r>
                </w:p>
              </w:tc>
            </w:tr>
            <w:tr w14:paraId="7B181C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56E7FA9E">
                  <w:pPr>
                    <w:pStyle w:val="5"/>
                    <w:bidi w:val="0"/>
                    <w:jc w:val="center"/>
                  </w:pPr>
                  <w:r>
                    <w:t>12</w:t>
                  </w:r>
                </w:p>
              </w:tc>
              <w:tc>
                <w:tcPr>
                  <w:tcW w:w="2559" w:type="pct"/>
                  <w:tcBorders>
                    <w:tl2br w:val="nil"/>
                    <w:tr2bl w:val="nil"/>
                  </w:tcBorders>
                  <w:vAlign w:val="center"/>
                </w:tcPr>
                <w:p w14:paraId="544CC378">
                  <w:pPr>
                    <w:pStyle w:val="5"/>
                    <w:bidi w:val="0"/>
                    <w:jc w:val="both"/>
                  </w:pPr>
                  <w:r>
                    <w:t>禁止在长江流域江河、湖泊新设、改设或者扩大排污口，经有管辖权的生态环境主管部门或者长江流域生态环境监督管理机构同意的除外。</w:t>
                  </w:r>
                </w:p>
              </w:tc>
              <w:tc>
                <w:tcPr>
                  <w:tcW w:w="1607" w:type="pct"/>
                  <w:tcBorders>
                    <w:tl2br w:val="nil"/>
                    <w:tr2bl w:val="nil"/>
                  </w:tcBorders>
                  <w:shd w:val="clear" w:color="auto" w:fill="auto"/>
                  <w:vAlign w:val="center"/>
                </w:tcPr>
                <w:p w14:paraId="53B887AC">
                  <w:pPr>
                    <w:pStyle w:val="5"/>
                    <w:bidi w:val="0"/>
                    <w:jc w:val="both"/>
                    <w:rPr>
                      <w:rFonts w:hint="default"/>
                      <w:lang w:val="en-US" w:eastAsia="zh-CN"/>
                    </w:rPr>
                  </w:pPr>
                  <w:r>
                    <w:rPr>
                      <w:rFonts w:hint="eastAsia"/>
                      <w:lang w:val="en-US" w:eastAsia="zh-CN"/>
                    </w:rPr>
                    <w:t>项目生活污水进入园区一体化污水处理设施处理后，排入魏兴场镇污水处理厂，污水达《城镇污水处理厂污染物排放标准》（GB18918—2002）一级A标准后，排入州河。</w:t>
                  </w:r>
                </w:p>
              </w:tc>
              <w:tc>
                <w:tcPr>
                  <w:tcW w:w="416" w:type="pct"/>
                  <w:tcBorders>
                    <w:tl2br w:val="nil"/>
                    <w:tr2bl w:val="nil"/>
                  </w:tcBorders>
                  <w:vAlign w:val="center"/>
                </w:tcPr>
                <w:p w14:paraId="14F4E011">
                  <w:pPr>
                    <w:pStyle w:val="5"/>
                    <w:bidi w:val="0"/>
                    <w:jc w:val="center"/>
                  </w:pPr>
                  <w:r>
                    <w:rPr>
                      <w:rFonts w:hint="eastAsia"/>
                      <w:lang w:val="en-US" w:eastAsia="zh-CN"/>
                    </w:rPr>
                    <w:t>符合</w:t>
                  </w:r>
                </w:p>
              </w:tc>
            </w:tr>
            <w:tr w14:paraId="517AC6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60F41E6C">
                  <w:pPr>
                    <w:pStyle w:val="5"/>
                    <w:bidi w:val="0"/>
                    <w:jc w:val="center"/>
                  </w:pPr>
                  <w:r>
                    <w:t>13</w:t>
                  </w:r>
                </w:p>
              </w:tc>
              <w:tc>
                <w:tcPr>
                  <w:tcW w:w="2559" w:type="pct"/>
                  <w:tcBorders>
                    <w:tl2br w:val="nil"/>
                    <w:tr2bl w:val="nil"/>
                  </w:tcBorders>
                  <w:vAlign w:val="center"/>
                </w:tcPr>
                <w:p w14:paraId="4A3C1277">
                  <w:pPr>
                    <w:pStyle w:val="5"/>
                    <w:bidi w:val="0"/>
                    <w:jc w:val="both"/>
                  </w:pPr>
                  <w:r>
                    <w:t>禁止在长江干流、大渡河、岷江、赤水河、沱江、嘉陵江、乌江、汉江和51个（四川省45个、重庆市6个）水生生物保护区开展生产性捕捞。</w:t>
                  </w:r>
                </w:p>
              </w:tc>
              <w:tc>
                <w:tcPr>
                  <w:tcW w:w="1607" w:type="pct"/>
                  <w:tcBorders>
                    <w:tl2br w:val="nil"/>
                    <w:tr2bl w:val="nil"/>
                  </w:tcBorders>
                  <w:vAlign w:val="center"/>
                </w:tcPr>
                <w:p w14:paraId="7E0B7D70">
                  <w:pPr>
                    <w:pStyle w:val="5"/>
                    <w:bidi w:val="0"/>
                    <w:jc w:val="both"/>
                  </w:pPr>
                  <w:r>
                    <w:t>不涉及生产性捕捞。</w:t>
                  </w:r>
                </w:p>
              </w:tc>
              <w:tc>
                <w:tcPr>
                  <w:tcW w:w="416" w:type="pct"/>
                  <w:tcBorders>
                    <w:tl2br w:val="nil"/>
                    <w:tr2bl w:val="nil"/>
                  </w:tcBorders>
                  <w:vAlign w:val="center"/>
                </w:tcPr>
                <w:p w14:paraId="529E2010">
                  <w:pPr>
                    <w:pStyle w:val="5"/>
                    <w:bidi w:val="0"/>
                    <w:jc w:val="center"/>
                  </w:pPr>
                  <w:r>
                    <w:rPr>
                      <w:rFonts w:hint="eastAsia"/>
                      <w:lang w:val="en-US" w:eastAsia="zh-CN"/>
                    </w:rPr>
                    <w:t>符合</w:t>
                  </w:r>
                </w:p>
              </w:tc>
            </w:tr>
            <w:tr w14:paraId="067643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6857E4CF">
                  <w:pPr>
                    <w:pStyle w:val="5"/>
                    <w:bidi w:val="0"/>
                    <w:jc w:val="center"/>
                  </w:pPr>
                  <w:r>
                    <w:t>14</w:t>
                  </w:r>
                </w:p>
              </w:tc>
              <w:tc>
                <w:tcPr>
                  <w:tcW w:w="2559" w:type="pct"/>
                  <w:tcBorders>
                    <w:tl2br w:val="nil"/>
                    <w:tr2bl w:val="nil"/>
                  </w:tcBorders>
                  <w:vAlign w:val="center"/>
                </w:tcPr>
                <w:p w14:paraId="271FAEC6">
                  <w:pPr>
                    <w:pStyle w:val="5"/>
                    <w:bidi w:val="0"/>
                    <w:jc w:val="both"/>
                  </w:pPr>
                  <w:r>
                    <w:t>禁止在长江干支流、重要湖泊岸线一公里范围内新建、扩建化工园区和化工项目。</w:t>
                  </w:r>
                </w:p>
              </w:tc>
              <w:tc>
                <w:tcPr>
                  <w:tcW w:w="1607" w:type="pct"/>
                  <w:tcBorders>
                    <w:tl2br w:val="nil"/>
                    <w:tr2bl w:val="nil"/>
                  </w:tcBorders>
                  <w:vAlign w:val="center"/>
                </w:tcPr>
                <w:p w14:paraId="11D5B639">
                  <w:pPr>
                    <w:pStyle w:val="5"/>
                    <w:bidi w:val="0"/>
                    <w:jc w:val="both"/>
                  </w:pPr>
                  <w:r>
                    <w:t>不属于化工园区和化工项目。</w:t>
                  </w:r>
                </w:p>
              </w:tc>
              <w:tc>
                <w:tcPr>
                  <w:tcW w:w="416" w:type="pct"/>
                  <w:tcBorders>
                    <w:tl2br w:val="nil"/>
                    <w:tr2bl w:val="nil"/>
                  </w:tcBorders>
                  <w:vAlign w:val="center"/>
                </w:tcPr>
                <w:p w14:paraId="2B158315">
                  <w:pPr>
                    <w:pStyle w:val="5"/>
                    <w:bidi w:val="0"/>
                    <w:jc w:val="center"/>
                  </w:pPr>
                  <w:r>
                    <w:rPr>
                      <w:rFonts w:hint="eastAsia"/>
                      <w:lang w:val="en-US" w:eastAsia="zh-CN"/>
                    </w:rPr>
                    <w:t>符合</w:t>
                  </w:r>
                </w:p>
              </w:tc>
            </w:tr>
            <w:tr w14:paraId="3B6260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266B0F01">
                  <w:pPr>
                    <w:pStyle w:val="5"/>
                    <w:bidi w:val="0"/>
                    <w:jc w:val="center"/>
                  </w:pPr>
                  <w:r>
                    <w:t>15</w:t>
                  </w:r>
                </w:p>
              </w:tc>
              <w:tc>
                <w:tcPr>
                  <w:tcW w:w="2559" w:type="pct"/>
                  <w:tcBorders>
                    <w:tl2br w:val="nil"/>
                    <w:tr2bl w:val="nil"/>
                  </w:tcBorders>
                  <w:vAlign w:val="center"/>
                </w:tcPr>
                <w:p w14:paraId="64465F95">
                  <w:pPr>
                    <w:pStyle w:val="5"/>
                    <w:bidi w:val="0"/>
                    <w:jc w:val="both"/>
                  </w:pPr>
                  <w:r>
                    <w:t>禁止在长江干流岸线三公里范围内和重要支流岸线一公里范围内新建、改建、扩建尾矿库、冶炼渣库、磷石膏库，以提升安全、生态环境保护水平为目的的改建除外。</w:t>
                  </w:r>
                </w:p>
              </w:tc>
              <w:tc>
                <w:tcPr>
                  <w:tcW w:w="1607" w:type="pct"/>
                  <w:tcBorders>
                    <w:tl2br w:val="nil"/>
                    <w:tr2bl w:val="nil"/>
                  </w:tcBorders>
                  <w:vAlign w:val="center"/>
                </w:tcPr>
                <w:p w14:paraId="44E2EE10">
                  <w:pPr>
                    <w:pStyle w:val="5"/>
                    <w:bidi w:val="0"/>
                    <w:jc w:val="both"/>
                  </w:pPr>
                  <w:r>
                    <w:t>不属于矿库、冶炼渣库、磷石膏库项目。</w:t>
                  </w:r>
                </w:p>
              </w:tc>
              <w:tc>
                <w:tcPr>
                  <w:tcW w:w="416" w:type="pct"/>
                  <w:tcBorders>
                    <w:tl2br w:val="nil"/>
                    <w:tr2bl w:val="nil"/>
                  </w:tcBorders>
                  <w:vAlign w:val="center"/>
                </w:tcPr>
                <w:p w14:paraId="594C7552">
                  <w:pPr>
                    <w:pStyle w:val="5"/>
                    <w:bidi w:val="0"/>
                    <w:jc w:val="center"/>
                  </w:pPr>
                  <w:r>
                    <w:rPr>
                      <w:rFonts w:hint="eastAsia"/>
                      <w:lang w:val="en-US" w:eastAsia="zh-CN"/>
                    </w:rPr>
                    <w:t>符合</w:t>
                  </w:r>
                </w:p>
              </w:tc>
            </w:tr>
            <w:tr w14:paraId="1551CF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44A479C2">
                  <w:pPr>
                    <w:pStyle w:val="5"/>
                    <w:bidi w:val="0"/>
                    <w:jc w:val="center"/>
                  </w:pPr>
                  <w:r>
                    <w:t>16</w:t>
                  </w:r>
                </w:p>
              </w:tc>
              <w:tc>
                <w:tcPr>
                  <w:tcW w:w="2559" w:type="pct"/>
                  <w:tcBorders>
                    <w:tl2br w:val="nil"/>
                    <w:tr2bl w:val="nil"/>
                  </w:tcBorders>
                  <w:vAlign w:val="center"/>
                </w:tcPr>
                <w:p w14:paraId="774CE82E">
                  <w:pPr>
                    <w:pStyle w:val="5"/>
                    <w:bidi w:val="0"/>
                    <w:jc w:val="both"/>
                  </w:pPr>
                  <w:r>
                    <w:t>禁止在生态保护红线区域、永久基本农田集中区域和其他需要特别保护的区域内选址建设尾矿库﹑冶炼渣库、磷石膏库。</w:t>
                  </w:r>
                </w:p>
              </w:tc>
              <w:tc>
                <w:tcPr>
                  <w:tcW w:w="1607" w:type="pct"/>
                  <w:tcBorders>
                    <w:tl2br w:val="nil"/>
                    <w:tr2bl w:val="nil"/>
                  </w:tcBorders>
                  <w:vAlign w:val="center"/>
                </w:tcPr>
                <w:p w14:paraId="5100658F">
                  <w:pPr>
                    <w:pStyle w:val="5"/>
                    <w:bidi w:val="0"/>
                    <w:jc w:val="both"/>
                  </w:pPr>
                  <w:r>
                    <w:t>不属于矿库、冶炼渣库、磷石膏库项目。</w:t>
                  </w:r>
                </w:p>
              </w:tc>
              <w:tc>
                <w:tcPr>
                  <w:tcW w:w="416" w:type="pct"/>
                  <w:tcBorders>
                    <w:tl2br w:val="nil"/>
                    <w:tr2bl w:val="nil"/>
                  </w:tcBorders>
                  <w:vAlign w:val="center"/>
                </w:tcPr>
                <w:p w14:paraId="727A680F">
                  <w:pPr>
                    <w:pStyle w:val="5"/>
                    <w:bidi w:val="0"/>
                    <w:jc w:val="center"/>
                  </w:pPr>
                  <w:r>
                    <w:rPr>
                      <w:rFonts w:hint="eastAsia"/>
                      <w:lang w:val="en-US" w:eastAsia="zh-CN"/>
                    </w:rPr>
                    <w:t>符合</w:t>
                  </w:r>
                </w:p>
              </w:tc>
            </w:tr>
            <w:tr w14:paraId="6A46DF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41632802">
                  <w:pPr>
                    <w:pStyle w:val="5"/>
                    <w:bidi w:val="0"/>
                    <w:jc w:val="center"/>
                  </w:pPr>
                  <w:r>
                    <w:t>17</w:t>
                  </w:r>
                </w:p>
              </w:tc>
              <w:tc>
                <w:tcPr>
                  <w:tcW w:w="2559" w:type="pct"/>
                  <w:tcBorders>
                    <w:tl2br w:val="nil"/>
                    <w:tr2bl w:val="nil"/>
                  </w:tcBorders>
                  <w:vAlign w:val="center"/>
                </w:tcPr>
                <w:p w14:paraId="6256677A">
                  <w:pPr>
                    <w:pStyle w:val="5"/>
                    <w:bidi w:val="0"/>
                    <w:jc w:val="both"/>
                  </w:pPr>
                  <w:r>
                    <w:t>禁止在合规园区外新建、扩建钢铁、石化、化工、焦化、建材、有色、制浆造纸等高污染项目。</w:t>
                  </w:r>
                </w:p>
              </w:tc>
              <w:tc>
                <w:tcPr>
                  <w:tcW w:w="1607" w:type="pct"/>
                  <w:tcBorders>
                    <w:tl2br w:val="nil"/>
                    <w:tr2bl w:val="nil"/>
                  </w:tcBorders>
                  <w:vAlign w:val="center"/>
                </w:tcPr>
                <w:p w14:paraId="223F00EC">
                  <w:pPr>
                    <w:pStyle w:val="5"/>
                    <w:bidi w:val="0"/>
                    <w:jc w:val="both"/>
                  </w:pPr>
                  <w:r>
                    <w:t>不属于钢铁、石化、化工、焦化、建材、有色、制浆造纸等高污染项目。</w:t>
                  </w:r>
                </w:p>
              </w:tc>
              <w:tc>
                <w:tcPr>
                  <w:tcW w:w="416" w:type="pct"/>
                  <w:tcBorders>
                    <w:tl2br w:val="nil"/>
                    <w:tr2bl w:val="nil"/>
                  </w:tcBorders>
                  <w:vAlign w:val="center"/>
                </w:tcPr>
                <w:p w14:paraId="6290976F">
                  <w:pPr>
                    <w:pStyle w:val="5"/>
                    <w:bidi w:val="0"/>
                    <w:jc w:val="center"/>
                  </w:pPr>
                  <w:r>
                    <w:rPr>
                      <w:rFonts w:hint="eastAsia"/>
                      <w:lang w:val="en-US" w:eastAsia="zh-CN"/>
                    </w:rPr>
                    <w:t>符合</w:t>
                  </w:r>
                </w:p>
              </w:tc>
            </w:tr>
            <w:tr w14:paraId="211035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7AB6C00D">
                  <w:pPr>
                    <w:pStyle w:val="5"/>
                    <w:bidi w:val="0"/>
                    <w:jc w:val="center"/>
                  </w:pPr>
                  <w:r>
                    <w:t>18</w:t>
                  </w:r>
                </w:p>
              </w:tc>
              <w:tc>
                <w:tcPr>
                  <w:tcW w:w="2559" w:type="pct"/>
                  <w:tcBorders>
                    <w:tl2br w:val="nil"/>
                    <w:tr2bl w:val="nil"/>
                  </w:tcBorders>
                  <w:vAlign w:val="center"/>
                </w:tcPr>
                <w:p w14:paraId="6B3051DF">
                  <w:pPr>
                    <w:pStyle w:val="5"/>
                    <w:bidi w:val="0"/>
                    <w:jc w:val="both"/>
                  </w:pPr>
                  <w:r>
                    <w:t>禁止新建、扩建不符合国家石化、现代煤化工等产业布局规划的项目。</w:t>
                  </w:r>
                </w:p>
                <w:p w14:paraId="10E17962">
                  <w:pPr>
                    <w:pStyle w:val="5"/>
                    <w:bidi w:val="0"/>
                    <w:jc w:val="both"/>
                  </w:pPr>
                  <w:r>
                    <w:t>（一）严格控制新增炼油产能，未列入《石化产业规划布局方案（修订版）》的新增炼油产能一律不得建设。</w:t>
                  </w:r>
                </w:p>
                <w:p w14:paraId="50707690">
                  <w:pPr>
                    <w:pStyle w:val="5"/>
                    <w:bidi w:val="0"/>
                    <w:jc w:val="both"/>
                  </w:pPr>
                  <w:r>
                    <w:t>（二）新建煤制烯烃、煤质芳烃项目必须列入《现代煤化工产业创新发展布局方案》，必须符合《现代煤化工建设项目环境准入条件（试行）》要求。</w:t>
                  </w:r>
                </w:p>
              </w:tc>
              <w:tc>
                <w:tcPr>
                  <w:tcW w:w="1607" w:type="pct"/>
                  <w:tcBorders>
                    <w:tl2br w:val="nil"/>
                    <w:tr2bl w:val="nil"/>
                  </w:tcBorders>
                  <w:vAlign w:val="center"/>
                </w:tcPr>
                <w:p w14:paraId="776948A4">
                  <w:pPr>
                    <w:pStyle w:val="5"/>
                    <w:bidi w:val="0"/>
                    <w:jc w:val="both"/>
                  </w:pPr>
                  <w:r>
                    <w:t>不属于国家石化、现代煤化工等产业布局规划的项目。</w:t>
                  </w:r>
                </w:p>
              </w:tc>
              <w:tc>
                <w:tcPr>
                  <w:tcW w:w="416" w:type="pct"/>
                  <w:tcBorders>
                    <w:tl2br w:val="nil"/>
                    <w:tr2bl w:val="nil"/>
                  </w:tcBorders>
                  <w:vAlign w:val="center"/>
                </w:tcPr>
                <w:p w14:paraId="2D8837E8">
                  <w:pPr>
                    <w:pStyle w:val="5"/>
                    <w:bidi w:val="0"/>
                    <w:jc w:val="center"/>
                  </w:pPr>
                  <w:r>
                    <w:rPr>
                      <w:rFonts w:hint="eastAsia"/>
                      <w:lang w:val="en-US" w:eastAsia="zh-CN"/>
                    </w:rPr>
                    <w:t>符合</w:t>
                  </w:r>
                </w:p>
              </w:tc>
            </w:tr>
            <w:tr w14:paraId="545837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07DD18A0">
                  <w:pPr>
                    <w:pStyle w:val="5"/>
                    <w:bidi w:val="0"/>
                    <w:jc w:val="center"/>
                  </w:pPr>
                  <w:r>
                    <w:t>19</w:t>
                  </w:r>
                </w:p>
              </w:tc>
              <w:tc>
                <w:tcPr>
                  <w:tcW w:w="2559" w:type="pct"/>
                  <w:tcBorders>
                    <w:tl2br w:val="nil"/>
                    <w:tr2bl w:val="nil"/>
                  </w:tcBorders>
                  <w:vAlign w:val="center"/>
                </w:tcPr>
                <w:p w14:paraId="49D5CC32">
                  <w:pPr>
                    <w:pStyle w:val="5"/>
                    <w:bidi w:val="0"/>
                    <w:jc w:val="both"/>
                  </w:pPr>
                  <w: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07" w:type="pct"/>
                  <w:tcBorders>
                    <w:tl2br w:val="nil"/>
                    <w:tr2bl w:val="nil"/>
                  </w:tcBorders>
                  <w:vAlign w:val="center"/>
                </w:tcPr>
                <w:p w14:paraId="4DDBD05D">
                  <w:pPr>
                    <w:pStyle w:val="5"/>
                    <w:bidi w:val="0"/>
                    <w:jc w:val="both"/>
                  </w:pPr>
                  <w:r>
                    <w:rPr>
                      <w:rFonts w:hint="eastAsia"/>
                      <w:lang w:val="en-US" w:eastAsia="zh-CN"/>
                    </w:rPr>
                    <w:t>本项目属于鼓励类。</w:t>
                  </w:r>
                </w:p>
              </w:tc>
              <w:tc>
                <w:tcPr>
                  <w:tcW w:w="416" w:type="pct"/>
                  <w:tcBorders>
                    <w:tl2br w:val="nil"/>
                    <w:tr2bl w:val="nil"/>
                  </w:tcBorders>
                  <w:vAlign w:val="center"/>
                </w:tcPr>
                <w:p w14:paraId="48E1BF45">
                  <w:pPr>
                    <w:pStyle w:val="5"/>
                    <w:bidi w:val="0"/>
                    <w:jc w:val="center"/>
                  </w:pPr>
                  <w:r>
                    <w:rPr>
                      <w:rFonts w:hint="eastAsia"/>
                      <w:lang w:val="en-US" w:eastAsia="zh-CN"/>
                    </w:rPr>
                    <w:t>符合</w:t>
                  </w:r>
                </w:p>
              </w:tc>
            </w:tr>
            <w:tr w14:paraId="61C836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2A56EF10">
                  <w:pPr>
                    <w:pStyle w:val="5"/>
                    <w:bidi w:val="0"/>
                    <w:jc w:val="center"/>
                  </w:pPr>
                  <w:r>
                    <w:t>20</w:t>
                  </w:r>
                </w:p>
              </w:tc>
              <w:tc>
                <w:tcPr>
                  <w:tcW w:w="2559" w:type="pct"/>
                  <w:tcBorders>
                    <w:tl2br w:val="nil"/>
                    <w:tr2bl w:val="nil"/>
                  </w:tcBorders>
                  <w:vAlign w:val="center"/>
                </w:tcPr>
                <w:p w14:paraId="6860388F">
                  <w:pPr>
                    <w:pStyle w:val="5"/>
                    <w:bidi w:val="0"/>
                    <w:jc w:val="both"/>
                  </w:pPr>
                  <w:r>
                    <w:t>禁止新建、扩建不符合国家产能置换要求的严重过剩产能行业的项目。对于不符合国家产能置换要求的严重过剩产能行业，不得以其他任何名义、任何方式备案新增产能项目。</w:t>
                  </w:r>
                </w:p>
              </w:tc>
              <w:tc>
                <w:tcPr>
                  <w:tcW w:w="1607" w:type="pct"/>
                  <w:tcBorders>
                    <w:tl2br w:val="nil"/>
                    <w:tr2bl w:val="nil"/>
                  </w:tcBorders>
                  <w:vAlign w:val="center"/>
                </w:tcPr>
                <w:p w14:paraId="56D57650">
                  <w:pPr>
                    <w:pStyle w:val="5"/>
                    <w:bidi w:val="0"/>
                    <w:jc w:val="both"/>
                  </w:pPr>
                  <w:r>
                    <w:t>不属于国家产能置换要求的严重过剩产能行业的项目。</w:t>
                  </w:r>
                </w:p>
              </w:tc>
              <w:tc>
                <w:tcPr>
                  <w:tcW w:w="416" w:type="pct"/>
                  <w:tcBorders>
                    <w:tl2br w:val="nil"/>
                    <w:tr2bl w:val="nil"/>
                  </w:tcBorders>
                  <w:vAlign w:val="center"/>
                </w:tcPr>
                <w:p w14:paraId="1987ACD1">
                  <w:pPr>
                    <w:pStyle w:val="5"/>
                    <w:bidi w:val="0"/>
                    <w:jc w:val="center"/>
                  </w:pPr>
                  <w:r>
                    <w:rPr>
                      <w:rFonts w:hint="eastAsia"/>
                      <w:lang w:val="en-US" w:eastAsia="zh-CN"/>
                    </w:rPr>
                    <w:t>符合</w:t>
                  </w:r>
                </w:p>
              </w:tc>
            </w:tr>
            <w:tr w14:paraId="147E63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428D2980">
                  <w:pPr>
                    <w:pStyle w:val="5"/>
                    <w:bidi w:val="0"/>
                    <w:jc w:val="center"/>
                  </w:pPr>
                  <w:r>
                    <w:t>21</w:t>
                  </w:r>
                </w:p>
              </w:tc>
              <w:tc>
                <w:tcPr>
                  <w:tcW w:w="2559" w:type="pct"/>
                  <w:tcBorders>
                    <w:tl2br w:val="nil"/>
                    <w:tr2bl w:val="nil"/>
                  </w:tcBorders>
                  <w:vAlign w:val="center"/>
                </w:tcPr>
                <w:p w14:paraId="719C38D9">
                  <w:pPr>
                    <w:pStyle w:val="5"/>
                    <w:bidi w:val="0"/>
                    <w:jc w:val="both"/>
                  </w:pPr>
                  <w:r>
                    <w:t>禁止建设以下燃油汽车投资项目（不在中国境内销售产品的投资项目除外）：</w:t>
                  </w:r>
                </w:p>
                <w:p w14:paraId="5C87B7B4">
                  <w:pPr>
                    <w:pStyle w:val="5"/>
                    <w:bidi w:val="0"/>
                    <w:jc w:val="both"/>
                  </w:pPr>
                  <w:r>
                    <w:t>（一）新建独立燃油汽车企业；</w:t>
                  </w:r>
                </w:p>
                <w:p w14:paraId="4DB86A8F">
                  <w:pPr>
                    <w:pStyle w:val="5"/>
                    <w:bidi w:val="0"/>
                    <w:jc w:val="both"/>
                  </w:pPr>
                  <w:r>
                    <w:t>（二）现有汽车企业跨乘用车、商用车类别建设燃油汽车生产能力；</w:t>
                  </w:r>
                </w:p>
                <w:p w14:paraId="2609B5A2">
                  <w:pPr>
                    <w:pStyle w:val="5"/>
                    <w:bidi w:val="0"/>
                    <w:jc w:val="both"/>
                  </w:pPr>
                  <w:r>
                    <w:t>（三）外省现有燃油汽车企业整体搬迁至本省（列入国家级区域发展规划或不改变企业股权结构的项目除外）；</w:t>
                  </w:r>
                </w:p>
                <w:p w14:paraId="1C681BFC">
                  <w:pPr>
                    <w:pStyle w:val="5"/>
                    <w:bidi w:val="0"/>
                    <w:jc w:val="both"/>
                  </w:pPr>
                  <w:r>
                    <w:t>（四）对</w:t>
                  </w:r>
                  <w:r>
                    <w:rPr>
                      <w:rFonts w:hint="eastAsia"/>
                      <w:lang w:eastAsia="zh-CN"/>
                    </w:rPr>
                    <w:t>行政</w:t>
                  </w:r>
                  <w:r>
                    <w:t>管理部门特别公示的燃油汽车企业进行投资（企业原有股东投资或将该企业转为非独立法人的投资项目除外）；</w:t>
                  </w:r>
                </w:p>
              </w:tc>
              <w:tc>
                <w:tcPr>
                  <w:tcW w:w="1607" w:type="pct"/>
                  <w:tcBorders>
                    <w:tl2br w:val="nil"/>
                    <w:tr2bl w:val="nil"/>
                  </w:tcBorders>
                  <w:vAlign w:val="center"/>
                </w:tcPr>
                <w:p w14:paraId="658992D7">
                  <w:pPr>
                    <w:pStyle w:val="5"/>
                    <w:bidi w:val="0"/>
                    <w:jc w:val="both"/>
                  </w:pPr>
                  <w:r>
                    <w:t>不属于燃油汽车投资项目。</w:t>
                  </w:r>
                </w:p>
              </w:tc>
              <w:tc>
                <w:tcPr>
                  <w:tcW w:w="416" w:type="pct"/>
                  <w:tcBorders>
                    <w:tl2br w:val="nil"/>
                    <w:tr2bl w:val="nil"/>
                  </w:tcBorders>
                  <w:vAlign w:val="center"/>
                </w:tcPr>
                <w:p w14:paraId="7D261C4E">
                  <w:pPr>
                    <w:pStyle w:val="5"/>
                    <w:bidi w:val="0"/>
                    <w:jc w:val="center"/>
                  </w:pPr>
                  <w:r>
                    <w:rPr>
                      <w:rFonts w:hint="eastAsia"/>
                      <w:lang w:val="en-US" w:eastAsia="zh-CN"/>
                    </w:rPr>
                    <w:t>符合</w:t>
                  </w:r>
                </w:p>
              </w:tc>
            </w:tr>
            <w:tr w14:paraId="47424D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tcBorders>
                    <w:tl2br w:val="nil"/>
                    <w:tr2bl w:val="nil"/>
                  </w:tcBorders>
                  <w:vAlign w:val="center"/>
                </w:tcPr>
                <w:p w14:paraId="1C83B12A">
                  <w:pPr>
                    <w:pStyle w:val="5"/>
                    <w:bidi w:val="0"/>
                    <w:jc w:val="center"/>
                  </w:pPr>
                  <w:r>
                    <w:t>22</w:t>
                  </w:r>
                </w:p>
              </w:tc>
              <w:tc>
                <w:tcPr>
                  <w:tcW w:w="2559" w:type="pct"/>
                  <w:tcBorders>
                    <w:tl2br w:val="nil"/>
                    <w:tr2bl w:val="nil"/>
                  </w:tcBorders>
                  <w:vAlign w:val="center"/>
                </w:tcPr>
                <w:p w14:paraId="6E58CEE5">
                  <w:pPr>
                    <w:pStyle w:val="5"/>
                    <w:bidi w:val="0"/>
                    <w:jc w:val="both"/>
                  </w:pPr>
                  <w:r>
                    <w:t>禁止新建、扩建不符合要求的高耗能、高排放、低水平项目。</w:t>
                  </w:r>
                </w:p>
              </w:tc>
              <w:tc>
                <w:tcPr>
                  <w:tcW w:w="1607" w:type="pct"/>
                  <w:tcBorders>
                    <w:tl2br w:val="nil"/>
                    <w:tr2bl w:val="nil"/>
                  </w:tcBorders>
                  <w:vAlign w:val="center"/>
                </w:tcPr>
                <w:p w14:paraId="6C6C904B">
                  <w:pPr>
                    <w:pStyle w:val="5"/>
                    <w:bidi w:val="0"/>
                    <w:jc w:val="both"/>
                  </w:pPr>
                  <w:r>
                    <w:t>不属于高耗能、高排放、低水平项目。</w:t>
                  </w:r>
                </w:p>
              </w:tc>
              <w:tc>
                <w:tcPr>
                  <w:tcW w:w="416" w:type="pct"/>
                  <w:tcBorders>
                    <w:tl2br w:val="nil"/>
                    <w:tr2bl w:val="nil"/>
                  </w:tcBorders>
                  <w:vAlign w:val="center"/>
                </w:tcPr>
                <w:p w14:paraId="40DA878F">
                  <w:pPr>
                    <w:pStyle w:val="5"/>
                    <w:bidi w:val="0"/>
                    <w:jc w:val="center"/>
                  </w:pPr>
                  <w:r>
                    <w:rPr>
                      <w:rFonts w:hint="eastAsia"/>
                      <w:lang w:val="en-US" w:eastAsia="zh-CN"/>
                    </w:rPr>
                    <w:t>符合</w:t>
                  </w:r>
                </w:p>
              </w:tc>
            </w:tr>
          </w:tbl>
          <w:p w14:paraId="0A31B972">
            <w:pPr>
              <w:wordWrap/>
              <w:ind w:firstLine="482" w:firstLineChars="200"/>
              <w:jc w:val="both"/>
              <w:rPr>
                <w:rFonts w:hint="eastAsia" w:ascii="Times New Roman" w:hAnsi="Times New Roman" w:cs="Times New Roman" w:eastAsiaTheme="minorEastAsia"/>
                <w:b/>
                <w:bCs/>
                <w:szCs w:val="32"/>
              </w:rPr>
            </w:pPr>
            <w:r>
              <w:rPr>
                <w:rFonts w:ascii="Times New Roman" w:hAnsi="Times New Roman" w:cs="Times New Roman" w:eastAsiaTheme="minorEastAsia"/>
                <w:b/>
                <w:bCs/>
                <w:szCs w:val="32"/>
              </w:rPr>
              <w:t>综上，本项目符合《四川省、重庆市长江经济带发展负面清单实施细则（试行，2022年版）》（川长江办〔2022〕17号）要求</w:t>
            </w:r>
            <w:r>
              <w:rPr>
                <w:rFonts w:hint="eastAsia" w:ascii="Times New Roman" w:hAnsi="Times New Roman" w:cs="Times New Roman" w:eastAsiaTheme="minorEastAsia"/>
                <w:b/>
                <w:bCs/>
                <w:szCs w:val="32"/>
              </w:rPr>
              <w:t>。</w:t>
            </w:r>
          </w:p>
          <w:p w14:paraId="714B7AC0">
            <w:pPr>
              <w:wordWrap/>
              <w:bidi w:val="0"/>
              <w:ind w:firstLine="482" w:firstLineChars="200"/>
              <w:jc w:val="both"/>
              <w:rPr>
                <w:rFonts w:hint="eastAsia" w:ascii="Times New Roman" w:hAnsi="Times New Roman" w:eastAsiaTheme="minorEastAsia" w:cstheme="minorBidi"/>
                <w:b/>
                <w:bCs/>
                <w:szCs w:val="24"/>
                <w:lang w:eastAsia="zh-CN"/>
              </w:rPr>
            </w:pPr>
            <w:r>
              <w:rPr>
                <w:rFonts w:hint="eastAsia" w:ascii="Times New Roman" w:hAnsi="Times New Roman" w:eastAsiaTheme="minorEastAsia" w:cstheme="minorBidi"/>
                <w:b/>
                <w:bCs/>
                <w:szCs w:val="24"/>
                <w:lang w:val="en-US" w:eastAsia="zh-CN"/>
              </w:rPr>
              <w:t>（3）</w:t>
            </w:r>
            <w:r>
              <w:rPr>
                <w:rFonts w:hint="default" w:ascii="Times New Roman" w:hAnsi="Times New Roman" w:eastAsiaTheme="minorEastAsia" w:cstheme="minorBidi"/>
                <w:b/>
                <w:bCs/>
                <w:szCs w:val="24"/>
                <w:lang w:eastAsia="zh-CN"/>
              </w:rPr>
              <w:t>与长江保护法、嘉陵江流域保护</w:t>
            </w:r>
            <w:r>
              <w:rPr>
                <w:rFonts w:hint="eastAsia" w:ascii="Times New Roman" w:hAnsi="Times New Roman" w:eastAsiaTheme="minorEastAsia" w:cstheme="minorBidi"/>
                <w:b/>
                <w:bCs/>
                <w:szCs w:val="24"/>
                <w:lang w:eastAsia="zh-CN"/>
              </w:rPr>
              <w:t>条例的符合性分析</w:t>
            </w:r>
          </w:p>
          <w:p w14:paraId="7B095682">
            <w:pPr>
              <w:widowControl w:val="0"/>
              <w:wordWrap/>
              <w:spacing w:line="360" w:lineRule="auto"/>
              <w:ind w:firstLine="480" w:firstLineChars="200"/>
              <w:jc w:val="both"/>
              <w:rPr>
                <w:rFonts w:hint="eastAsia" w:ascii="Times New Roman" w:hAnsi="Times New Roman" w:eastAsia="宋体" w:cs="Times New Roman"/>
                <w:color w:val="auto"/>
                <w:kern w:val="24"/>
                <w:sz w:val="24"/>
                <w:szCs w:val="24"/>
                <w:lang w:val="en-US" w:eastAsia="zh-CN" w:bidi="ar-SA"/>
              </w:rPr>
            </w:pPr>
            <w:r>
              <w:rPr>
                <w:rFonts w:ascii="Times New Roman" w:hAnsi="Times New Roman" w:eastAsia="宋体" w:cs="Times New Roman"/>
                <w:color w:val="auto"/>
                <w:kern w:val="24"/>
                <w:sz w:val="24"/>
                <w:szCs w:val="24"/>
                <w:lang w:val="en-US" w:eastAsia="zh-CN" w:bidi="ar-SA"/>
              </w:rPr>
              <w:t>本项目涉及的地表水体</w:t>
            </w:r>
            <w:r>
              <w:rPr>
                <w:rFonts w:hint="eastAsia" w:ascii="Times New Roman" w:hAnsi="Times New Roman" w:eastAsia="宋体" w:cs="Times New Roman"/>
                <w:color w:val="auto"/>
                <w:kern w:val="24"/>
                <w:sz w:val="24"/>
                <w:szCs w:val="24"/>
                <w:lang w:val="en-US" w:eastAsia="zh-CN" w:bidi="ar-SA"/>
              </w:rPr>
              <w:t>为州河，</w:t>
            </w:r>
            <w:r>
              <w:rPr>
                <w:rFonts w:ascii="Times New Roman" w:hAnsi="Times New Roman" w:eastAsia="宋体" w:cs="Times New Roman"/>
                <w:color w:val="auto"/>
                <w:kern w:val="24"/>
                <w:sz w:val="24"/>
                <w:szCs w:val="24"/>
                <w:lang w:val="en-US" w:eastAsia="zh-CN" w:bidi="ar-SA"/>
              </w:rPr>
              <w:t>属于长江支流（汇入顺序：</w:t>
            </w:r>
            <w:r>
              <w:rPr>
                <w:rFonts w:hint="eastAsia" w:ascii="Times New Roman" w:hAnsi="Times New Roman" w:eastAsia="宋体" w:cs="Times New Roman"/>
                <w:color w:val="auto"/>
                <w:kern w:val="24"/>
                <w:sz w:val="24"/>
                <w:szCs w:val="24"/>
                <w:lang w:val="en-US" w:eastAsia="zh-CN" w:bidi="ar-SA"/>
              </w:rPr>
              <w:t>州河</w:t>
            </w:r>
            <w:r>
              <w:rPr>
                <w:rFonts w:ascii="Times New Roman" w:hAnsi="Times New Roman" w:eastAsia="宋体" w:cs="Times New Roman"/>
                <w:color w:val="auto"/>
                <w:kern w:val="24"/>
                <w:sz w:val="24"/>
                <w:szCs w:val="24"/>
                <w:lang w:val="en-US" w:eastAsia="zh-CN" w:bidi="ar-SA"/>
              </w:rPr>
              <w:t>→</w:t>
            </w:r>
            <w:r>
              <w:rPr>
                <w:rFonts w:hint="eastAsia" w:ascii="Times New Roman" w:hAnsi="Times New Roman" w:eastAsia="宋体" w:cs="Times New Roman"/>
                <w:color w:val="auto"/>
                <w:kern w:val="24"/>
                <w:sz w:val="24"/>
                <w:szCs w:val="24"/>
                <w:lang w:val="en-US" w:eastAsia="zh-CN" w:bidi="ar-SA"/>
              </w:rPr>
              <w:t>渠</w:t>
            </w:r>
            <w:r>
              <w:rPr>
                <w:rFonts w:ascii="Times New Roman" w:hAnsi="Times New Roman" w:eastAsia="宋体" w:cs="Times New Roman"/>
                <w:color w:val="auto"/>
                <w:kern w:val="24"/>
                <w:sz w:val="24"/>
                <w:szCs w:val="24"/>
                <w:lang w:val="en-US" w:eastAsia="zh-CN" w:bidi="ar-SA"/>
              </w:rPr>
              <w:t>江→</w:t>
            </w:r>
            <w:r>
              <w:rPr>
                <w:rFonts w:hint="eastAsia" w:ascii="Times New Roman" w:hAnsi="Times New Roman" w:eastAsia="宋体" w:cs="Times New Roman"/>
                <w:color w:val="auto"/>
                <w:kern w:val="24"/>
                <w:sz w:val="24"/>
                <w:szCs w:val="24"/>
                <w:lang w:val="en-US" w:eastAsia="zh-CN" w:bidi="ar-SA"/>
              </w:rPr>
              <w:t>嘉陵江</w:t>
            </w:r>
            <w:r>
              <w:rPr>
                <w:rFonts w:ascii="Times New Roman" w:hAnsi="Times New Roman" w:eastAsia="宋体" w:cs="Times New Roman"/>
                <w:color w:val="auto"/>
                <w:kern w:val="24"/>
                <w:sz w:val="24"/>
                <w:szCs w:val="24"/>
                <w:lang w:val="en-US" w:eastAsia="zh-CN" w:bidi="ar-SA"/>
              </w:rPr>
              <w:t>→长江）</w:t>
            </w:r>
            <w:r>
              <w:rPr>
                <w:rFonts w:hint="eastAsia" w:ascii="Times New Roman" w:hAnsi="Times New Roman" w:eastAsia="宋体" w:cs="Times New Roman"/>
                <w:color w:val="auto"/>
                <w:kern w:val="24"/>
                <w:sz w:val="24"/>
                <w:szCs w:val="24"/>
                <w:lang w:val="en-US" w:eastAsia="zh-CN" w:bidi="ar-SA"/>
              </w:rPr>
              <w:t>。</w:t>
            </w:r>
            <w:r>
              <w:rPr>
                <w:rFonts w:ascii="Times New Roman" w:hAnsi="Times New Roman" w:eastAsia="宋体" w:cs="Times New Roman"/>
                <w:color w:val="auto"/>
                <w:kern w:val="24"/>
                <w:sz w:val="24"/>
                <w:szCs w:val="24"/>
                <w:lang w:val="en-US" w:eastAsia="zh-CN" w:bidi="ar-SA"/>
              </w:rPr>
              <w:t>本项目与《中华人民共和国长江保护法》符合性分析见下表</w:t>
            </w:r>
            <w:r>
              <w:rPr>
                <w:rFonts w:hint="eastAsia" w:ascii="Times New Roman" w:hAnsi="Times New Roman" w:eastAsia="宋体" w:cs="Times New Roman"/>
                <w:color w:val="auto"/>
                <w:kern w:val="24"/>
                <w:sz w:val="24"/>
                <w:szCs w:val="24"/>
                <w:lang w:val="en-US" w:eastAsia="zh-CN" w:bidi="ar-SA"/>
              </w:rPr>
              <w:t>1</w:t>
            </w:r>
            <w:r>
              <w:rPr>
                <w:rFonts w:hint="eastAsia" w:cs="Times New Roman"/>
                <w:color w:val="auto"/>
                <w:kern w:val="24"/>
                <w:sz w:val="24"/>
                <w:szCs w:val="24"/>
                <w:lang w:val="en-US" w:eastAsia="zh-CN" w:bidi="ar-SA"/>
              </w:rPr>
              <w:t>-12</w:t>
            </w:r>
            <w:r>
              <w:rPr>
                <w:rFonts w:hint="eastAsia" w:ascii="Times New Roman" w:hAnsi="Times New Roman" w:eastAsia="宋体" w:cs="Times New Roman"/>
                <w:color w:val="auto"/>
                <w:kern w:val="24"/>
                <w:sz w:val="24"/>
                <w:szCs w:val="24"/>
                <w:lang w:val="en-US" w:eastAsia="zh-CN" w:bidi="ar-SA"/>
              </w:rPr>
              <w:t>。</w:t>
            </w:r>
          </w:p>
          <w:p w14:paraId="3D77ED1E">
            <w:pPr>
              <w:pStyle w:val="7"/>
              <w:bidi w:val="0"/>
              <w:jc w:val="center"/>
              <w:rPr>
                <w:rFonts w:hint="default"/>
                <w:lang w:val="en-US" w:eastAsia="zh-CN"/>
              </w:rPr>
            </w:pPr>
            <w:r>
              <w:rPr>
                <w:rFonts w:hint="eastAsia"/>
                <w:lang w:val="en-US" w:eastAsia="zh-CN"/>
              </w:rPr>
              <w:t>表1-12  与《中华人民共和国长江保护法》符合性分析</w:t>
            </w:r>
          </w:p>
          <w:tbl>
            <w:tblPr>
              <w:tblStyle w:val="31"/>
              <w:tblW w:w="8855"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06"/>
              <w:gridCol w:w="3621"/>
              <w:gridCol w:w="3657"/>
              <w:gridCol w:w="771"/>
            </w:tblGrid>
            <w:tr w14:paraId="4436572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8" w:hRule="atLeast"/>
                <w:jc w:val="center"/>
              </w:trPr>
              <w:tc>
                <w:tcPr>
                  <w:tcW w:w="806" w:type="dxa"/>
                  <w:tcBorders>
                    <w:top w:val="single" w:color="auto" w:sz="8" w:space="0"/>
                    <w:right w:val="single" w:color="auto" w:sz="8" w:space="0"/>
                  </w:tcBorders>
                  <w:shd w:val="clear" w:color="auto" w:fill="auto"/>
                  <w:vAlign w:val="center"/>
                </w:tcPr>
                <w:p w14:paraId="4F32F788">
                  <w:pPr>
                    <w:pStyle w:val="5"/>
                    <w:bidi w:val="0"/>
                    <w:jc w:val="center"/>
                    <w:rPr>
                      <w:rFonts w:hint="eastAsia"/>
                      <w:b/>
                      <w:bCs/>
                      <w:lang w:val="en-US" w:eastAsia="zh-CN"/>
                    </w:rPr>
                  </w:pPr>
                  <w:r>
                    <w:rPr>
                      <w:b/>
                      <w:bCs/>
                    </w:rPr>
                    <w:t>序号</w:t>
                  </w:r>
                </w:p>
              </w:tc>
              <w:tc>
                <w:tcPr>
                  <w:tcW w:w="3621" w:type="dxa"/>
                  <w:tcBorders>
                    <w:top w:val="single" w:color="auto" w:sz="8" w:space="0"/>
                    <w:left w:val="single" w:color="auto" w:sz="8" w:space="0"/>
                    <w:right w:val="single" w:color="auto" w:sz="8" w:space="0"/>
                  </w:tcBorders>
                  <w:shd w:val="clear" w:color="auto" w:fill="auto"/>
                  <w:vAlign w:val="center"/>
                </w:tcPr>
                <w:p w14:paraId="463F16B1">
                  <w:pPr>
                    <w:pStyle w:val="5"/>
                    <w:bidi w:val="0"/>
                    <w:jc w:val="center"/>
                    <w:rPr>
                      <w:rFonts w:hint="eastAsia"/>
                      <w:b/>
                      <w:bCs/>
                      <w:lang w:val="en-US" w:eastAsia="zh-CN"/>
                    </w:rPr>
                  </w:pPr>
                  <w:r>
                    <w:rPr>
                      <w:b/>
                      <w:bCs/>
                    </w:rPr>
                    <w:t>规范要求</w:t>
                  </w:r>
                </w:p>
              </w:tc>
              <w:tc>
                <w:tcPr>
                  <w:tcW w:w="3657" w:type="dxa"/>
                  <w:tcBorders>
                    <w:top w:val="single" w:color="auto" w:sz="8" w:space="0"/>
                    <w:left w:val="single" w:color="auto" w:sz="8" w:space="0"/>
                    <w:right w:val="single" w:color="auto" w:sz="8" w:space="0"/>
                  </w:tcBorders>
                  <w:shd w:val="clear" w:color="auto" w:fill="auto"/>
                  <w:vAlign w:val="center"/>
                </w:tcPr>
                <w:p w14:paraId="67E8F5DC">
                  <w:pPr>
                    <w:pStyle w:val="5"/>
                    <w:bidi w:val="0"/>
                    <w:jc w:val="center"/>
                    <w:rPr>
                      <w:rFonts w:hint="eastAsia"/>
                      <w:b/>
                      <w:bCs/>
                      <w:lang w:val="en-US" w:eastAsia="zh-CN"/>
                    </w:rPr>
                  </w:pPr>
                  <w:r>
                    <w:rPr>
                      <w:b/>
                      <w:bCs/>
                    </w:rPr>
                    <w:t>本项目建设情况</w:t>
                  </w:r>
                </w:p>
              </w:tc>
              <w:tc>
                <w:tcPr>
                  <w:tcW w:w="771" w:type="dxa"/>
                  <w:tcBorders>
                    <w:top w:val="single" w:color="auto" w:sz="8" w:space="0"/>
                    <w:left w:val="single" w:color="auto" w:sz="8" w:space="0"/>
                  </w:tcBorders>
                  <w:shd w:val="clear" w:color="auto" w:fill="auto"/>
                  <w:vAlign w:val="center"/>
                </w:tcPr>
                <w:p w14:paraId="48EA24C4">
                  <w:pPr>
                    <w:pStyle w:val="5"/>
                    <w:bidi w:val="0"/>
                    <w:jc w:val="center"/>
                    <w:rPr>
                      <w:rFonts w:hint="eastAsia"/>
                      <w:b/>
                      <w:bCs/>
                      <w:lang w:val="en-US" w:eastAsia="zh-CN"/>
                    </w:rPr>
                  </w:pPr>
                  <w:r>
                    <w:rPr>
                      <w:rFonts w:hint="eastAsia"/>
                      <w:b/>
                      <w:bCs/>
                      <w:lang w:val="en-US" w:eastAsia="zh-CN"/>
                    </w:rPr>
                    <w:t>符合性</w:t>
                  </w:r>
                </w:p>
              </w:tc>
            </w:tr>
            <w:tr w14:paraId="3C12D66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right w:val="single" w:color="auto" w:sz="8" w:space="0"/>
                  </w:tcBorders>
                  <w:vAlign w:val="center"/>
                </w:tcPr>
                <w:p w14:paraId="09B62622">
                  <w:pPr>
                    <w:pStyle w:val="5"/>
                    <w:bidi w:val="0"/>
                    <w:jc w:val="center"/>
                    <w:rPr>
                      <w:rFonts w:hint="eastAsia"/>
                      <w:lang w:val="en-US" w:eastAsia="zh-CN"/>
                    </w:rPr>
                  </w:pPr>
                  <w:r>
                    <w:rPr>
                      <w:rFonts w:hint="eastAsia"/>
                      <w:lang w:val="en-US" w:eastAsia="zh-CN"/>
                    </w:rPr>
                    <w:t>1</w:t>
                  </w:r>
                </w:p>
              </w:tc>
              <w:tc>
                <w:tcPr>
                  <w:tcW w:w="3621" w:type="dxa"/>
                  <w:tcBorders>
                    <w:left w:val="single" w:color="auto" w:sz="8" w:space="0"/>
                    <w:right w:val="single" w:color="auto" w:sz="8" w:space="0"/>
                  </w:tcBorders>
                  <w:vAlign w:val="center"/>
                </w:tcPr>
                <w:p w14:paraId="16E77B9E">
                  <w:pPr>
                    <w:pStyle w:val="5"/>
                    <w:bidi w:val="0"/>
                    <w:jc w:val="both"/>
                    <w:rPr>
                      <w:rFonts w:hint="eastAsia"/>
                      <w:lang w:val="en-US" w:eastAsia="zh-CN"/>
                    </w:rPr>
                  </w:pPr>
                  <w:r>
                    <w:rPr>
                      <w:rFonts w:hint="eastAsia"/>
                      <w:lang w:val="en-US" w:eastAsia="zh-CN"/>
                    </w:rPr>
                    <w:t>第二十一条 长江流域水质超标的水功能区，应当实施更严格的污染物排放总量削减要求。企业事业单位应当按照要求，采取污染物排放总量控制措施。</w:t>
                  </w:r>
                </w:p>
              </w:tc>
              <w:tc>
                <w:tcPr>
                  <w:tcW w:w="3657" w:type="dxa"/>
                  <w:tcBorders>
                    <w:left w:val="single" w:color="auto" w:sz="8" w:space="0"/>
                    <w:right w:val="single" w:color="auto" w:sz="8" w:space="0"/>
                  </w:tcBorders>
                  <w:vAlign w:val="center"/>
                </w:tcPr>
                <w:p w14:paraId="4C47E0B7">
                  <w:pPr>
                    <w:pStyle w:val="5"/>
                    <w:bidi w:val="0"/>
                    <w:jc w:val="both"/>
                    <w:rPr>
                      <w:rFonts w:hint="eastAsia"/>
                      <w:lang w:val="en-US" w:eastAsia="zh-CN"/>
                    </w:rPr>
                  </w:pPr>
                  <w:r>
                    <w:rPr>
                      <w:rFonts w:hint="eastAsia"/>
                      <w:lang w:val="en-US" w:eastAsia="zh-CN"/>
                    </w:rPr>
                    <w:t>项目生活污水进入园区一体化污水处理设施处理后，排入魏兴场镇污水处理厂，污水达《城镇污水处理厂污染物排放标准》（GB18918—2002）一级A标准后，排入州河。</w:t>
                  </w:r>
                </w:p>
              </w:tc>
              <w:tc>
                <w:tcPr>
                  <w:tcW w:w="771" w:type="dxa"/>
                  <w:tcBorders>
                    <w:left w:val="single" w:color="auto" w:sz="8" w:space="0"/>
                  </w:tcBorders>
                  <w:vAlign w:val="center"/>
                </w:tcPr>
                <w:p w14:paraId="0B92C3EF">
                  <w:pPr>
                    <w:pStyle w:val="5"/>
                    <w:bidi w:val="0"/>
                    <w:jc w:val="center"/>
                    <w:rPr>
                      <w:rFonts w:hint="eastAsia"/>
                      <w:lang w:val="en-US" w:eastAsia="zh-CN"/>
                    </w:rPr>
                  </w:pPr>
                  <w:r>
                    <w:rPr>
                      <w:rFonts w:hint="eastAsia"/>
                      <w:lang w:val="en-US" w:eastAsia="zh-CN"/>
                    </w:rPr>
                    <w:t>符合</w:t>
                  </w:r>
                </w:p>
              </w:tc>
            </w:tr>
            <w:tr w14:paraId="196BC9C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right w:val="single" w:color="auto" w:sz="8" w:space="0"/>
                  </w:tcBorders>
                  <w:vAlign w:val="center"/>
                </w:tcPr>
                <w:p w14:paraId="328AEFD1">
                  <w:pPr>
                    <w:pStyle w:val="5"/>
                    <w:bidi w:val="0"/>
                    <w:jc w:val="center"/>
                    <w:rPr>
                      <w:rFonts w:hint="eastAsia"/>
                      <w:lang w:val="en-US" w:eastAsia="zh-CN"/>
                    </w:rPr>
                  </w:pPr>
                  <w:r>
                    <w:rPr>
                      <w:rFonts w:hint="eastAsia"/>
                      <w:lang w:val="en-US" w:eastAsia="zh-CN"/>
                    </w:rPr>
                    <w:t>2</w:t>
                  </w:r>
                </w:p>
              </w:tc>
              <w:tc>
                <w:tcPr>
                  <w:tcW w:w="3621" w:type="dxa"/>
                  <w:tcBorders>
                    <w:left w:val="single" w:color="auto" w:sz="8" w:space="0"/>
                    <w:right w:val="single" w:color="auto" w:sz="8" w:space="0"/>
                  </w:tcBorders>
                  <w:vAlign w:val="center"/>
                </w:tcPr>
                <w:p w14:paraId="7CFD4DB9">
                  <w:pPr>
                    <w:pStyle w:val="5"/>
                    <w:bidi w:val="0"/>
                    <w:jc w:val="both"/>
                    <w:rPr>
                      <w:rFonts w:hint="eastAsia"/>
                      <w:lang w:val="en-US" w:eastAsia="zh-CN"/>
                    </w:rPr>
                  </w:pPr>
                  <w:r>
                    <w:rPr>
                      <w:rFonts w:hint="eastAsia"/>
                      <w:lang w:val="en-US" w:eastAsia="zh-CN"/>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3657" w:type="dxa"/>
                  <w:tcBorders>
                    <w:left w:val="single" w:color="auto" w:sz="8" w:space="0"/>
                    <w:right w:val="single" w:color="auto" w:sz="8" w:space="0"/>
                  </w:tcBorders>
                  <w:vAlign w:val="center"/>
                </w:tcPr>
                <w:p w14:paraId="125CAF1F">
                  <w:pPr>
                    <w:pStyle w:val="5"/>
                    <w:bidi w:val="0"/>
                    <w:jc w:val="both"/>
                    <w:rPr>
                      <w:rFonts w:hint="eastAsia"/>
                      <w:lang w:val="en-US" w:eastAsia="zh-CN"/>
                    </w:rPr>
                  </w:pPr>
                  <w:r>
                    <w:rPr>
                      <w:rFonts w:hint="eastAsia"/>
                      <w:lang w:val="en-US" w:eastAsia="zh-CN"/>
                    </w:rPr>
                    <w:t>项目所在地不属于长江流域重点生态功能区，对生态系统不会造成严重影响，也不属于重污染项目</w:t>
                  </w:r>
                </w:p>
              </w:tc>
              <w:tc>
                <w:tcPr>
                  <w:tcW w:w="771" w:type="dxa"/>
                  <w:tcBorders>
                    <w:left w:val="single" w:color="auto" w:sz="8" w:space="0"/>
                  </w:tcBorders>
                  <w:vAlign w:val="center"/>
                </w:tcPr>
                <w:p w14:paraId="615AABE7">
                  <w:pPr>
                    <w:pStyle w:val="5"/>
                    <w:bidi w:val="0"/>
                    <w:jc w:val="center"/>
                    <w:rPr>
                      <w:rFonts w:hint="eastAsia"/>
                    </w:rPr>
                  </w:pPr>
                  <w:r>
                    <w:rPr>
                      <w:rFonts w:hint="eastAsia"/>
                      <w:lang w:val="en-US" w:eastAsia="zh-CN"/>
                    </w:rPr>
                    <w:t>符合</w:t>
                  </w:r>
                </w:p>
              </w:tc>
            </w:tr>
            <w:tr w14:paraId="408F2AB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right w:val="single" w:color="auto" w:sz="8" w:space="0"/>
                  </w:tcBorders>
                  <w:vAlign w:val="center"/>
                </w:tcPr>
                <w:p w14:paraId="6D1DE0B6">
                  <w:pPr>
                    <w:pStyle w:val="5"/>
                    <w:bidi w:val="0"/>
                    <w:jc w:val="center"/>
                    <w:rPr>
                      <w:rFonts w:hint="default"/>
                      <w:lang w:val="en-US" w:eastAsia="zh-CN"/>
                    </w:rPr>
                  </w:pPr>
                  <w:r>
                    <w:rPr>
                      <w:rFonts w:hint="eastAsia"/>
                      <w:lang w:val="en-US" w:eastAsia="zh-CN"/>
                    </w:rPr>
                    <w:t>3</w:t>
                  </w:r>
                </w:p>
              </w:tc>
              <w:tc>
                <w:tcPr>
                  <w:tcW w:w="3621" w:type="dxa"/>
                  <w:tcBorders>
                    <w:left w:val="single" w:color="auto" w:sz="8" w:space="0"/>
                    <w:right w:val="single" w:color="auto" w:sz="8" w:space="0"/>
                  </w:tcBorders>
                  <w:shd w:val="clear" w:color="auto" w:fill="auto"/>
                  <w:vAlign w:val="center"/>
                </w:tcPr>
                <w:p w14:paraId="5C87D3AB">
                  <w:pPr>
                    <w:pStyle w:val="5"/>
                    <w:bidi w:val="0"/>
                    <w:jc w:val="both"/>
                    <w:rPr>
                      <w:rFonts w:hint="eastAsia"/>
                      <w:lang w:val="en-US" w:eastAsia="zh-CN"/>
                    </w:rPr>
                  </w:pPr>
                  <w:r>
                    <w:rPr>
                      <w:rFonts w:hint="eastAsia"/>
                      <w:lang w:val="en-US" w:eastAsia="zh-CN"/>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3657" w:type="dxa"/>
                  <w:tcBorders>
                    <w:left w:val="single" w:color="auto" w:sz="8" w:space="0"/>
                    <w:right w:val="single" w:color="auto" w:sz="8" w:space="0"/>
                  </w:tcBorders>
                  <w:shd w:val="clear" w:color="auto" w:fill="auto"/>
                  <w:vAlign w:val="center"/>
                </w:tcPr>
                <w:p w14:paraId="519ABAEE">
                  <w:pPr>
                    <w:pStyle w:val="5"/>
                    <w:bidi w:val="0"/>
                    <w:jc w:val="both"/>
                    <w:rPr>
                      <w:rFonts w:hint="eastAsia"/>
                      <w:lang w:val="en-US" w:eastAsia="zh-CN"/>
                    </w:rPr>
                  </w:pPr>
                  <w:r>
                    <w:rPr>
                      <w:rFonts w:hint="eastAsia"/>
                      <w:lang w:val="en-US" w:eastAsia="zh-CN"/>
                    </w:rPr>
                    <w:t>本项目不属于化工园区和化工项目，不属于尾矿库。</w:t>
                  </w:r>
                </w:p>
              </w:tc>
              <w:tc>
                <w:tcPr>
                  <w:tcW w:w="771" w:type="dxa"/>
                  <w:tcBorders>
                    <w:left w:val="single" w:color="auto" w:sz="8" w:space="0"/>
                  </w:tcBorders>
                  <w:vAlign w:val="center"/>
                </w:tcPr>
                <w:p w14:paraId="10783268">
                  <w:pPr>
                    <w:pStyle w:val="5"/>
                    <w:bidi w:val="0"/>
                    <w:jc w:val="center"/>
                    <w:rPr>
                      <w:rFonts w:hint="default"/>
                      <w:lang w:val="en-US" w:eastAsia="zh-CN"/>
                    </w:rPr>
                  </w:pPr>
                  <w:r>
                    <w:rPr>
                      <w:rFonts w:hint="eastAsia"/>
                      <w:lang w:val="en-US" w:eastAsia="zh-CN"/>
                    </w:rPr>
                    <w:t>符合</w:t>
                  </w:r>
                </w:p>
              </w:tc>
            </w:tr>
            <w:tr w14:paraId="0BE3277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right w:val="single" w:color="auto" w:sz="8" w:space="0"/>
                  </w:tcBorders>
                  <w:vAlign w:val="center"/>
                </w:tcPr>
                <w:p w14:paraId="3C901D69">
                  <w:pPr>
                    <w:pStyle w:val="5"/>
                    <w:bidi w:val="0"/>
                    <w:jc w:val="center"/>
                    <w:rPr>
                      <w:rFonts w:hint="eastAsia"/>
                      <w:lang w:val="en-US" w:eastAsia="zh-CN"/>
                    </w:rPr>
                  </w:pPr>
                  <w:r>
                    <w:rPr>
                      <w:rFonts w:hint="eastAsia"/>
                      <w:lang w:val="en-US" w:eastAsia="zh-CN"/>
                    </w:rPr>
                    <w:t>4</w:t>
                  </w:r>
                </w:p>
              </w:tc>
              <w:tc>
                <w:tcPr>
                  <w:tcW w:w="3621" w:type="dxa"/>
                  <w:tcBorders>
                    <w:left w:val="single" w:color="auto" w:sz="8" w:space="0"/>
                    <w:right w:val="single" w:color="auto" w:sz="8" w:space="0"/>
                  </w:tcBorders>
                  <w:shd w:val="clear" w:color="auto" w:fill="auto"/>
                  <w:vAlign w:val="center"/>
                </w:tcPr>
                <w:p w14:paraId="6BE8A91A">
                  <w:pPr>
                    <w:pStyle w:val="5"/>
                    <w:bidi w:val="0"/>
                    <w:jc w:val="both"/>
                    <w:rPr>
                      <w:rFonts w:hint="eastAsia"/>
                      <w:lang w:val="en-US" w:eastAsia="zh-CN"/>
                    </w:rPr>
                  </w:pPr>
                  <w:r>
                    <w:rPr>
                      <w:rFonts w:hint="eastAsia"/>
                      <w:lang w:val="en-US" w:eastAsia="zh-CN"/>
                    </w:rPr>
                    <w:t>第四十九条 禁止在长江流域河湖管理范围内倾倒、填埋、堆放、弃置、处理固体废物。</w:t>
                  </w:r>
                </w:p>
              </w:tc>
              <w:tc>
                <w:tcPr>
                  <w:tcW w:w="3657" w:type="dxa"/>
                  <w:tcBorders>
                    <w:left w:val="single" w:color="auto" w:sz="8" w:space="0"/>
                    <w:right w:val="single" w:color="auto" w:sz="8" w:space="0"/>
                  </w:tcBorders>
                  <w:shd w:val="clear" w:color="auto" w:fill="auto"/>
                  <w:vAlign w:val="center"/>
                </w:tcPr>
                <w:p w14:paraId="2E8E346F">
                  <w:pPr>
                    <w:pStyle w:val="5"/>
                    <w:bidi w:val="0"/>
                    <w:jc w:val="both"/>
                    <w:rPr>
                      <w:rFonts w:hint="eastAsia"/>
                      <w:lang w:val="en-US" w:eastAsia="zh-CN"/>
                    </w:rPr>
                  </w:pPr>
                  <w:r>
                    <w:rPr>
                      <w:rFonts w:hint="eastAsia"/>
                      <w:lang w:val="en-US" w:eastAsia="zh-CN"/>
                    </w:rPr>
                    <w:t>本项目固体废物得到合理处置，不涉及在长江流域河湖管理范围内倾倒、填埋、堆放、弃置、处理固体废物。</w:t>
                  </w:r>
                </w:p>
              </w:tc>
              <w:tc>
                <w:tcPr>
                  <w:tcW w:w="771" w:type="dxa"/>
                  <w:tcBorders>
                    <w:left w:val="single" w:color="auto" w:sz="8" w:space="0"/>
                  </w:tcBorders>
                  <w:vAlign w:val="center"/>
                </w:tcPr>
                <w:p w14:paraId="0F66FE63">
                  <w:pPr>
                    <w:pStyle w:val="5"/>
                    <w:bidi w:val="0"/>
                    <w:jc w:val="center"/>
                    <w:rPr>
                      <w:rFonts w:hint="eastAsia"/>
                      <w:lang w:val="en-US" w:eastAsia="zh-CN"/>
                    </w:rPr>
                  </w:pPr>
                  <w:r>
                    <w:rPr>
                      <w:rFonts w:hint="eastAsia"/>
                      <w:lang w:val="en-US" w:eastAsia="zh-CN"/>
                    </w:rPr>
                    <w:t>符合</w:t>
                  </w:r>
                </w:p>
              </w:tc>
            </w:tr>
            <w:tr w14:paraId="48F5D78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right w:val="single" w:color="auto" w:sz="8" w:space="0"/>
                  </w:tcBorders>
                  <w:vAlign w:val="center"/>
                </w:tcPr>
                <w:p w14:paraId="17C72680">
                  <w:pPr>
                    <w:pStyle w:val="5"/>
                    <w:bidi w:val="0"/>
                    <w:jc w:val="center"/>
                    <w:rPr>
                      <w:rFonts w:hint="default"/>
                      <w:lang w:val="en-US" w:eastAsia="zh-CN"/>
                    </w:rPr>
                  </w:pPr>
                  <w:r>
                    <w:rPr>
                      <w:rFonts w:hint="eastAsia"/>
                      <w:lang w:val="en-US" w:eastAsia="zh-CN"/>
                    </w:rPr>
                    <w:t>5</w:t>
                  </w:r>
                </w:p>
              </w:tc>
              <w:tc>
                <w:tcPr>
                  <w:tcW w:w="3621" w:type="dxa"/>
                  <w:tcBorders>
                    <w:left w:val="single" w:color="auto" w:sz="8" w:space="0"/>
                    <w:right w:val="single" w:color="auto" w:sz="8" w:space="0"/>
                  </w:tcBorders>
                  <w:shd w:val="clear" w:color="auto" w:fill="auto"/>
                  <w:vAlign w:val="center"/>
                </w:tcPr>
                <w:p w14:paraId="449FABB8">
                  <w:pPr>
                    <w:pStyle w:val="5"/>
                    <w:bidi w:val="0"/>
                    <w:jc w:val="both"/>
                    <w:rPr>
                      <w:rFonts w:hint="eastAsia"/>
                      <w:lang w:val="en-US" w:eastAsia="zh-CN"/>
                    </w:rPr>
                  </w:pPr>
                  <w:r>
                    <w:rPr>
                      <w:rFonts w:hint="eastAsia"/>
                      <w:lang w:val="en-US" w:eastAsia="zh-CN"/>
                    </w:rPr>
                    <w:t>第五十一条 禁止在长江流域水上运输剧毒化学品和国家规定禁止通过内河运输的其他危险化学品。</w:t>
                  </w:r>
                </w:p>
              </w:tc>
              <w:tc>
                <w:tcPr>
                  <w:tcW w:w="3657" w:type="dxa"/>
                  <w:tcBorders>
                    <w:left w:val="single" w:color="auto" w:sz="8" w:space="0"/>
                    <w:right w:val="single" w:color="auto" w:sz="8" w:space="0"/>
                  </w:tcBorders>
                  <w:shd w:val="clear" w:color="auto" w:fill="auto"/>
                  <w:vAlign w:val="center"/>
                </w:tcPr>
                <w:p w14:paraId="6A1ED625">
                  <w:pPr>
                    <w:pStyle w:val="5"/>
                    <w:bidi w:val="0"/>
                    <w:jc w:val="both"/>
                    <w:rPr>
                      <w:rFonts w:hint="eastAsia"/>
                      <w:lang w:val="en-US" w:eastAsia="zh-CN"/>
                    </w:rPr>
                  </w:pPr>
                  <w:r>
                    <w:rPr>
                      <w:rFonts w:hint="eastAsia"/>
                      <w:lang w:val="en-US" w:eastAsia="zh-CN"/>
                    </w:rPr>
                    <w:t>本项目不涉及水上运输剧毒化学品和国家规定禁止通过内河运输的其他危险化学品。</w:t>
                  </w:r>
                </w:p>
              </w:tc>
              <w:tc>
                <w:tcPr>
                  <w:tcW w:w="771" w:type="dxa"/>
                  <w:tcBorders>
                    <w:left w:val="single" w:color="auto" w:sz="8" w:space="0"/>
                  </w:tcBorders>
                  <w:vAlign w:val="center"/>
                </w:tcPr>
                <w:p w14:paraId="36FE5E51">
                  <w:pPr>
                    <w:pStyle w:val="5"/>
                    <w:bidi w:val="0"/>
                    <w:jc w:val="center"/>
                    <w:rPr>
                      <w:rFonts w:hint="eastAsia"/>
                      <w:lang w:val="en-US" w:eastAsia="zh-CN"/>
                    </w:rPr>
                  </w:pPr>
                  <w:r>
                    <w:rPr>
                      <w:rFonts w:hint="eastAsia"/>
                      <w:lang w:val="en-US" w:eastAsia="zh-CN"/>
                    </w:rPr>
                    <w:t>符合</w:t>
                  </w:r>
                </w:p>
              </w:tc>
            </w:tr>
            <w:tr w14:paraId="0EC7E2D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06" w:type="dxa"/>
                  <w:tcBorders>
                    <w:bottom w:val="single" w:color="auto" w:sz="8" w:space="0"/>
                    <w:right w:val="single" w:color="auto" w:sz="8" w:space="0"/>
                  </w:tcBorders>
                  <w:vAlign w:val="center"/>
                </w:tcPr>
                <w:p w14:paraId="2459CE05">
                  <w:pPr>
                    <w:pStyle w:val="5"/>
                    <w:bidi w:val="0"/>
                    <w:jc w:val="center"/>
                    <w:rPr>
                      <w:rFonts w:hint="default"/>
                      <w:lang w:val="en-US" w:eastAsia="zh-CN"/>
                    </w:rPr>
                  </w:pPr>
                  <w:r>
                    <w:rPr>
                      <w:rFonts w:hint="eastAsia"/>
                      <w:lang w:val="en-US" w:eastAsia="zh-CN"/>
                    </w:rPr>
                    <w:t>6</w:t>
                  </w:r>
                </w:p>
              </w:tc>
              <w:tc>
                <w:tcPr>
                  <w:tcW w:w="3621" w:type="dxa"/>
                  <w:tcBorders>
                    <w:left w:val="single" w:color="auto" w:sz="8" w:space="0"/>
                    <w:bottom w:val="single" w:color="auto" w:sz="8" w:space="0"/>
                    <w:right w:val="single" w:color="auto" w:sz="8" w:space="0"/>
                  </w:tcBorders>
                  <w:shd w:val="clear" w:color="auto" w:fill="auto"/>
                  <w:vAlign w:val="center"/>
                </w:tcPr>
                <w:p w14:paraId="3D2F7C42">
                  <w:pPr>
                    <w:pStyle w:val="5"/>
                    <w:bidi w:val="0"/>
                    <w:jc w:val="both"/>
                    <w:rPr>
                      <w:rFonts w:hint="eastAsia"/>
                      <w:lang w:val="en-US" w:eastAsia="zh-CN"/>
                    </w:rPr>
                  </w:pPr>
                  <w:r>
                    <w:rPr>
                      <w:rFonts w:hint="eastAsia"/>
                      <w:lang w:val="en-US" w:eastAsia="zh-CN"/>
                    </w:rPr>
                    <w:t>第六十一条 禁止在长江流域水土流失严重、生态脆弱的区域开展可能造成水土流失的生产建设活动。</w:t>
                  </w:r>
                </w:p>
              </w:tc>
              <w:tc>
                <w:tcPr>
                  <w:tcW w:w="3657" w:type="dxa"/>
                  <w:tcBorders>
                    <w:left w:val="single" w:color="auto" w:sz="8" w:space="0"/>
                    <w:bottom w:val="single" w:color="auto" w:sz="8" w:space="0"/>
                    <w:right w:val="single" w:color="auto" w:sz="8" w:space="0"/>
                  </w:tcBorders>
                  <w:shd w:val="clear" w:color="auto" w:fill="auto"/>
                  <w:vAlign w:val="center"/>
                </w:tcPr>
                <w:p w14:paraId="7257797E">
                  <w:pPr>
                    <w:pStyle w:val="5"/>
                    <w:bidi w:val="0"/>
                    <w:jc w:val="both"/>
                    <w:rPr>
                      <w:rFonts w:hint="eastAsia"/>
                      <w:lang w:val="en-US" w:eastAsia="zh-CN"/>
                    </w:rPr>
                  </w:pPr>
                  <w:r>
                    <w:rPr>
                      <w:rFonts w:hint="eastAsia"/>
                      <w:lang w:val="en-US" w:eastAsia="zh-CN"/>
                    </w:rPr>
                    <w:t>本项目厂房位于川菜高新技术产业园区二期，不涉及水土流失严重区、生态脆弱区。</w:t>
                  </w:r>
                </w:p>
              </w:tc>
              <w:tc>
                <w:tcPr>
                  <w:tcW w:w="771" w:type="dxa"/>
                  <w:tcBorders>
                    <w:left w:val="single" w:color="auto" w:sz="8" w:space="0"/>
                    <w:bottom w:val="single" w:color="auto" w:sz="8" w:space="0"/>
                  </w:tcBorders>
                  <w:vAlign w:val="center"/>
                </w:tcPr>
                <w:p w14:paraId="14A04083">
                  <w:pPr>
                    <w:pStyle w:val="5"/>
                    <w:bidi w:val="0"/>
                    <w:jc w:val="center"/>
                    <w:rPr>
                      <w:rFonts w:hint="eastAsia"/>
                      <w:lang w:val="en-US" w:eastAsia="zh-CN"/>
                    </w:rPr>
                  </w:pPr>
                  <w:r>
                    <w:rPr>
                      <w:rFonts w:hint="eastAsia"/>
                      <w:lang w:val="en-US" w:eastAsia="zh-CN"/>
                    </w:rPr>
                    <w:t>符合</w:t>
                  </w:r>
                </w:p>
              </w:tc>
            </w:tr>
          </w:tbl>
          <w:p w14:paraId="48E81F58">
            <w:pPr>
              <w:wordWrap/>
              <w:spacing w:line="367" w:lineRule="auto"/>
              <w:ind w:firstLine="482" w:firstLineChars="200"/>
              <w:jc w:val="both"/>
              <w:textAlignment w:val="baseline"/>
              <w:rPr>
                <w:rFonts w:hint="default" w:ascii="Times New Roman" w:hAnsi="Times New Roman" w:eastAsia="宋体" w:cstheme="minorBidi"/>
                <w:b/>
                <w:bCs w:val="0"/>
                <w:kern w:val="2"/>
                <w:sz w:val="24"/>
                <w:szCs w:val="32"/>
                <w:lang w:val="en-US" w:eastAsia="zh-CN" w:bidi="ar-SA"/>
              </w:rPr>
            </w:pPr>
            <w:r>
              <w:rPr>
                <w:rFonts w:hint="eastAsia" w:cstheme="minorBidi"/>
                <w:b/>
                <w:bCs w:val="0"/>
                <w:kern w:val="2"/>
                <w:sz w:val="24"/>
                <w:szCs w:val="32"/>
                <w:lang w:val="en-US" w:eastAsia="zh-CN" w:bidi="ar-SA"/>
              </w:rPr>
              <w:t>5</w:t>
            </w:r>
            <w:r>
              <w:rPr>
                <w:rFonts w:hint="default" w:ascii="Times New Roman" w:hAnsi="Times New Roman" w:eastAsia="宋体" w:cstheme="minorBidi"/>
                <w:b/>
                <w:bCs w:val="0"/>
                <w:kern w:val="2"/>
                <w:sz w:val="24"/>
                <w:szCs w:val="32"/>
                <w:lang w:val="en-US" w:eastAsia="zh-CN" w:bidi="ar-SA"/>
              </w:rPr>
              <w:t>、与现行的污染防治政策符合性分析</w:t>
            </w:r>
          </w:p>
          <w:p w14:paraId="50D9C859">
            <w:pPr>
              <w:bidi w:val="0"/>
              <w:jc w:val="both"/>
              <w:rPr>
                <w:rFonts w:hint="default"/>
                <w:lang w:val="en-US" w:eastAsia="zh-CN"/>
              </w:rPr>
            </w:pPr>
            <w:r>
              <w:rPr>
                <w:rFonts w:hint="eastAsia"/>
                <w:lang w:val="en-US" w:eastAsia="zh-CN"/>
              </w:rPr>
              <w:t>项目与现行的污染防治政策符合性分析见表1-13。</w:t>
            </w:r>
          </w:p>
          <w:p w14:paraId="3886F741">
            <w:pPr>
              <w:pStyle w:val="7"/>
              <w:bidi w:val="0"/>
              <w:jc w:val="center"/>
              <w:rPr>
                <w:lang w:val="en-US" w:eastAsia="zh-CN"/>
              </w:rPr>
            </w:pPr>
            <w:r>
              <w:rPr>
                <w:lang w:val="en-US" w:eastAsia="zh-CN"/>
              </w:rPr>
              <w:t>表</w:t>
            </w:r>
            <w:r>
              <w:rPr>
                <w:rFonts w:hint="eastAsia"/>
                <w:lang w:val="en-US" w:eastAsia="zh-CN"/>
              </w:rPr>
              <w:t xml:space="preserve">1-13  </w:t>
            </w:r>
            <w:r>
              <w:rPr>
                <w:lang w:val="en-US" w:eastAsia="zh-CN"/>
              </w:rPr>
              <w:t>本项目与现行相关污染防治政策符合性分析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99"/>
              <w:gridCol w:w="4011"/>
              <w:gridCol w:w="2467"/>
              <w:gridCol w:w="778"/>
            </w:tblGrid>
            <w:tr w14:paraId="62E3C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000" w:type="pct"/>
                  <w:gridSpan w:val="4"/>
                  <w:tcBorders>
                    <w:top w:val="single" w:color="auto" w:sz="8" w:space="0"/>
                  </w:tcBorders>
                  <w:vAlign w:val="center"/>
                </w:tcPr>
                <w:p w14:paraId="1571FD30">
                  <w:pPr>
                    <w:pStyle w:val="5"/>
                    <w:bidi w:val="0"/>
                    <w:jc w:val="center"/>
                    <w:rPr>
                      <w:lang w:val="en-US" w:eastAsia="zh-CN"/>
                    </w:rPr>
                  </w:pPr>
                  <w:r>
                    <w:rPr>
                      <w:b/>
                      <w:bCs/>
                      <w:lang w:val="en-US" w:eastAsia="zh-CN"/>
                    </w:rPr>
                    <w:t>与大气污染防治相关符合性分析</w:t>
                  </w:r>
                </w:p>
              </w:tc>
            </w:tr>
            <w:tr w14:paraId="26879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03" w:type="pct"/>
                  <w:vAlign w:val="center"/>
                </w:tcPr>
                <w:p w14:paraId="460AB5AA">
                  <w:pPr>
                    <w:pStyle w:val="5"/>
                    <w:bidi w:val="0"/>
                    <w:jc w:val="center"/>
                    <w:rPr>
                      <w:b/>
                      <w:bCs/>
                      <w:lang w:val="en-US" w:eastAsia="zh-CN"/>
                    </w:rPr>
                  </w:pPr>
                  <w:r>
                    <w:rPr>
                      <w:b/>
                      <w:bCs/>
                      <w:lang w:val="en-US" w:eastAsia="zh-CN"/>
                    </w:rPr>
                    <w:t>法规、规范</w:t>
                  </w:r>
                </w:p>
              </w:tc>
              <w:tc>
                <w:tcPr>
                  <w:tcW w:w="2265" w:type="pct"/>
                  <w:tcBorders>
                    <w:bottom w:val="single" w:color="auto" w:sz="4" w:space="0"/>
                  </w:tcBorders>
                  <w:vAlign w:val="center"/>
                </w:tcPr>
                <w:p w14:paraId="469D1435">
                  <w:pPr>
                    <w:pStyle w:val="5"/>
                    <w:bidi w:val="0"/>
                    <w:jc w:val="center"/>
                    <w:rPr>
                      <w:b/>
                      <w:bCs/>
                      <w:lang w:val="en-US" w:eastAsia="zh-CN"/>
                    </w:rPr>
                  </w:pPr>
                  <w:r>
                    <w:rPr>
                      <w:b/>
                      <w:bCs/>
                      <w:lang w:val="en-US" w:eastAsia="zh-CN"/>
                    </w:rPr>
                    <w:t>相关要求</w:t>
                  </w:r>
                </w:p>
              </w:tc>
              <w:tc>
                <w:tcPr>
                  <w:tcW w:w="1393" w:type="pct"/>
                  <w:tcBorders>
                    <w:bottom w:val="single" w:color="auto" w:sz="4" w:space="0"/>
                  </w:tcBorders>
                  <w:vAlign w:val="center"/>
                </w:tcPr>
                <w:p w14:paraId="3F22A223">
                  <w:pPr>
                    <w:pStyle w:val="5"/>
                    <w:bidi w:val="0"/>
                    <w:jc w:val="center"/>
                    <w:rPr>
                      <w:b/>
                      <w:bCs/>
                      <w:lang w:val="en-US" w:eastAsia="zh-CN"/>
                    </w:rPr>
                  </w:pPr>
                  <w:r>
                    <w:rPr>
                      <w:b/>
                      <w:bCs/>
                      <w:lang w:val="en-US" w:eastAsia="zh-CN"/>
                    </w:rPr>
                    <w:t>本项目情况</w:t>
                  </w:r>
                </w:p>
              </w:tc>
              <w:tc>
                <w:tcPr>
                  <w:tcW w:w="437" w:type="pct"/>
                  <w:vAlign w:val="center"/>
                </w:tcPr>
                <w:p w14:paraId="14184182">
                  <w:pPr>
                    <w:pStyle w:val="5"/>
                    <w:bidi w:val="0"/>
                    <w:jc w:val="center"/>
                    <w:rPr>
                      <w:b/>
                      <w:bCs/>
                      <w:lang w:val="en-US" w:eastAsia="zh-CN"/>
                    </w:rPr>
                  </w:pPr>
                  <w:r>
                    <w:rPr>
                      <w:b/>
                      <w:bCs/>
                      <w:lang w:val="en-US" w:eastAsia="zh-CN"/>
                    </w:rPr>
                    <w:t>符合性分析</w:t>
                  </w:r>
                </w:p>
              </w:tc>
            </w:tr>
            <w:tr w14:paraId="13302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03" w:type="pct"/>
                  <w:vAlign w:val="center"/>
                </w:tcPr>
                <w:p w14:paraId="1129377A">
                  <w:pPr>
                    <w:pStyle w:val="5"/>
                    <w:bidi w:val="0"/>
                    <w:jc w:val="center"/>
                    <w:rPr>
                      <w:lang w:val="en-US" w:eastAsia="zh-CN"/>
                    </w:rPr>
                  </w:pPr>
                  <w:r>
                    <w:rPr>
                      <w:lang w:val="en-US" w:eastAsia="zh-CN"/>
                    </w:rPr>
                    <w:t>《中华人民共和国大气污染防治法》（2018年修订）</w:t>
                  </w:r>
                </w:p>
              </w:tc>
              <w:tc>
                <w:tcPr>
                  <w:tcW w:w="2265" w:type="pct"/>
                  <w:tcBorders>
                    <w:bottom w:val="single" w:color="auto" w:sz="4" w:space="0"/>
                  </w:tcBorders>
                  <w:vAlign w:val="center"/>
                </w:tcPr>
                <w:p w14:paraId="04A161A6">
                  <w:pPr>
                    <w:pStyle w:val="5"/>
                    <w:bidi w:val="0"/>
                    <w:jc w:val="both"/>
                    <w:rPr>
                      <w:lang w:val="en-US" w:eastAsia="zh-CN"/>
                    </w:rPr>
                  </w:pPr>
                  <w:r>
                    <w:rPr>
                      <w:lang w:val="en-US" w:eastAsia="zh-CN"/>
                    </w:rPr>
                    <w:t>第四十八条 钢铁、建材、有色金属、石油、化工、制药、矿产开采等企业，应当加强精细化管理，采取集中收集处理等措施，严格控制粉尘和气态污染物的排放。</w:t>
                  </w:r>
                </w:p>
                <w:p w14:paraId="6220F2E1">
                  <w:pPr>
                    <w:pStyle w:val="5"/>
                    <w:bidi w:val="0"/>
                    <w:jc w:val="both"/>
                    <w:rPr>
                      <w:lang w:val="en-US" w:eastAsia="zh-CN"/>
                    </w:rPr>
                  </w:pPr>
                  <w:r>
                    <w:rPr>
                      <w:lang w:val="en-US" w:eastAsia="zh-CN"/>
                    </w:rPr>
                    <w:t>工业生产企业应当采取密闭、围挡、遮盖、清扫、洒水等措施，减少内部物料的堆存、传输、装卸等环节产生的粉尘和气态污染物的排放。</w:t>
                  </w:r>
                </w:p>
              </w:tc>
              <w:tc>
                <w:tcPr>
                  <w:tcW w:w="1393" w:type="pct"/>
                  <w:tcBorders>
                    <w:bottom w:val="single" w:color="auto" w:sz="4" w:space="0"/>
                  </w:tcBorders>
                  <w:vAlign w:val="center"/>
                </w:tcPr>
                <w:p w14:paraId="65EF083C">
                  <w:pPr>
                    <w:pStyle w:val="5"/>
                    <w:bidi w:val="0"/>
                    <w:jc w:val="both"/>
                    <w:rPr>
                      <w:lang w:val="en-US" w:eastAsia="zh-CN"/>
                    </w:rPr>
                  </w:pPr>
                  <w:r>
                    <w:rPr>
                      <w:lang w:val="en-US" w:eastAsia="zh-CN"/>
                    </w:rPr>
                    <w:t>本项目不属于前述企业。</w:t>
                  </w:r>
                </w:p>
              </w:tc>
              <w:tc>
                <w:tcPr>
                  <w:tcW w:w="437" w:type="pct"/>
                  <w:vAlign w:val="center"/>
                </w:tcPr>
                <w:p w14:paraId="3C71B070">
                  <w:pPr>
                    <w:pStyle w:val="5"/>
                    <w:bidi w:val="0"/>
                    <w:jc w:val="center"/>
                    <w:rPr>
                      <w:lang w:val="en-US" w:eastAsia="zh-CN"/>
                    </w:rPr>
                  </w:pPr>
                  <w:r>
                    <w:rPr>
                      <w:lang w:val="en-US" w:eastAsia="zh-CN"/>
                    </w:rPr>
                    <w:t>符合</w:t>
                  </w:r>
                </w:p>
              </w:tc>
            </w:tr>
            <w:tr w14:paraId="192F6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82" w:hRule="atLeast"/>
                <w:jc w:val="center"/>
              </w:trPr>
              <w:tc>
                <w:tcPr>
                  <w:tcW w:w="903" w:type="pct"/>
                  <w:vMerge w:val="restart"/>
                  <w:vAlign w:val="center"/>
                </w:tcPr>
                <w:p w14:paraId="162348B5">
                  <w:pPr>
                    <w:pStyle w:val="5"/>
                    <w:bidi w:val="0"/>
                    <w:jc w:val="center"/>
                    <w:rPr>
                      <w:lang w:val="en-US" w:eastAsia="zh-CN"/>
                    </w:rPr>
                  </w:pPr>
                  <w:r>
                    <w:rPr>
                      <w:lang w:val="en-US" w:eastAsia="zh-CN"/>
                    </w:rPr>
                    <w:t>《四川省空气质量持续改善行动计划实施方案》川府发〔</w:t>
                  </w:r>
                  <w:r>
                    <w:rPr>
                      <w:rFonts w:hint="default"/>
                      <w:lang w:val="en-US" w:eastAsia="zh-CN"/>
                    </w:rPr>
                    <w:t>2024</w:t>
                  </w:r>
                  <w:r>
                    <w:rPr>
                      <w:lang w:val="en-US" w:eastAsia="zh-CN"/>
                    </w:rPr>
                    <w:t>〕</w:t>
                  </w:r>
                  <w:r>
                    <w:rPr>
                      <w:rFonts w:hint="default"/>
                      <w:lang w:val="en-US" w:eastAsia="zh-CN"/>
                    </w:rPr>
                    <w:t>15</w:t>
                  </w:r>
                  <w:r>
                    <w:rPr>
                      <w:lang w:val="en-US" w:eastAsia="zh-CN"/>
                    </w:rPr>
                    <w:t>号</w:t>
                  </w:r>
                </w:p>
              </w:tc>
              <w:tc>
                <w:tcPr>
                  <w:tcW w:w="2265" w:type="pct"/>
                  <w:tcBorders>
                    <w:bottom w:val="single" w:color="auto" w:sz="4" w:space="0"/>
                  </w:tcBorders>
                  <w:vAlign w:val="center"/>
                </w:tcPr>
                <w:p w14:paraId="1BA29755">
                  <w:pPr>
                    <w:pStyle w:val="5"/>
                    <w:bidi w:val="0"/>
                    <w:jc w:val="both"/>
                    <w:rPr>
                      <w:lang w:val="en-US" w:eastAsia="zh-CN"/>
                    </w:rPr>
                  </w:pPr>
                  <w:r>
                    <w:rPr>
                      <w:rFonts w:hint="default"/>
                      <w:lang w:val="en-US" w:eastAsia="zh-CN"/>
                    </w:rPr>
                    <w:t>（一）严格产业准入。坚决遏制高耗能、高排放、低水平项目盲目上马。</w:t>
                  </w:r>
                </w:p>
              </w:tc>
              <w:tc>
                <w:tcPr>
                  <w:tcW w:w="1393" w:type="pct"/>
                  <w:tcBorders>
                    <w:bottom w:val="single" w:color="auto" w:sz="4" w:space="0"/>
                  </w:tcBorders>
                  <w:vAlign w:val="center"/>
                </w:tcPr>
                <w:p w14:paraId="33F9E69A">
                  <w:pPr>
                    <w:pStyle w:val="5"/>
                    <w:bidi w:val="0"/>
                    <w:jc w:val="both"/>
                    <w:rPr>
                      <w:lang w:val="en-US" w:eastAsia="zh-CN"/>
                    </w:rPr>
                  </w:pPr>
                  <w:r>
                    <w:rPr>
                      <w:rFonts w:hint="default"/>
                      <w:lang w:val="en-US" w:eastAsia="zh-CN"/>
                    </w:rPr>
                    <w:t>不属于高耗能、高排放、低水平项目。</w:t>
                  </w:r>
                </w:p>
              </w:tc>
              <w:tc>
                <w:tcPr>
                  <w:tcW w:w="437" w:type="pct"/>
                  <w:vAlign w:val="center"/>
                </w:tcPr>
                <w:p w14:paraId="3F3B5804">
                  <w:pPr>
                    <w:pStyle w:val="5"/>
                    <w:bidi w:val="0"/>
                    <w:jc w:val="center"/>
                    <w:rPr>
                      <w:lang w:val="en-US" w:eastAsia="zh-CN"/>
                    </w:rPr>
                  </w:pPr>
                  <w:r>
                    <w:rPr>
                      <w:rFonts w:hint="default"/>
                      <w:lang w:val="en-US" w:eastAsia="zh-CN"/>
                    </w:rPr>
                    <w:t>符合</w:t>
                  </w:r>
                </w:p>
              </w:tc>
            </w:tr>
            <w:tr w14:paraId="32FE0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03" w:type="pct"/>
                  <w:vMerge w:val="continue"/>
                  <w:vAlign w:val="center"/>
                </w:tcPr>
                <w:p w14:paraId="0AC84F1D">
                  <w:pPr>
                    <w:pStyle w:val="5"/>
                    <w:bidi w:val="0"/>
                    <w:jc w:val="center"/>
                    <w:rPr>
                      <w:lang w:val="en-US" w:eastAsia="zh-CN"/>
                    </w:rPr>
                  </w:pPr>
                </w:p>
              </w:tc>
              <w:tc>
                <w:tcPr>
                  <w:tcW w:w="2265" w:type="pct"/>
                  <w:tcBorders>
                    <w:bottom w:val="single" w:color="auto" w:sz="4" w:space="0"/>
                  </w:tcBorders>
                  <w:vAlign w:val="center"/>
                </w:tcPr>
                <w:p w14:paraId="4FD6870A">
                  <w:pPr>
                    <w:pStyle w:val="5"/>
                    <w:bidi w:val="0"/>
                    <w:jc w:val="both"/>
                    <w:rPr>
                      <w:lang w:val="en-US" w:eastAsia="zh-CN"/>
                    </w:rPr>
                  </w:pPr>
                  <w:r>
                    <w:rPr>
                      <w:rFonts w:hint="default"/>
                      <w:lang w:val="en-US" w:eastAsia="zh-CN"/>
                    </w:rPr>
                    <w:t>（六）持续加大非化石能源供给，促进水、风光氢天然气等多能互补发展，加快推进工业、农业、建筑、交通、生活服务</w:t>
                  </w:r>
                  <w:r>
                    <w:rPr>
                      <w:rFonts w:hint="eastAsia"/>
                      <w:lang w:val="en-US" w:eastAsia="zh-CN"/>
                    </w:rPr>
                    <w:t>5</w:t>
                  </w:r>
                  <w:r>
                    <w:rPr>
                      <w:rFonts w:hint="default"/>
                      <w:lang w:val="en-US" w:eastAsia="zh-CN"/>
                    </w:rPr>
                    <w:t>大领域电能替代。</w:t>
                  </w:r>
                </w:p>
              </w:tc>
              <w:tc>
                <w:tcPr>
                  <w:tcW w:w="1393" w:type="pct"/>
                  <w:tcBorders>
                    <w:bottom w:val="single" w:color="auto" w:sz="4" w:space="0"/>
                  </w:tcBorders>
                  <w:shd w:val="clear" w:color="auto" w:fill="auto"/>
                  <w:vAlign w:val="center"/>
                </w:tcPr>
                <w:p w14:paraId="6299050E">
                  <w:pPr>
                    <w:pStyle w:val="5"/>
                    <w:bidi w:val="0"/>
                    <w:jc w:val="both"/>
                    <w:rPr>
                      <w:lang w:val="en-US" w:eastAsia="zh-CN"/>
                    </w:rPr>
                  </w:pPr>
                  <w:r>
                    <w:rPr>
                      <w:rFonts w:hint="default"/>
                      <w:lang w:val="en-US" w:eastAsia="zh-CN"/>
                    </w:rPr>
                    <w:t>本项目主要产品为氢能源混合动力系统和氢能源两轮车，符合加快推进类领域。</w:t>
                  </w:r>
                </w:p>
              </w:tc>
              <w:tc>
                <w:tcPr>
                  <w:tcW w:w="437" w:type="pct"/>
                  <w:vAlign w:val="center"/>
                </w:tcPr>
                <w:p w14:paraId="6FF68617">
                  <w:pPr>
                    <w:pStyle w:val="5"/>
                    <w:bidi w:val="0"/>
                    <w:jc w:val="center"/>
                    <w:rPr>
                      <w:lang w:val="en-US" w:eastAsia="zh-CN"/>
                    </w:rPr>
                  </w:pPr>
                  <w:r>
                    <w:rPr>
                      <w:rFonts w:hint="default"/>
                      <w:lang w:val="en-US" w:eastAsia="zh-CN"/>
                    </w:rPr>
                    <w:t>符合</w:t>
                  </w:r>
                </w:p>
              </w:tc>
            </w:tr>
            <w:tr w14:paraId="3AB59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000" w:type="pct"/>
                  <w:gridSpan w:val="4"/>
                  <w:vAlign w:val="center"/>
                </w:tcPr>
                <w:p w14:paraId="5F5D1AB3">
                  <w:pPr>
                    <w:pStyle w:val="5"/>
                    <w:bidi w:val="0"/>
                    <w:jc w:val="center"/>
                    <w:rPr>
                      <w:lang w:val="en-US" w:eastAsia="zh-CN"/>
                    </w:rPr>
                  </w:pPr>
                  <w:r>
                    <w:rPr>
                      <w:b/>
                      <w:bCs/>
                    </w:rPr>
                    <w:t>与土壤污染防治相关符合性分析</w:t>
                  </w:r>
                </w:p>
              </w:tc>
            </w:tr>
            <w:tr w14:paraId="1EC5A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03" w:type="pct"/>
                  <w:tcBorders>
                    <w:bottom w:val="single" w:color="auto" w:sz="8" w:space="0"/>
                  </w:tcBorders>
                  <w:shd w:val="clear" w:color="auto" w:fill="auto"/>
                  <w:vAlign w:val="center"/>
                </w:tcPr>
                <w:p w14:paraId="141C470C">
                  <w:pPr>
                    <w:pStyle w:val="5"/>
                    <w:bidi w:val="0"/>
                    <w:jc w:val="center"/>
                    <w:rPr>
                      <w:lang w:val="en-US" w:eastAsia="zh-CN"/>
                    </w:rPr>
                  </w:pPr>
                  <w:r>
                    <w:rPr>
                      <w:lang w:val="en-US" w:eastAsia="zh-CN"/>
                    </w:rPr>
                    <w:t>《土壤污染防治行动计划四川省工作方案的通知》（川府发〔2016〕63号）</w:t>
                  </w:r>
                </w:p>
              </w:tc>
              <w:tc>
                <w:tcPr>
                  <w:tcW w:w="2265" w:type="pct"/>
                  <w:tcBorders>
                    <w:bottom w:val="single" w:color="auto" w:sz="8" w:space="0"/>
                  </w:tcBorders>
                  <w:shd w:val="clear" w:color="auto" w:fill="auto"/>
                  <w:vAlign w:val="center"/>
                </w:tcPr>
                <w:p w14:paraId="78A5D045">
                  <w:pPr>
                    <w:pStyle w:val="5"/>
                    <w:bidi w:val="0"/>
                    <w:jc w:val="both"/>
                    <w:rPr>
                      <w:lang w:val="en-US" w:eastAsia="zh-CN"/>
                    </w:rPr>
                  </w:pPr>
                  <w:r>
                    <w:rPr>
                      <w:lang w:val="en-US" w:eastAsia="zh-CN"/>
                    </w:rPr>
                    <w:t>（十六）严格环境准入。排放重点污染物的建设项目，在开展环境影响评价时，要增加对土壤环境影响的评价内容，并提出防范土壤污染的</w:t>
                  </w:r>
                  <w:r>
                    <w:rPr>
                      <w:rFonts w:hint="default"/>
                      <w:lang w:val="en-US" w:eastAsia="zh-CN"/>
                    </w:rPr>
                    <w:t>具体措施</w:t>
                  </w:r>
                  <w:r>
                    <w:rPr>
                      <w:lang w:val="en-US" w:eastAsia="zh-CN"/>
                    </w:rPr>
                    <w:t>。</w:t>
                  </w:r>
                </w:p>
              </w:tc>
              <w:tc>
                <w:tcPr>
                  <w:tcW w:w="1393" w:type="pct"/>
                  <w:tcBorders>
                    <w:bottom w:val="single" w:color="auto" w:sz="8" w:space="0"/>
                  </w:tcBorders>
                  <w:shd w:val="clear" w:color="auto" w:fill="auto"/>
                  <w:vAlign w:val="center"/>
                </w:tcPr>
                <w:p w14:paraId="03342BA5">
                  <w:pPr>
                    <w:pStyle w:val="5"/>
                    <w:bidi w:val="0"/>
                    <w:jc w:val="both"/>
                    <w:rPr>
                      <w:lang w:val="en-US" w:eastAsia="zh-CN"/>
                    </w:rPr>
                  </w:pPr>
                  <w:r>
                    <w:rPr>
                      <w:lang w:val="en-US" w:eastAsia="zh-CN"/>
                    </w:rPr>
                    <w:t>本项目不涉及土壤污染排放重点污染物的建设项目。</w:t>
                  </w:r>
                </w:p>
              </w:tc>
              <w:tc>
                <w:tcPr>
                  <w:tcW w:w="437" w:type="pct"/>
                  <w:tcBorders>
                    <w:bottom w:val="single" w:color="auto" w:sz="8" w:space="0"/>
                  </w:tcBorders>
                  <w:shd w:val="clear" w:color="auto" w:fill="auto"/>
                  <w:vAlign w:val="center"/>
                </w:tcPr>
                <w:p w14:paraId="69797EA8">
                  <w:pPr>
                    <w:pStyle w:val="5"/>
                    <w:bidi w:val="0"/>
                    <w:jc w:val="center"/>
                    <w:rPr>
                      <w:lang w:val="en-US" w:eastAsia="zh-CN"/>
                    </w:rPr>
                  </w:pPr>
                  <w:r>
                    <w:rPr>
                      <w:lang w:val="en-US" w:eastAsia="zh-CN"/>
                    </w:rPr>
                    <w:t>符合</w:t>
                  </w:r>
                </w:p>
              </w:tc>
            </w:tr>
          </w:tbl>
          <w:p w14:paraId="10703AE2">
            <w:pPr>
              <w:keepNext/>
              <w:keepLines/>
              <w:widowControl w:val="0"/>
              <w:bidi w:val="0"/>
              <w:spacing w:line="360" w:lineRule="auto"/>
              <w:ind w:firstLine="482" w:firstLineChars="200"/>
              <w:jc w:val="both"/>
              <w:outlineLvl w:val="2"/>
              <w:rPr>
                <w:rFonts w:hint="eastAsia" w:ascii="Times New Roman" w:hAnsi="Times New Roman" w:eastAsia="宋体" w:cstheme="minorBidi"/>
                <w:b/>
                <w:bCs/>
                <w:kern w:val="2"/>
                <w:sz w:val="24"/>
                <w:szCs w:val="32"/>
                <w:lang w:val="en-US" w:eastAsia="zh-CN" w:bidi="ar-SA"/>
              </w:rPr>
            </w:pPr>
            <w:r>
              <w:rPr>
                <w:rFonts w:hint="eastAsia" w:cstheme="minorBidi"/>
                <w:b/>
                <w:bCs/>
                <w:kern w:val="2"/>
                <w:sz w:val="24"/>
                <w:szCs w:val="32"/>
                <w:lang w:val="en-US" w:eastAsia="zh-CN" w:bidi="ar-SA"/>
              </w:rPr>
              <w:t>6</w:t>
            </w:r>
            <w:r>
              <w:rPr>
                <w:rFonts w:hint="eastAsia" w:ascii="Times New Roman" w:hAnsi="Times New Roman" w:eastAsia="宋体" w:cstheme="minorBidi"/>
                <w:b/>
                <w:bCs/>
                <w:kern w:val="2"/>
                <w:sz w:val="24"/>
                <w:szCs w:val="32"/>
                <w:lang w:val="en-US" w:eastAsia="zh-CN" w:bidi="ar-SA"/>
              </w:rPr>
              <w:t>、</w:t>
            </w:r>
            <w:r>
              <w:rPr>
                <w:rFonts w:ascii="Times New Roman" w:hAnsi="Times New Roman" w:eastAsia="宋体" w:cstheme="minorBidi"/>
                <w:b/>
                <w:bCs/>
                <w:kern w:val="2"/>
                <w:sz w:val="24"/>
                <w:szCs w:val="32"/>
                <w:lang w:val="en-US" w:eastAsia="zh-CN" w:bidi="ar-SA"/>
              </w:rPr>
              <w:t>项目与</w:t>
            </w:r>
            <w:r>
              <w:rPr>
                <w:rFonts w:hint="eastAsia" w:ascii="Times New Roman" w:hAnsi="Times New Roman" w:eastAsia="宋体" w:cstheme="minorBidi"/>
                <w:b/>
                <w:bCs/>
                <w:kern w:val="2"/>
                <w:sz w:val="24"/>
                <w:szCs w:val="32"/>
                <w:lang w:val="en-US" w:eastAsia="zh-CN" w:bidi="ar-SA"/>
              </w:rPr>
              <w:t>“十四五”规划符合性分析</w:t>
            </w:r>
          </w:p>
          <w:p w14:paraId="078541BF">
            <w:pPr>
              <w:widowControl w:val="0"/>
              <w:numPr>
                <w:ilvl w:val="0"/>
                <w:numId w:val="0"/>
              </w:numPr>
              <w:wordWrap/>
              <w:spacing w:line="360" w:lineRule="auto"/>
              <w:ind w:firstLine="480" w:firstLineChars="200"/>
              <w:jc w:val="both"/>
              <w:rPr>
                <w:rFonts w:ascii="Times New Roman" w:hAnsi="Times New Roman" w:eastAsia="宋体" w:cs="Times New Roman"/>
                <w:kern w:val="24"/>
                <w:sz w:val="24"/>
                <w:szCs w:val="32"/>
                <w:lang w:val="en-US" w:eastAsia="zh-CN" w:bidi="ar-SA"/>
              </w:rPr>
            </w:pPr>
            <w:r>
              <w:rPr>
                <w:rFonts w:hint="eastAsia" w:ascii="Times New Roman" w:hAnsi="Times New Roman" w:eastAsia="宋体" w:cs="Times New Roman"/>
                <w:kern w:val="24"/>
                <w:sz w:val="24"/>
                <w:szCs w:val="32"/>
                <w:lang w:val="en-US" w:eastAsia="zh-CN" w:bidi="ar-SA"/>
              </w:rPr>
              <w:t>本项目与“十四五”规划符合性分析见表1</w:t>
            </w:r>
            <w:r>
              <w:rPr>
                <w:rFonts w:hint="eastAsia" w:cs="Times New Roman"/>
                <w:kern w:val="24"/>
                <w:sz w:val="24"/>
                <w:szCs w:val="32"/>
                <w:lang w:val="en-US" w:eastAsia="zh-CN" w:bidi="ar-SA"/>
              </w:rPr>
              <w:t>-14</w:t>
            </w:r>
            <w:r>
              <w:rPr>
                <w:rFonts w:hint="eastAsia" w:ascii="Times New Roman" w:hAnsi="Times New Roman" w:eastAsia="宋体" w:cs="Times New Roman"/>
                <w:kern w:val="24"/>
                <w:sz w:val="24"/>
                <w:szCs w:val="32"/>
                <w:lang w:val="en-US" w:eastAsia="zh-CN" w:bidi="ar-SA"/>
              </w:rPr>
              <w:t>。</w:t>
            </w:r>
          </w:p>
          <w:p w14:paraId="5FB4D725">
            <w:pPr>
              <w:pStyle w:val="7"/>
              <w:bidi w:val="0"/>
              <w:jc w:val="center"/>
              <w:rPr>
                <w:lang w:val="en-US" w:eastAsia="zh-CN"/>
              </w:rPr>
            </w:pPr>
            <w:r>
              <w:rPr>
                <w:rFonts w:hint="eastAsia"/>
                <w:lang w:val="en-US" w:eastAsia="zh-CN"/>
              </w:rPr>
              <w:t>表1-14  与“十四五”规划的符合性分析</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08"/>
              <w:gridCol w:w="5063"/>
              <w:gridCol w:w="1531"/>
              <w:gridCol w:w="753"/>
            </w:tblGrid>
            <w:tr w14:paraId="1536F5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51" w:type="pct"/>
                  <w:tcBorders>
                    <w:tl2br w:val="nil"/>
                    <w:tr2bl w:val="nil"/>
                  </w:tcBorders>
                  <w:vAlign w:val="center"/>
                </w:tcPr>
                <w:p w14:paraId="776196D6">
                  <w:pPr>
                    <w:pStyle w:val="5"/>
                    <w:bidi w:val="0"/>
                    <w:jc w:val="center"/>
                    <w:rPr>
                      <w:b/>
                      <w:bCs/>
                      <w:lang w:val="en-US" w:eastAsia="zh-CN"/>
                    </w:rPr>
                  </w:pPr>
                  <w:r>
                    <w:rPr>
                      <w:b/>
                      <w:bCs/>
                      <w:lang w:val="en-US" w:eastAsia="zh-CN"/>
                    </w:rPr>
                    <w:t>法规、规范</w:t>
                  </w:r>
                </w:p>
              </w:tc>
              <w:tc>
                <w:tcPr>
                  <w:tcW w:w="2858" w:type="pct"/>
                  <w:tcBorders>
                    <w:tl2br w:val="nil"/>
                    <w:tr2bl w:val="nil"/>
                  </w:tcBorders>
                  <w:vAlign w:val="center"/>
                </w:tcPr>
                <w:p w14:paraId="66219DC4">
                  <w:pPr>
                    <w:pStyle w:val="5"/>
                    <w:bidi w:val="0"/>
                    <w:jc w:val="center"/>
                    <w:rPr>
                      <w:b/>
                      <w:bCs/>
                      <w:lang w:val="en-US" w:eastAsia="zh-CN"/>
                    </w:rPr>
                  </w:pPr>
                  <w:r>
                    <w:rPr>
                      <w:b/>
                      <w:bCs/>
                      <w:lang w:val="en-US" w:eastAsia="zh-CN"/>
                    </w:rPr>
                    <w:t>相关要求</w:t>
                  </w:r>
                </w:p>
              </w:tc>
              <w:tc>
                <w:tcPr>
                  <w:tcW w:w="864" w:type="pct"/>
                  <w:tcBorders>
                    <w:tl2br w:val="nil"/>
                    <w:tr2bl w:val="nil"/>
                  </w:tcBorders>
                  <w:vAlign w:val="center"/>
                </w:tcPr>
                <w:p w14:paraId="565C6187">
                  <w:pPr>
                    <w:pStyle w:val="5"/>
                    <w:bidi w:val="0"/>
                    <w:jc w:val="center"/>
                    <w:rPr>
                      <w:b/>
                      <w:bCs/>
                      <w:lang w:val="en-US" w:eastAsia="zh-CN"/>
                    </w:rPr>
                  </w:pPr>
                  <w:r>
                    <w:rPr>
                      <w:b/>
                      <w:bCs/>
                      <w:lang w:val="en-US" w:eastAsia="zh-CN"/>
                    </w:rPr>
                    <w:t>本项目情况</w:t>
                  </w:r>
                </w:p>
              </w:tc>
              <w:tc>
                <w:tcPr>
                  <w:tcW w:w="425" w:type="pct"/>
                  <w:tcBorders>
                    <w:tl2br w:val="nil"/>
                    <w:tr2bl w:val="nil"/>
                  </w:tcBorders>
                  <w:vAlign w:val="center"/>
                </w:tcPr>
                <w:p w14:paraId="6A00DCAC">
                  <w:pPr>
                    <w:pStyle w:val="5"/>
                    <w:bidi w:val="0"/>
                    <w:jc w:val="center"/>
                    <w:rPr>
                      <w:b/>
                      <w:bCs/>
                      <w:lang w:val="en-US" w:eastAsia="zh-CN"/>
                    </w:rPr>
                  </w:pPr>
                  <w:r>
                    <w:rPr>
                      <w:b/>
                      <w:bCs/>
                      <w:lang w:val="en-US" w:eastAsia="zh-CN"/>
                    </w:rPr>
                    <w:t>符合性分析</w:t>
                  </w:r>
                </w:p>
              </w:tc>
            </w:tr>
            <w:tr w14:paraId="074DA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51" w:type="pct"/>
                  <w:tcBorders>
                    <w:tl2br w:val="nil"/>
                    <w:tr2bl w:val="nil"/>
                  </w:tcBorders>
                  <w:vAlign w:val="center"/>
                </w:tcPr>
                <w:p w14:paraId="696527BA">
                  <w:pPr>
                    <w:pStyle w:val="5"/>
                    <w:bidi w:val="0"/>
                    <w:jc w:val="center"/>
                    <w:rPr>
                      <w:lang w:val="en-US" w:eastAsia="zh-CN"/>
                    </w:rPr>
                  </w:pPr>
                  <w:r>
                    <w:rPr>
                      <w:lang w:val="en-US" w:eastAsia="zh-CN"/>
                    </w:rPr>
                    <w:t>《四川省“十四五”生态环境保护规划》（川府发〔2022〕2号）</w:t>
                  </w:r>
                </w:p>
              </w:tc>
              <w:tc>
                <w:tcPr>
                  <w:tcW w:w="2858" w:type="pct"/>
                  <w:tcBorders>
                    <w:tl2br w:val="nil"/>
                    <w:tr2bl w:val="nil"/>
                  </w:tcBorders>
                  <w:vAlign w:val="center"/>
                </w:tcPr>
                <w:p w14:paraId="7733FD34">
                  <w:pPr>
                    <w:pStyle w:val="5"/>
                    <w:bidi w:val="0"/>
                    <w:jc w:val="both"/>
                    <w:rPr>
                      <w:lang w:val="en-US" w:eastAsia="zh-CN"/>
                    </w:rPr>
                  </w:pPr>
                  <w:r>
                    <w:rPr>
                      <w:lang w:val="en-US" w:eastAsia="zh-CN"/>
                    </w:rPr>
                    <w:t>强化重点行业污染治理。加快火电、钢铁、水泥、焦化及燃煤</w:t>
                  </w:r>
                </w:p>
                <w:p w14:paraId="4A606D88">
                  <w:pPr>
                    <w:pStyle w:val="5"/>
                    <w:bidi w:val="0"/>
                    <w:jc w:val="both"/>
                    <w:rPr>
                      <w:lang w:val="en-US" w:eastAsia="zh-CN"/>
                    </w:rPr>
                  </w:pPr>
                  <w:r>
                    <w:rPr>
                      <w:lang w:val="en-US" w:eastAsia="zh-CN"/>
                    </w:rPr>
                    <w:t>工业锅炉超低排放改造。推进平板玻璃、陶瓷、铁合金、有色等重点行业深度治理。深化工业炉窑大气污染综合治理，基本完成使用高污染燃料的燃料类工业炉窑清洁能源替代。</w:t>
                  </w:r>
                </w:p>
              </w:tc>
              <w:tc>
                <w:tcPr>
                  <w:tcW w:w="864" w:type="pct"/>
                  <w:tcBorders>
                    <w:tl2br w:val="nil"/>
                    <w:tr2bl w:val="nil"/>
                  </w:tcBorders>
                  <w:vAlign w:val="center"/>
                </w:tcPr>
                <w:p w14:paraId="282AA623">
                  <w:pPr>
                    <w:pStyle w:val="5"/>
                    <w:bidi w:val="0"/>
                    <w:jc w:val="both"/>
                    <w:rPr>
                      <w:lang w:val="en-US" w:eastAsia="zh-CN"/>
                    </w:rPr>
                  </w:pPr>
                  <w:r>
                    <w:rPr>
                      <w:lang w:val="en-US" w:eastAsia="zh-CN"/>
                    </w:rPr>
                    <w:t>不属于前述重点行业，不涉及工业炉窑使用。</w:t>
                  </w:r>
                </w:p>
              </w:tc>
              <w:tc>
                <w:tcPr>
                  <w:tcW w:w="425" w:type="pct"/>
                  <w:tcBorders>
                    <w:tl2br w:val="nil"/>
                    <w:tr2bl w:val="nil"/>
                  </w:tcBorders>
                  <w:vAlign w:val="center"/>
                </w:tcPr>
                <w:p w14:paraId="76487504">
                  <w:pPr>
                    <w:pStyle w:val="5"/>
                    <w:bidi w:val="0"/>
                    <w:jc w:val="center"/>
                    <w:rPr>
                      <w:lang w:val="en-US" w:eastAsia="zh-CN"/>
                    </w:rPr>
                  </w:pPr>
                  <w:r>
                    <w:rPr>
                      <w:lang w:val="en-US" w:eastAsia="zh-CN"/>
                    </w:rPr>
                    <w:t>符合</w:t>
                  </w:r>
                </w:p>
              </w:tc>
            </w:tr>
            <w:tr w14:paraId="036098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51" w:type="pct"/>
                  <w:vMerge w:val="restart"/>
                  <w:tcBorders>
                    <w:tl2br w:val="nil"/>
                    <w:tr2bl w:val="nil"/>
                  </w:tcBorders>
                  <w:vAlign w:val="center"/>
                </w:tcPr>
                <w:p w14:paraId="681CCA96">
                  <w:pPr>
                    <w:pStyle w:val="5"/>
                    <w:bidi w:val="0"/>
                    <w:jc w:val="both"/>
                    <w:rPr>
                      <w:lang w:val="en-US" w:eastAsia="zh-CN"/>
                    </w:rPr>
                  </w:pPr>
                  <w:r>
                    <w:rPr>
                      <w:lang w:val="en-US" w:eastAsia="zh-CN"/>
                    </w:rPr>
                    <w:t>《</w:t>
                  </w:r>
                  <w:r>
                    <w:rPr>
                      <w:rFonts w:hint="eastAsia"/>
                      <w:lang w:val="en-US" w:eastAsia="zh-CN"/>
                    </w:rPr>
                    <w:t>达州</w:t>
                  </w:r>
                  <w:r>
                    <w:rPr>
                      <w:lang w:val="en-US" w:eastAsia="zh-CN"/>
                    </w:rPr>
                    <w:t>市“十四五”生态环境保护规划》</w:t>
                  </w:r>
                </w:p>
              </w:tc>
              <w:tc>
                <w:tcPr>
                  <w:tcW w:w="2858" w:type="pct"/>
                  <w:tcBorders>
                    <w:tl2br w:val="nil"/>
                    <w:tr2bl w:val="nil"/>
                  </w:tcBorders>
                  <w:vAlign w:val="center"/>
                </w:tcPr>
                <w:p w14:paraId="431C1ED1">
                  <w:pPr>
                    <w:pStyle w:val="5"/>
                    <w:bidi w:val="0"/>
                    <w:jc w:val="both"/>
                    <w:rPr>
                      <w:lang w:val="en-US" w:eastAsia="zh-CN"/>
                    </w:rPr>
                  </w:pPr>
                  <w:r>
                    <w:rPr>
                      <w:lang w:val="en-US" w:eastAsia="zh-CN"/>
                    </w:rPr>
                    <w:t>落实国土空间开发保护格局。以达川区、通川区、大竹县为重点开发区域，加快推进中心城市发展，优化城市空间布局，重点发展清洁能源、天然气化工、农产品加工业，加强生态环境保护和流域综合整治。</w:t>
                  </w:r>
                </w:p>
              </w:tc>
              <w:tc>
                <w:tcPr>
                  <w:tcW w:w="864" w:type="pct"/>
                  <w:tcBorders>
                    <w:tl2br w:val="nil"/>
                    <w:tr2bl w:val="nil"/>
                  </w:tcBorders>
                  <w:vAlign w:val="center"/>
                </w:tcPr>
                <w:p w14:paraId="14B69322">
                  <w:pPr>
                    <w:pStyle w:val="5"/>
                    <w:bidi w:val="0"/>
                    <w:jc w:val="both"/>
                    <w:rPr>
                      <w:rFonts w:hint="default"/>
                      <w:lang w:val="en-US" w:eastAsia="zh-CN"/>
                    </w:rPr>
                  </w:pPr>
                  <w:r>
                    <w:rPr>
                      <w:rFonts w:hint="eastAsia"/>
                      <w:lang w:val="en-US" w:eastAsia="zh-CN"/>
                    </w:rPr>
                    <w:t>本项目的主要产品涉及对清洁能源氢能的利用。</w:t>
                  </w:r>
                </w:p>
              </w:tc>
              <w:tc>
                <w:tcPr>
                  <w:tcW w:w="425" w:type="pct"/>
                  <w:vMerge w:val="restart"/>
                  <w:tcBorders>
                    <w:tl2br w:val="nil"/>
                    <w:tr2bl w:val="nil"/>
                  </w:tcBorders>
                  <w:vAlign w:val="center"/>
                </w:tcPr>
                <w:p w14:paraId="4CA97EF1">
                  <w:pPr>
                    <w:pStyle w:val="5"/>
                    <w:bidi w:val="0"/>
                    <w:jc w:val="center"/>
                    <w:rPr>
                      <w:lang w:val="en-US" w:eastAsia="zh-CN"/>
                    </w:rPr>
                  </w:pPr>
                  <w:r>
                    <w:rPr>
                      <w:lang w:val="en-US" w:eastAsia="zh-CN"/>
                    </w:rPr>
                    <w:t>符合</w:t>
                  </w:r>
                </w:p>
              </w:tc>
            </w:tr>
            <w:tr w14:paraId="028F24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92" w:hRule="atLeast"/>
                <w:jc w:val="center"/>
              </w:trPr>
              <w:tc>
                <w:tcPr>
                  <w:tcW w:w="851" w:type="pct"/>
                  <w:vMerge w:val="continue"/>
                  <w:tcBorders>
                    <w:tl2br w:val="nil"/>
                    <w:tr2bl w:val="nil"/>
                  </w:tcBorders>
                  <w:vAlign w:val="center"/>
                </w:tcPr>
                <w:p w14:paraId="607C3478">
                  <w:pPr>
                    <w:pStyle w:val="5"/>
                    <w:bidi w:val="0"/>
                    <w:jc w:val="both"/>
                    <w:rPr>
                      <w:lang w:val="en-US" w:eastAsia="zh-CN"/>
                    </w:rPr>
                  </w:pPr>
                </w:p>
              </w:tc>
              <w:tc>
                <w:tcPr>
                  <w:tcW w:w="2858" w:type="pct"/>
                  <w:tcBorders>
                    <w:tl2br w:val="nil"/>
                    <w:tr2bl w:val="nil"/>
                  </w:tcBorders>
                  <w:vAlign w:val="center"/>
                </w:tcPr>
                <w:p w14:paraId="5E44A911">
                  <w:pPr>
                    <w:pStyle w:val="5"/>
                    <w:bidi w:val="0"/>
                    <w:jc w:val="both"/>
                    <w:rPr>
                      <w:lang w:val="en-US" w:eastAsia="zh-CN"/>
                    </w:rPr>
                  </w:pPr>
                  <w:r>
                    <w:rPr>
                      <w:lang w:val="en-US" w:eastAsia="zh-CN"/>
                    </w:rPr>
                    <w:t>推进“3+3+N”（能源化工、新材料、农产品加工三大千亿集群，电子信息、智能装备制造、轻纺服饰三大五百亿产业集群，医药健康、绿色建材等N个特色百亿产业集群）产业集群建设</w:t>
                  </w:r>
                  <w:r>
                    <w:rPr>
                      <w:rFonts w:hint="eastAsia"/>
                      <w:lang w:val="en-US" w:eastAsia="zh-CN"/>
                    </w:rPr>
                    <w:t>，</w:t>
                  </w:r>
                  <w:r>
                    <w:rPr>
                      <w:lang w:val="en-US" w:eastAsia="zh-CN"/>
                    </w:rPr>
                    <w:t>推进工矿企业实施清洁生产、节能减排和工业废弃物资源化综合利用。</w:t>
                  </w:r>
                </w:p>
              </w:tc>
              <w:tc>
                <w:tcPr>
                  <w:tcW w:w="864" w:type="pct"/>
                  <w:tcBorders>
                    <w:tl2br w:val="nil"/>
                    <w:tr2bl w:val="nil"/>
                  </w:tcBorders>
                  <w:vAlign w:val="center"/>
                </w:tcPr>
                <w:p w14:paraId="3D6D232A">
                  <w:pPr>
                    <w:pStyle w:val="5"/>
                    <w:bidi w:val="0"/>
                    <w:jc w:val="both"/>
                    <w:rPr>
                      <w:rFonts w:hint="eastAsia"/>
                      <w:lang w:val="en-US" w:eastAsia="zh-CN"/>
                    </w:rPr>
                  </w:pPr>
                  <w:r>
                    <w:rPr>
                      <w:rFonts w:hint="eastAsia"/>
                      <w:lang w:val="en-US" w:eastAsia="zh-CN"/>
                    </w:rPr>
                    <w:t>本项目产品为氢能源混合动力系统和氢能源两轮车，生产过程中无生产废水的排放，仅涉及少量VOC</w:t>
                  </w:r>
                  <w:r>
                    <w:rPr>
                      <w:rFonts w:hint="eastAsia"/>
                      <w:vertAlign w:val="subscript"/>
                      <w:lang w:val="en-US" w:eastAsia="zh-CN"/>
                    </w:rPr>
                    <w:t>S</w:t>
                  </w:r>
                  <w:r>
                    <w:rPr>
                      <w:rFonts w:hint="eastAsia"/>
                      <w:lang w:val="en-US" w:eastAsia="zh-CN"/>
                    </w:rPr>
                    <w:t>的排放。</w:t>
                  </w:r>
                </w:p>
              </w:tc>
              <w:tc>
                <w:tcPr>
                  <w:tcW w:w="425" w:type="pct"/>
                  <w:vMerge w:val="continue"/>
                  <w:tcBorders>
                    <w:tl2br w:val="nil"/>
                    <w:tr2bl w:val="nil"/>
                  </w:tcBorders>
                  <w:vAlign w:val="center"/>
                </w:tcPr>
                <w:p w14:paraId="2A11D586">
                  <w:pPr>
                    <w:pStyle w:val="5"/>
                    <w:bidi w:val="0"/>
                    <w:jc w:val="both"/>
                    <w:rPr>
                      <w:lang w:val="en-US" w:eastAsia="zh-CN"/>
                    </w:rPr>
                  </w:pPr>
                </w:p>
              </w:tc>
            </w:tr>
            <w:tr w14:paraId="0A4687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51" w:type="pct"/>
                  <w:tcBorders>
                    <w:tl2br w:val="nil"/>
                    <w:tr2bl w:val="nil"/>
                  </w:tcBorders>
                  <w:vAlign w:val="center"/>
                </w:tcPr>
                <w:p w14:paraId="3D5D57BF">
                  <w:pPr>
                    <w:pStyle w:val="5"/>
                    <w:bidi w:val="0"/>
                    <w:jc w:val="both"/>
                    <w:rPr>
                      <w:lang w:val="en-US" w:eastAsia="zh-CN"/>
                    </w:rPr>
                  </w:pPr>
                  <w:r>
                    <w:rPr>
                      <w:lang w:val="en-US" w:eastAsia="zh-CN"/>
                    </w:rPr>
                    <w:t>《</w:t>
                  </w:r>
                  <w:r>
                    <w:rPr>
                      <w:rFonts w:hint="eastAsia"/>
                      <w:lang w:val="en-US" w:eastAsia="zh-CN"/>
                    </w:rPr>
                    <w:t>通川区</w:t>
                  </w:r>
                  <w:r>
                    <w:rPr>
                      <w:lang w:val="en-US" w:eastAsia="zh-CN"/>
                    </w:rPr>
                    <w:t>“十四五”生态环境保护规划</w:t>
                  </w:r>
                  <w:r>
                    <w:rPr>
                      <w:rFonts w:hint="eastAsia"/>
                      <w:lang w:val="en-US" w:eastAsia="zh-CN"/>
                    </w:rPr>
                    <w:t>（送审稿）</w:t>
                  </w:r>
                  <w:r>
                    <w:rPr>
                      <w:lang w:val="en-US" w:eastAsia="zh-CN"/>
                    </w:rPr>
                    <w:t>》</w:t>
                  </w:r>
                </w:p>
              </w:tc>
              <w:tc>
                <w:tcPr>
                  <w:tcW w:w="2858" w:type="pct"/>
                  <w:tcBorders>
                    <w:tl2br w:val="nil"/>
                    <w:tr2bl w:val="nil"/>
                  </w:tcBorders>
                  <w:vAlign w:val="center"/>
                </w:tcPr>
                <w:p w14:paraId="0F7977F6">
                  <w:pPr>
                    <w:pStyle w:val="5"/>
                    <w:bidi w:val="0"/>
                    <w:jc w:val="both"/>
                    <w:rPr>
                      <w:lang w:val="en-US" w:eastAsia="zh-CN"/>
                    </w:rPr>
                  </w:pPr>
                  <w:r>
                    <w:rPr>
                      <w:rFonts w:hint="eastAsia"/>
                      <w:lang w:val="en-US" w:eastAsia="zh-CN"/>
                    </w:rPr>
                    <w:t>制定绿色产业发展引导政策，培育壮大新材料、智能装备、清洁能源汽车、电子信息、高端工模具和生物医药等新兴产业；加快发展现代服务业，优先发展生产性服务业、创新发展生活性服务业、突破性发展新兴服务业，全面提升现代服务业绿色低碳发展水平；大力发展产出高效、产品安全、资源节约、环境友好的现代农业，加快构建现代农业生产经营体系、产业体系及社会服务体系，建设特色农业产业基地，增加绿色农产品供给。</w:t>
                  </w:r>
                </w:p>
              </w:tc>
              <w:tc>
                <w:tcPr>
                  <w:tcW w:w="864" w:type="pct"/>
                  <w:tcBorders>
                    <w:tl2br w:val="nil"/>
                    <w:tr2bl w:val="nil"/>
                  </w:tcBorders>
                  <w:vAlign w:val="center"/>
                </w:tcPr>
                <w:p w14:paraId="15965B42">
                  <w:pPr>
                    <w:pStyle w:val="5"/>
                    <w:bidi w:val="0"/>
                    <w:jc w:val="both"/>
                    <w:rPr>
                      <w:lang w:val="en-US" w:eastAsia="zh-CN"/>
                    </w:rPr>
                  </w:pPr>
                  <w:r>
                    <w:rPr>
                      <w:rFonts w:hint="eastAsia"/>
                      <w:lang w:val="en-US" w:eastAsia="zh-CN"/>
                    </w:rPr>
                    <w:t>本项目产品为氢能源混合动力系统和氢能源两轮车，符合通川区发展的绿色低碳循环产业。</w:t>
                  </w:r>
                </w:p>
              </w:tc>
              <w:tc>
                <w:tcPr>
                  <w:tcW w:w="425" w:type="pct"/>
                  <w:tcBorders>
                    <w:tl2br w:val="nil"/>
                    <w:tr2bl w:val="nil"/>
                  </w:tcBorders>
                  <w:vAlign w:val="center"/>
                </w:tcPr>
                <w:p w14:paraId="48680A34">
                  <w:pPr>
                    <w:pStyle w:val="5"/>
                    <w:bidi w:val="0"/>
                    <w:jc w:val="center"/>
                    <w:rPr>
                      <w:lang w:val="en-US" w:eastAsia="zh-CN"/>
                    </w:rPr>
                  </w:pPr>
                  <w:r>
                    <w:rPr>
                      <w:lang w:val="en-US" w:eastAsia="zh-CN"/>
                    </w:rPr>
                    <w:t>符合</w:t>
                  </w:r>
                </w:p>
              </w:tc>
            </w:tr>
          </w:tbl>
          <w:p w14:paraId="41A02ADF">
            <w:pPr>
              <w:widowControl w:val="0"/>
              <w:wordWrap/>
              <w:spacing w:line="360" w:lineRule="auto"/>
              <w:ind w:firstLine="482" w:firstLineChars="200"/>
              <w:jc w:val="both"/>
              <w:rPr>
                <w:rFonts w:ascii="Times New Roman" w:hAnsi="Times New Roman" w:eastAsia="宋体" w:cs="Times New Roman"/>
                <w:b/>
                <w:bCs/>
                <w:color w:val="auto"/>
                <w:kern w:val="24"/>
                <w:szCs w:val="24"/>
                <w:lang w:val="en-US" w:eastAsia="zh-CN" w:bidi="ar-SA"/>
              </w:rPr>
            </w:pPr>
            <w:r>
              <w:rPr>
                <w:rFonts w:ascii="Times New Roman" w:hAnsi="Times New Roman" w:eastAsia="宋体" w:cs="Times New Roman"/>
                <w:b/>
                <w:bCs/>
                <w:color w:val="auto"/>
                <w:kern w:val="24"/>
                <w:szCs w:val="24"/>
                <w:lang w:val="en-US" w:eastAsia="zh-CN" w:bidi="ar-SA"/>
              </w:rPr>
              <w:t>综上所述，</w:t>
            </w:r>
            <w:r>
              <w:rPr>
                <w:rFonts w:hint="eastAsia" w:ascii="Times New Roman" w:hAnsi="Times New Roman" w:eastAsia="宋体" w:cs="Times New Roman"/>
                <w:b/>
                <w:bCs/>
                <w:color w:val="auto"/>
                <w:kern w:val="24"/>
                <w:szCs w:val="24"/>
                <w:lang w:val="en-US" w:eastAsia="zh-CN" w:bidi="ar-SA"/>
              </w:rPr>
              <w:t>本项目符合现行相关污染防治政策要求。</w:t>
            </w:r>
          </w:p>
          <w:p w14:paraId="3C9DFA59">
            <w:pPr>
              <w:keepNext/>
              <w:keepLines/>
              <w:widowControl w:val="0"/>
              <w:bidi w:val="0"/>
              <w:spacing w:line="360" w:lineRule="auto"/>
              <w:ind w:firstLine="482" w:firstLineChars="200"/>
              <w:jc w:val="both"/>
              <w:outlineLvl w:val="2"/>
              <w:rPr>
                <w:rFonts w:hint="eastAsia" w:ascii="Times New Roman" w:hAnsi="Times New Roman" w:eastAsia="宋体" w:cstheme="minorBidi"/>
                <w:b/>
                <w:bCs/>
                <w:kern w:val="2"/>
                <w:sz w:val="24"/>
                <w:szCs w:val="32"/>
                <w:lang w:val="en-US" w:eastAsia="zh-CN" w:bidi="ar-SA"/>
              </w:rPr>
            </w:pPr>
            <w:r>
              <w:rPr>
                <w:rFonts w:hint="eastAsia" w:cstheme="minorBidi"/>
                <w:b/>
                <w:bCs/>
                <w:kern w:val="2"/>
                <w:sz w:val="24"/>
                <w:szCs w:val="32"/>
                <w:lang w:val="en-US" w:eastAsia="zh-CN" w:bidi="ar-SA"/>
              </w:rPr>
              <w:t>7</w:t>
            </w:r>
            <w:r>
              <w:rPr>
                <w:rFonts w:hint="eastAsia" w:ascii="Times New Roman" w:hAnsi="Times New Roman" w:eastAsia="宋体" w:cstheme="minorBidi"/>
                <w:b/>
                <w:bCs/>
                <w:kern w:val="2"/>
                <w:sz w:val="24"/>
                <w:szCs w:val="32"/>
                <w:lang w:val="en-US" w:eastAsia="zh-CN" w:bidi="ar-SA"/>
              </w:rPr>
              <w:t>、选址合理性分析</w:t>
            </w:r>
          </w:p>
          <w:p w14:paraId="570CC278">
            <w:pPr>
              <w:keepNext/>
              <w:keepLines/>
              <w:widowControl w:val="0"/>
              <w:bidi w:val="0"/>
              <w:spacing w:line="360" w:lineRule="auto"/>
              <w:ind w:firstLine="480" w:firstLineChars="200"/>
              <w:jc w:val="both"/>
              <w:outlineLvl w:val="2"/>
              <w:rPr>
                <w:rFonts w:ascii="Times New Roman" w:hAnsi="Times New Roman" w:eastAsia="宋体" w:cstheme="minorBidi"/>
                <w:b w:val="0"/>
                <w:bCs w:val="0"/>
                <w:kern w:val="2"/>
                <w:sz w:val="24"/>
                <w:szCs w:val="32"/>
                <w:lang w:val="en-US" w:eastAsia="zh-CN" w:bidi="ar-SA"/>
              </w:rPr>
            </w:pPr>
            <w:r>
              <w:rPr>
                <w:rFonts w:hint="eastAsia" w:ascii="Times New Roman" w:hAnsi="Times New Roman" w:eastAsia="宋体" w:cstheme="minorBidi"/>
                <w:b w:val="0"/>
                <w:bCs w:val="0"/>
                <w:kern w:val="2"/>
                <w:sz w:val="24"/>
                <w:szCs w:val="32"/>
                <w:lang w:val="en-US" w:eastAsia="zh-CN" w:bidi="ar-SA"/>
              </w:rPr>
              <w:t>（1）用地合理性</w:t>
            </w:r>
          </w:p>
          <w:p w14:paraId="25051F43">
            <w:pPr>
              <w:bidi w:val="0"/>
              <w:jc w:val="both"/>
              <w:rPr>
                <w:rFonts w:hint="eastAsia"/>
                <w:lang w:val="en-US" w:eastAsia="zh-CN"/>
              </w:rPr>
            </w:pPr>
            <w:r>
              <w:t>本项目位于</w:t>
            </w:r>
            <w:r>
              <w:rPr>
                <w:rFonts w:hint="eastAsia"/>
                <w:lang w:val="en-US" w:eastAsia="zh-CN"/>
              </w:rPr>
              <w:t>四川省达州市通川区经济开发区魏兴大道1号</w:t>
            </w:r>
            <w:r>
              <w:t>，项目</w:t>
            </w:r>
            <w:r>
              <w:rPr>
                <w:rFonts w:hint="eastAsia"/>
                <w:lang w:val="en-US" w:eastAsia="zh-CN"/>
              </w:rPr>
              <w:t>建筑</w:t>
            </w:r>
            <w:r>
              <w:t>面积为</w:t>
            </w:r>
            <w:r>
              <w:rPr>
                <w:rFonts w:hint="eastAsia"/>
                <w:lang w:val="en-US" w:eastAsia="zh-CN"/>
              </w:rPr>
              <w:t>10605m</w:t>
            </w:r>
            <w:r>
              <w:rPr>
                <w:rFonts w:hint="eastAsia"/>
                <w:vertAlign w:val="superscript"/>
                <w:lang w:val="en-US" w:eastAsia="zh-CN"/>
              </w:rPr>
              <w:t>2</w:t>
            </w:r>
            <w:r>
              <w:t>。</w:t>
            </w:r>
            <w:r>
              <w:rPr>
                <w:rFonts w:hint="eastAsia"/>
                <w:lang w:val="en-US" w:eastAsia="zh-CN"/>
              </w:rPr>
              <w:t>本次技改在现有租赁厂房进行，利用三楼双极板组装区域的空余部分进行新增设备的安装。</w:t>
            </w:r>
          </w:p>
          <w:p w14:paraId="209DC0E4">
            <w:pPr>
              <w:bidi w:val="0"/>
              <w:ind w:firstLine="480"/>
              <w:jc w:val="both"/>
              <w:rPr>
                <w:rFonts w:hint="eastAsia"/>
              </w:rPr>
            </w:pPr>
            <w:r>
              <w:rPr>
                <w:rFonts w:hint="eastAsia"/>
                <w:lang w:val="en-US" w:eastAsia="zh-CN"/>
              </w:rPr>
              <w:t>根据</w:t>
            </w:r>
            <w:r>
              <w:rPr>
                <w:rFonts w:hint="eastAsia" w:ascii="Times New Roman" w:hAnsi="Times New Roman" w:eastAsia="宋体" w:cs="Times New Roman"/>
                <w:b w:val="0"/>
                <w:bCs w:val="0"/>
                <w:color w:val="auto"/>
                <w:sz w:val="24"/>
                <w:lang w:val="en-US" w:eastAsia="zh-CN"/>
              </w:rPr>
              <w:t>达州市农产品加工集中区</w:t>
            </w:r>
            <w:r>
              <w:rPr>
                <w:rFonts w:hint="eastAsia" w:cs="Times New Roman"/>
                <w:b w:val="0"/>
                <w:bCs w:val="0"/>
                <w:color w:val="auto"/>
                <w:sz w:val="24"/>
                <w:lang w:val="en-US" w:eastAsia="zh-CN"/>
              </w:rPr>
              <w:t>控制性详细规划</w:t>
            </w:r>
            <w:r>
              <w:rPr>
                <w:rFonts w:hint="eastAsia"/>
                <w:lang w:val="en-US" w:eastAsia="zh-CN"/>
              </w:rPr>
              <w:t>用地布局规划图（附图2）</w:t>
            </w:r>
            <w:r>
              <w:rPr>
                <w:rFonts w:hint="eastAsia" w:cs="Times New Roman"/>
                <w:b w:val="0"/>
                <w:bCs w:val="0"/>
                <w:color w:val="auto"/>
                <w:sz w:val="24"/>
                <w:lang w:val="en-US" w:eastAsia="zh-CN"/>
              </w:rPr>
              <w:t>和</w:t>
            </w:r>
            <w:r>
              <w:rPr>
                <w:rFonts w:hint="eastAsia"/>
                <w:lang w:val="en-US" w:eastAsia="zh-CN"/>
              </w:rPr>
              <w:t>达州市通川经开区（魏涌单元和东岳单元）国土空间用地规划图（附图3）可知，</w:t>
            </w:r>
            <w:r>
              <w:rPr>
                <w:rFonts w:hint="eastAsia"/>
              </w:rPr>
              <w:t>本项目</w:t>
            </w:r>
            <w:r>
              <w:rPr>
                <w:rFonts w:hint="eastAsia"/>
                <w:lang w:val="en-US" w:eastAsia="zh-CN"/>
              </w:rPr>
              <w:t>规划</w:t>
            </w:r>
            <w:r>
              <w:rPr>
                <w:rFonts w:hint="eastAsia"/>
              </w:rPr>
              <w:t>用地性质为工业用地。</w:t>
            </w:r>
            <w:r>
              <w:rPr>
                <w:rFonts w:hint="eastAsia"/>
                <w:lang w:val="en-US" w:eastAsia="zh-CN"/>
              </w:rPr>
              <w:t>目前建设单位已取得四川达州通川经济开发区管理委员会出具的《关于聚智（达州）氢能科技有限公司入驻园区的函》（附件3），同意本项目入驻园区。</w:t>
            </w:r>
          </w:p>
          <w:p w14:paraId="4D3432B6">
            <w:pPr>
              <w:bidi w:val="0"/>
              <w:ind w:firstLine="480"/>
              <w:jc w:val="both"/>
              <w:rPr>
                <w:rFonts w:hint="eastAsia"/>
              </w:rPr>
            </w:pPr>
            <w:r>
              <w:rPr>
                <w:rFonts w:hint="eastAsia"/>
              </w:rPr>
              <w:t>因此，本项目符合</w:t>
            </w:r>
            <w:r>
              <w:rPr>
                <w:rFonts w:hint="eastAsia"/>
                <w:lang w:val="en-US" w:eastAsia="zh-CN"/>
              </w:rPr>
              <w:t>达州通川经开区</w:t>
            </w:r>
            <w:r>
              <w:rPr>
                <w:rFonts w:hint="eastAsia"/>
              </w:rPr>
              <w:t>的土地利用规划。</w:t>
            </w:r>
          </w:p>
          <w:p w14:paraId="4476FE71">
            <w:pPr>
              <w:bidi w:val="0"/>
              <w:jc w:val="both"/>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rFonts w:hint="eastAsia"/>
                <w:b w:val="0"/>
                <w:bCs w:val="0"/>
              </w:rPr>
              <w:t>选址合理性分析</w:t>
            </w:r>
          </w:p>
          <w:p w14:paraId="7A8F26E7">
            <w:pPr>
              <w:bidi w:val="0"/>
              <w:jc w:val="both"/>
              <w:rPr>
                <w:rFonts w:hint="default" w:eastAsiaTheme="minorEastAsia"/>
                <w:b/>
                <w:bCs/>
                <w:lang w:val="en-US" w:eastAsia="zh-CN"/>
              </w:rPr>
            </w:pPr>
            <w:r>
              <w:rPr>
                <w:rFonts w:hint="eastAsia"/>
                <w:b/>
                <w:bCs/>
                <w:lang w:val="en-US" w:eastAsia="zh-CN"/>
              </w:rPr>
              <w:t>项目外环境关系介绍：</w:t>
            </w:r>
          </w:p>
          <w:p w14:paraId="2AC5A981">
            <w:pPr>
              <w:keepNext w:val="0"/>
              <w:keepLines w:val="0"/>
              <w:pageBreakBefore w:val="0"/>
              <w:widowControl w:val="0"/>
              <w:kinsoku/>
              <w:wordWrap/>
              <w:overflowPunct/>
              <w:topLinePunct w:val="0"/>
              <w:autoSpaceDE/>
              <w:autoSpaceDN/>
              <w:bidi w:val="0"/>
              <w:adjustRightInd/>
              <w:snapToGrid/>
              <w:jc w:val="both"/>
              <w:textAlignment w:val="auto"/>
              <w:rPr>
                <w:rFonts w:hint="eastAsia"/>
              </w:rPr>
            </w:pPr>
            <w:r>
              <w:t>本项目选址于</w:t>
            </w:r>
            <w:r>
              <w:rPr>
                <w:rFonts w:hint="eastAsia"/>
                <w:lang w:val="en-US" w:eastAsia="zh-CN"/>
              </w:rPr>
              <w:t>四川省达州市通川区经济开发区魏兴大道1号川菜高新技术产业园</w:t>
            </w:r>
            <w:r>
              <w:rPr>
                <w:rFonts w:hint="eastAsia"/>
              </w:rPr>
              <w:t>区</w:t>
            </w:r>
            <w:r>
              <w:rPr>
                <w:rFonts w:hint="eastAsia"/>
                <w:lang w:val="en-US" w:eastAsia="zh-CN"/>
              </w:rPr>
              <w:t>二期16栋</w:t>
            </w:r>
            <w:r>
              <w:rPr>
                <w:rFonts w:hint="eastAsia"/>
              </w:rPr>
              <w:t>，</w:t>
            </w:r>
            <w:r>
              <w:rPr>
                <w:rFonts w:hint="eastAsia"/>
                <w:lang w:val="en-US" w:eastAsia="zh-CN"/>
              </w:rPr>
              <w:t>系租赁厂房，本次技改项目利用原有预留区域进行</w:t>
            </w:r>
            <w:r>
              <w:rPr>
                <w:rFonts w:hint="eastAsia"/>
              </w:rPr>
              <w:t>。</w:t>
            </w:r>
            <w:r>
              <w:rPr>
                <w:rFonts w:hint="eastAsia"/>
                <w:lang w:val="en-US" w:eastAsia="zh-CN"/>
              </w:rPr>
              <w:t>目前，川菜高新技术产业园</w:t>
            </w:r>
            <w:r>
              <w:rPr>
                <w:rFonts w:hint="eastAsia"/>
              </w:rPr>
              <w:t>区</w:t>
            </w:r>
            <w:r>
              <w:rPr>
                <w:rFonts w:hint="eastAsia"/>
                <w:lang w:val="en-US" w:eastAsia="zh-CN"/>
              </w:rPr>
              <w:t>二期目前仅本项目入驻，其余厂房空置。项目</w:t>
            </w:r>
            <w:r>
              <w:rPr>
                <w:rFonts w:hint="eastAsia"/>
              </w:rPr>
              <w:t>周边</w:t>
            </w:r>
            <w:r>
              <w:rPr>
                <w:rFonts w:hint="eastAsia"/>
                <w:lang w:val="en-US" w:eastAsia="zh-CN"/>
              </w:rPr>
              <w:t>存在部分居民、公司，</w:t>
            </w:r>
            <w:r>
              <w:rPr>
                <w:rFonts w:hint="eastAsia"/>
              </w:rPr>
              <w:t>不涉及饮用水水源保护区、自然保护区、风景名胜区、森林公园、文物保护单位等生态敏感区；不存在学校、医院等环境敏感保护目标</w:t>
            </w:r>
            <w:r>
              <w:rPr>
                <w:rFonts w:hint="eastAsia"/>
                <w:lang w:eastAsia="zh-CN"/>
              </w:rPr>
              <w:t>。</w:t>
            </w:r>
            <w:r>
              <w:rPr>
                <w:rFonts w:hint="eastAsia"/>
              </w:rPr>
              <w:t>本项目</w:t>
            </w:r>
            <w:r>
              <w:rPr>
                <w:rFonts w:hint="eastAsia"/>
                <w:lang w:val="en-US" w:eastAsia="zh-CN"/>
              </w:rPr>
              <w:t>厂房</w:t>
            </w:r>
            <w:r>
              <w:rPr>
                <w:rFonts w:hint="eastAsia"/>
              </w:rPr>
              <w:t>500m范围内外环境关系如下：</w:t>
            </w:r>
          </w:p>
          <w:p w14:paraId="6A58157B">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北侧：约470m存在散户居民，约50人；</w:t>
            </w:r>
          </w:p>
          <w:p w14:paraId="74CF3AAD">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西北侧：约410m存在散户，约4人；约470m存在散户居民，约30人；约500m存在散户居民，约10人；</w:t>
            </w:r>
          </w:p>
          <w:p w14:paraId="5F1A2A75">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西南侧：约430m存在散户居民，约12人；约310m存在散户居民，约3人；约480m存在散户居民，约20人；</w:t>
            </w:r>
          </w:p>
          <w:p w14:paraId="52BB5E40">
            <w:pPr>
              <w:bidi w:val="0"/>
              <w:jc w:val="both"/>
            </w:pPr>
            <w:r>
              <w:rPr>
                <w:rFonts w:hint="eastAsia"/>
              </w:rPr>
              <w:t>东侧：</w:t>
            </w:r>
            <w:r>
              <w:rPr>
                <w:rFonts w:hint="eastAsia"/>
                <w:lang w:val="en-US" w:eastAsia="zh-CN"/>
              </w:rPr>
              <w:t>约190m处有达州市龙兴米业有限公司（川菜高新技术产业园</w:t>
            </w:r>
            <w:r>
              <w:rPr>
                <w:rFonts w:hint="eastAsia"/>
              </w:rPr>
              <w:t>区</w:t>
            </w:r>
            <w:r>
              <w:rPr>
                <w:rFonts w:hint="eastAsia"/>
                <w:lang w:val="en-US" w:eastAsia="zh-CN"/>
              </w:rPr>
              <w:t>一期），劳动人员约3人；</w:t>
            </w:r>
          </w:p>
          <w:p w14:paraId="277E1813">
            <w:pPr>
              <w:bidi w:val="0"/>
              <w:jc w:val="both"/>
              <w:rPr>
                <w:rFonts w:hint="default"/>
                <w:lang w:val="en-US" w:eastAsia="zh-CN"/>
              </w:rPr>
            </w:pPr>
            <w:r>
              <w:rPr>
                <w:rFonts w:hint="eastAsia"/>
                <w:lang w:val="en-US" w:eastAsia="zh-CN"/>
              </w:rPr>
              <w:t>东南侧：约250m处有四川省三千道食品有限公司，劳动人员约5人；约320m为达州市辰越食品有限公司，劳动人员约3人；约250m处有四川巴蜀供销粮油有限公司，劳动人员约9人；</w:t>
            </w:r>
            <w:r>
              <w:rPr>
                <w:rFonts w:hint="eastAsia"/>
              </w:rPr>
              <w:t>约</w:t>
            </w:r>
            <w:r>
              <w:rPr>
                <w:rFonts w:hint="eastAsia"/>
                <w:lang w:val="en-US" w:eastAsia="zh-CN"/>
              </w:rPr>
              <w:t>460m为四川千洪食品有限公司，劳动人员约21人；</w:t>
            </w:r>
          </w:p>
          <w:p w14:paraId="1B12259D">
            <w:pPr>
              <w:bidi w:val="0"/>
              <w:jc w:val="both"/>
              <w:rPr>
                <w:rFonts w:hint="eastAsia"/>
                <w:lang w:val="en-US" w:eastAsia="zh-CN"/>
              </w:rPr>
            </w:pPr>
            <w:r>
              <w:rPr>
                <w:rFonts w:hint="eastAsia"/>
                <w:lang w:val="en-US" w:eastAsia="zh-CN"/>
              </w:rPr>
              <w:t>东北侧：约330m处有四川山椒生物科技有限公司（川菜高新技术产业园</w:t>
            </w:r>
            <w:r>
              <w:rPr>
                <w:rFonts w:hint="eastAsia"/>
              </w:rPr>
              <w:t>区</w:t>
            </w:r>
            <w:r>
              <w:rPr>
                <w:rFonts w:hint="eastAsia"/>
                <w:lang w:val="en-US" w:eastAsia="zh-CN"/>
              </w:rPr>
              <w:t>一期），劳动人员约12人；约370m为四川锦上锦农业科技有限公司（川菜高新技术产业园</w:t>
            </w:r>
            <w:r>
              <w:rPr>
                <w:rFonts w:hint="eastAsia"/>
              </w:rPr>
              <w:t>区</w:t>
            </w:r>
            <w:r>
              <w:rPr>
                <w:rFonts w:hint="eastAsia"/>
                <w:lang w:val="en-US" w:eastAsia="zh-CN"/>
              </w:rPr>
              <w:t>一期），劳动人员约18人。</w:t>
            </w:r>
          </w:p>
          <w:p w14:paraId="3A2C7714">
            <w:pPr>
              <w:bidi w:val="0"/>
              <w:jc w:val="both"/>
              <w:rPr>
                <w:rFonts w:hint="eastAsia"/>
                <w:lang w:val="en-US" w:eastAsia="zh-CN"/>
              </w:rPr>
            </w:pPr>
            <w:r>
              <w:rPr>
                <w:rFonts w:hint="eastAsia"/>
                <w:lang w:val="en-US" w:eastAsia="zh-CN"/>
              </w:rPr>
              <w:t>本项目外环境关系见下表1-15。</w:t>
            </w:r>
          </w:p>
          <w:p w14:paraId="4CDC94E2">
            <w:pPr>
              <w:pStyle w:val="7"/>
              <w:bidi w:val="0"/>
              <w:jc w:val="center"/>
              <w:rPr>
                <w:lang w:val="en-US" w:eastAsia="zh-CN"/>
              </w:rPr>
            </w:pPr>
            <w:r>
              <w:rPr>
                <w:lang w:val="en-US" w:eastAsia="zh-CN"/>
              </w:rPr>
              <w:t>表1</w:t>
            </w:r>
            <w:r>
              <w:rPr>
                <w:rFonts w:hint="eastAsia"/>
                <w:lang w:val="en-US" w:eastAsia="zh-CN"/>
              </w:rPr>
              <w:t>-15</w:t>
            </w:r>
            <w:r>
              <w:rPr>
                <w:lang w:val="en-US" w:eastAsia="zh-CN"/>
              </w:rPr>
              <w:t xml:space="preserve"> </w:t>
            </w:r>
            <w:r>
              <w:rPr>
                <w:rFonts w:hint="eastAsia"/>
                <w:lang w:val="en-US" w:eastAsia="zh-CN"/>
              </w:rPr>
              <w:t xml:space="preserve"> 项目</w:t>
            </w:r>
            <w:r>
              <w:rPr>
                <w:lang w:val="en-US" w:eastAsia="zh-CN"/>
              </w:rPr>
              <w:t>外环境关系一览表</w:t>
            </w:r>
          </w:p>
          <w:tbl>
            <w:tblPr>
              <w:tblStyle w:val="31"/>
              <w:tblW w:w="486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98"/>
              <w:gridCol w:w="1484"/>
              <w:gridCol w:w="1394"/>
              <w:gridCol w:w="1320"/>
              <w:gridCol w:w="2102"/>
            </w:tblGrid>
            <w:tr w14:paraId="016E8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bottom w:val="single" w:color="auto" w:sz="12" w:space="0"/>
                  </w:tcBorders>
                  <w:vAlign w:val="center"/>
                </w:tcPr>
                <w:p w14:paraId="13402EC5">
                  <w:pPr>
                    <w:pStyle w:val="5"/>
                    <w:keepNext/>
                    <w:keepLines/>
                    <w:pageBreakBefore w:val="0"/>
                    <w:widowControl w:val="0"/>
                    <w:kinsoku/>
                    <w:wordWrap w:val="0"/>
                    <w:overflowPunct/>
                    <w:topLinePunct w:val="0"/>
                    <w:autoSpaceDE/>
                    <w:autoSpaceDN/>
                    <w:bidi w:val="0"/>
                    <w:adjustRightInd/>
                    <w:snapToGrid/>
                    <w:jc w:val="center"/>
                    <w:textAlignment w:val="auto"/>
                    <w:rPr>
                      <w:b/>
                      <w:bCs/>
                      <w:lang w:val="en-US" w:eastAsia="zh-CN"/>
                    </w:rPr>
                  </w:pPr>
                  <w:r>
                    <w:rPr>
                      <w:rFonts w:hint="eastAsia"/>
                      <w:b/>
                      <w:bCs/>
                      <w:lang w:val="en-US" w:eastAsia="zh-CN"/>
                    </w:rPr>
                    <w:t>序号</w:t>
                  </w:r>
                </w:p>
              </w:tc>
              <w:tc>
                <w:tcPr>
                  <w:tcW w:w="984" w:type="pct"/>
                  <w:tcBorders>
                    <w:bottom w:val="single" w:color="auto" w:sz="12" w:space="0"/>
                  </w:tcBorders>
                  <w:vAlign w:val="center"/>
                </w:tcPr>
                <w:p w14:paraId="6ABA0633">
                  <w:pPr>
                    <w:pStyle w:val="5"/>
                    <w:keepNext/>
                    <w:keepLines/>
                    <w:pageBreakBefore w:val="0"/>
                    <w:widowControl w:val="0"/>
                    <w:kinsoku/>
                    <w:wordWrap w:val="0"/>
                    <w:overflowPunct/>
                    <w:topLinePunct w:val="0"/>
                    <w:autoSpaceDE/>
                    <w:autoSpaceDN/>
                    <w:bidi w:val="0"/>
                    <w:adjustRightInd/>
                    <w:snapToGrid/>
                    <w:jc w:val="center"/>
                    <w:textAlignment w:val="auto"/>
                    <w:rPr>
                      <w:b/>
                      <w:bCs/>
                      <w:lang w:val="en-US" w:eastAsia="zh-CN"/>
                    </w:rPr>
                  </w:pPr>
                  <w:r>
                    <w:rPr>
                      <w:rFonts w:hint="eastAsia"/>
                      <w:b/>
                      <w:bCs/>
                      <w:lang w:val="en-US" w:eastAsia="zh-CN"/>
                    </w:rPr>
                    <w:t>名称</w:t>
                  </w:r>
                </w:p>
              </w:tc>
              <w:tc>
                <w:tcPr>
                  <w:tcW w:w="860" w:type="pct"/>
                  <w:tcBorders>
                    <w:bottom w:val="single" w:color="auto" w:sz="12" w:space="0"/>
                  </w:tcBorders>
                  <w:vAlign w:val="center"/>
                </w:tcPr>
                <w:p w14:paraId="1F111B3D">
                  <w:pPr>
                    <w:pStyle w:val="5"/>
                    <w:keepNext/>
                    <w:keepLines/>
                    <w:pageBreakBefore w:val="0"/>
                    <w:widowControl w:val="0"/>
                    <w:kinsoku/>
                    <w:wordWrap w:val="0"/>
                    <w:overflowPunct/>
                    <w:topLinePunct w:val="0"/>
                    <w:autoSpaceDE/>
                    <w:autoSpaceDN/>
                    <w:bidi w:val="0"/>
                    <w:adjustRightInd/>
                    <w:snapToGrid/>
                    <w:jc w:val="center"/>
                    <w:textAlignment w:val="auto"/>
                    <w:rPr>
                      <w:rFonts w:hint="default"/>
                      <w:b/>
                      <w:bCs/>
                      <w:lang w:val="en-US" w:eastAsia="zh-CN"/>
                    </w:rPr>
                  </w:pPr>
                  <w:r>
                    <w:rPr>
                      <w:rFonts w:hint="eastAsia"/>
                      <w:b/>
                      <w:bCs/>
                      <w:lang w:val="en-US" w:eastAsia="zh-CN"/>
                    </w:rPr>
                    <w:t>规模</w:t>
                  </w:r>
                </w:p>
              </w:tc>
              <w:tc>
                <w:tcPr>
                  <w:tcW w:w="808" w:type="pct"/>
                  <w:tcBorders>
                    <w:bottom w:val="single" w:color="auto" w:sz="12" w:space="0"/>
                  </w:tcBorders>
                  <w:vAlign w:val="center"/>
                </w:tcPr>
                <w:p w14:paraId="57C90A67">
                  <w:pPr>
                    <w:pStyle w:val="5"/>
                    <w:keepNext/>
                    <w:keepLines/>
                    <w:pageBreakBefore w:val="0"/>
                    <w:widowControl w:val="0"/>
                    <w:kinsoku/>
                    <w:wordWrap w:val="0"/>
                    <w:overflowPunct/>
                    <w:topLinePunct w:val="0"/>
                    <w:autoSpaceDE/>
                    <w:autoSpaceDN/>
                    <w:bidi w:val="0"/>
                    <w:adjustRightInd/>
                    <w:snapToGrid/>
                    <w:jc w:val="center"/>
                    <w:textAlignment w:val="auto"/>
                    <w:rPr>
                      <w:b/>
                      <w:bCs/>
                      <w:lang w:val="en-US" w:eastAsia="zh-CN"/>
                    </w:rPr>
                  </w:pPr>
                  <w:r>
                    <w:rPr>
                      <w:rFonts w:hint="eastAsia"/>
                      <w:b/>
                      <w:bCs/>
                      <w:lang w:val="en-US" w:eastAsia="zh-CN"/>
                    </w:rPr>
                    <w:t>相对于厂址方位</w:t>
                  </w:r>
                </w:p>
              </w:tc>
              <w:tc>
                <w:tcPr>
                  <w:tcW w:w="765" w:type="pct"/>
                  <w:tcBorders>
                    <w:bottom w:val="single" w:color="auto" w:sz="12" w:space="0"/>
                  </w:tcBorders>
                  <w:vAlign w:val="center"/>
                </w:tcPr>
                <w:p w14:paraId="0F75ED3C">
                  <w:pPr>
                    <w:pStyle w:val="5"/>
                    <w:keepNext/>
                    <w:keepLines/>
                    <w:pageBreakBefore w:val="0"/>
                    <w:widowControl w:val="0"/>
                    <w:kinsoku/>
                    <w:wordWrap w:val="0"/>
                    <w:overflowPunct/>
                    <w:topLinePunct w:val="0"/>
                    <w:autoSpaceDE/>
                    <w:autoSpaceDN/>
                    <w:bidi w:val="0"/>
                    <w:adjustRightInd/>
                    <w:snapToGrid/>
                    <w:jc w:val="center"/>
                    <w:textAlignment w:val="auto"/>
                    <w:rPr>
                      <w:rFonts w:hint="eastAsia"/>
                      <w:b/>
                      <w:bCs/>
                      <w:lang w:val="en-US" w:eastAsia="zh-CN"/>
                    </w:rPr>
                  </w:pPr>
                  <w:r>
                    <w:rPr>
                      <w:rFonts w:hint="eastAsia"/>
                      <w:b/>
                      <w:bCs/>
                      <w:lang w:val="en-US" w:eastAsia="zh-CN"/>
                    </w:rPr>
                    <w:t>相对于厂址距离</w:t>
                  </w:r>
                </w:p>
                <w:p w14:paraId="3113AB0E">
                  <w:pPr>
                    <w:pStyle w:val="5"/>
                    <w:keepNext/>
                    <w:keepLines/>
                    <w:pageBreakBefore w:val="0"/>
                    <w:widowControl w:val="0"/>
                    <w:kinsoku/>
                    <w:wordWrap w:val="0"/>
                    <w:overflowPunct/>
                    <w:topLinePunct w:val="0"/>
                    <w:autoSpaceDE/>
                    <w:autoSpaceDN/>
                    <w:bidi w:val="0"/>
                    <w:adjustRightInd/>
                    <w:snapToGrid/>
                    <w:jc w:val="center"/>
                    <w:textAlignment w:val="auto"/>
                    <w:rPr>
                      <w:b/>
                      <w:bCs/>
                      <w:lang w:val="en-US" w:eastAsia="zh-CN"/>
                    </w:rPr>
                  </w:pPr>
                  <w:r>
                    <w:rPr>
                      <w:rFonts w:hint="eastAsia"/>
                      <w:b/>
                      <w:bCs/>
                      <w:lang w:val="en-US" w:eastAsia="zh-CN"/>
                    </w:rPr>
                    <w:t>（m）</w:t>
                  </w:r>
                </w:p>
              </w:tc>
              <w:tc>
                <w:tcPr>
                  <w:tcW w:w="1218" w:type="pct"/>
                  <w:tcBorders>
                    <w:bottom w:val="single" w:color="auto" w:sz="12" w:space="0"/>
                  </w:tcBorders>
                  <w:vAlign w:val="center"/>
                </w:tcPr>
                <w:p w14:paraId="16FCA553">
                  <w:pPr>
                    <w:pStyle w:val="5"/>
                    <w:keepNext/>
                    <w:keepLines/>
                    <w:pageBreakBefore w:val="0"/>
                    <w:widowControl w:val="0"/>
                    <w:kinsoku/>
                    <w:wordWrap w:val="0"/>
                    <w:overflowPunct/>
                    <w:topLinePunct w:val="0"/>
                    <w:autoSpaceDE/>
                    <w:autoSpaceDN/>
                    <w:bidi w:val="0"/>
                    <w:adjustRightInd/>
                    <w:snapToGrid/>
                    <w:jc w:val="center"/>
                    <w:textAlignment w:val="auto"/>
                    <w:rPr>
                      <w:b/>
                      <w:bCs/>
                      <w:lang w:val="en-US" w:eastAsia="zh-CN"/>
                    </w:rPr>
                  </w:pPr>
                  <w:r>
                    <w:rPr>
                      <w:rFonts w:hint="eastAsia"/>
                      <w:b/>
                      <w:bCs/>
                      <w:lang w:val="en-US" w:eastAsia="zh-CN"/>
                    </w:rPr>
                    <w:t>性质</w:t>
                  </w:r>
                </w:p>
              </w:tc>
            </w:tr>
            <w:tr w14:paraId="3D288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362" w:type="pct"/>
                  <w:tcBorders>
                    <w:tl2br w:val="nil"/>
                    <w:tr2bl w:val="nil"/>
                  </w:tcBorders>
                  <w:vAlign w:val="center"/>
                </w:tcPr>
                <w:p w14:paraId="14A30693">
                  <w:pPr>
                    <w:pStyle w:val="5"/>
                    <w:bidi w:val="0"/>
                    <w:jc w:val="center"/>
                    <w:rPr>
                      <w:rFonts w:hint="default"/>
                      <w:lang w:val="en-US" w:eastAsia="zh-CN"/>
                    </w:rPr>
                  </w:pPr>
                  <w:r>
                    <w:rPr>
                      <w:rFonts w:hint="eastAsia"/>
                      <w:lang w:val="en-US" w:eastAsia="zh-CN"/>
                    </w:rPr>
                    <w:t>1#</w:t>
                  </w:r>
                </w:p>
              </w:tc>
              <w:tc>
                <w:tcPr>
                  <w:tcW w:w="984" w:type="pct"/>
                  <w:tcBorders>
                    <w:tl2br w:val="nil"/>
                    <w:tr2bl w:val="nil"/>
                  </w:tcBorders>
                  <w:shd w:val="clear" w:color="auto" w:fill="auto"/>
                  <w:vAlign w:val="center"/>
                </w:tcPr>
                <w:p w14:paraId="5154CF0A">
                  <w:pPr>
                    <w:pStyle w:val="5"/>
                    <w:bidi w:val="0"/>
                    <w:jc w:val="center"/>
                    <w:rPr>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1576B53F">
                  <w:pPr>
                    <w:pStyle w:val="5"/>
                    <w:bidi w:val="0"/>
                    <w:jc w:val="center"/>
                    <w:rPr>
                      <w:rFonts w:hint="eastAsia"/>
                      <w:lang w:val="en-US" w:eastAsia="zh-CN"/>
                    </w:rPr>
                  </w:pPr>
                  <w:r>
                    <w:rPr>
                      <w:rFonts w:hint="eastAsia"/>
                      <w:lang w:val="en-US" w:eastAsia="zh-CN"/>
                    </w:rPr>
                    <w:t>12户、50人</w:t>
                  </w:r>
                </w:p>
              </w:tc>
              <w:tc>
                <w:tcPr>
                  <w:tcW w:w="808" w:type="pct"/>
                  <w:tcBorders>
                    <w:tl2br w:val="nil"/>
                    <w:tr2bl w:val="nil"/>
                  </w:tcBorders>
                  <w:shd w:val="clear" w:color="auto" w:fill="auto"/>
                  <w:vAlign w:val="center"/>
                </w:tcPr>
                <w:p w14:paraId="4622CFB1">
                  <w:pPr>
                    <w:pStyle w:val="5"/>
                    <w:bidi w:val="0"/>
                    <w:jc w:val="center"/>
                    <w:rPr>
                      <w:rFonts w:hint="default"/>
                      <w:lang w:val="en-US" w:eastAsia="zh-CN"/>
                    </w:rPr>
                  </w:pPr>
                  <w:r>
                    <w:rPr>
                      <w:rFonts w:hint="eastAsia"/>
                      <w:lang w:val="en-US" w:eastAsia="zh-CN"/>
                    </w:rPr>
                    <w:t>北</w:t>
                  </w:r>
                </w:p>
              </w:tc>
              <w:tc>
                <w:tcPr>
                  <w:tcW w:w="765" w:type="pct"/>
                  <w:tcBorders>
                    <w:tl2br w:val="nil"/>
                    <w:tr2bl w:val="nil"/>
                  </w:tcBorders>
                  <w:shd w:val="clear" w:color="auto" w:fill="auto"/>
                  <w:vAlign w:val="center"/>
                </w:tcPr>
                <w:p w14:paraId="4B8F3DC2">
                  <w:pPr>
                    <w:pStyle w:val="5"/>
                    <w:bidi w:val="0"/>
                    <w:jc w:val="center"/>
                    <w:rPr>
                      <w:rFonts w:hint="default"/>
                      <w:lang w:val="en-US" w:eastAsia="zh-CN"/>
                    </w:rPr>
                  </w:pPr>
                  <w:r>
                    <w:rPr>
                      <w:rFonts w:hint="eastAsia"/>
                      <w:lang w:val="en-US" w:eastAsia="zh-CN"/>
                    </w:rPr>
                    <w:t>470</w:t>
                  </w:r>
                </w:p>
              </w:tc>
              <w:tc>
                <w:tcPr>
                  <w:tcW w:w="1218" w:type="pct"/>
                  <w:tcBorders>
                    <w:tl2br w:val="nil"/>
                    <w:tr2bl w:val="nil"/>
                  </w:tcBorders>
                  <w:shd w:val="clear" w:color="auto" w:fill="auto"/>
                  <w:vAlign w:val="center"/>
                </w:tcPr>
                <w:p w14:paraId="748EB41E">
                  <w:pPr>
                    <w:pStyle w:val="5"/>
                    <w:bidi w:val="0"/>
                    <w:jc w:val="center"/>
                    <w:rPr>
                      <w:lang w:val="en-US" w:eastAsia="zh-CN"/>
                    </w:rPr>
                  </w:pPr>
                  <w:r>
                    <w:rPr>
                      <w:rFonts w:hint="eastAsia"/>
                      <w:lang w:val="en-US" w:eastAsia="zh-CN"/>
                    </w:rPr>
                    <w:t>农村居民</w:t>
                  </w:r>
                </w:p>
              </w:tc>
            </w:tr>
            <w:tr w14:paraId="20235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6944B4FA">
                  <w:pPr>
                    <w:pStyle w:val="5"/>
                    <w:bidi w:val="0"/>
                    <w:jc w:val="center"/>
                    <w:rPr>
                      <w:rFonts w:hint="eastAsia"/>
                      <w:lang w:val="en-US" w:eastAsia="zh-CN"/>
                    </w:rPr>
                  </w:pPr>
                  <w:r>
                    <w:rPr>
                      <w:rFonts w:hint="eastAsia"/>
                      <w:lang w:val="en-US" w:eastAsia="zh-CN"/>
                    </w:rPr>
                    <w:t>2#</w:t>
                  </w:r>
                </w:p>
              </w:tc>
              <w:tc>
                <w:tcPr>
                  <w:tcW w:w="984" w:type="pct"/>
                  <w:tcBorders>
                    <w:tl2br w:val="nil"/>
                    <w:tr2bl w:val="nil"/>
                  </w:tcBorders>
                  <w:shd w:val="clear" w:color="auto" w:fill="auto"/>
                  <w:vAlign w:val="center"/>
                </w:tcPr>
                <w:p w14:paraId="56AEC17F">
                  <w:pPr>
                    <w:pStyle w:val="5"/>
                    <w:bidi w:val="0"/>
                    <w:jc w:val="center"/>
                    <w:rPr>
                      <w:rFonts w:hint="eastAsia"/>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37BE785C">
                  <w:pPr>
                    <w:pStyle w:val="5"/>
                    <w:bidi w:val="0"/>
                    <w:jc w:val="center"/>
                    <w:rPr>
                      <w:rFonts w:hint="default"/>
                      <w:lang w:val="en-US" w:eastAsia="zh-CN"/>
                    </w:rPr>
                  </w:pPr>
                  <w:r>
                    <w:rPr>
                      <w:rFonts w:hint="eastAsia"/>
                      <w:lang w:val="en-US" w:eastAsia="zh-CN"/>
                    </w:rPr>
                    <w:t>11户、30人</w:t>
                  </w:r>
                </w:p>
              </w:tc>
              <w:tc>
                <w:tcPr>
                  <w:tcW w:w="808" w:type="pct"/>
                  <w:tcBorders>
                    <w:tl2br w:val="nil"/>
                    <w:tr2bl w:val="nil"/>
                  </w:tcBorders>
                  <w:shd w:val="clear" w:color="auto" w:fill="auto"/>
                  <w:vAlign w:val="center"/>
                </w:tcPr>
                <w:p w14:paraId="4383DF93">
                  <w:pPr>
                    <w:pStyle w:val="5"/>
                    <w:bidi w:val="0"/>
                    <w:jc w:val="center"/>
                    <w:rPr>
                      <w:rFonts w:hint="eastAsia"/>
                      <w:lang w:val="en-US" w:eastAsia="zh-CN"/>
                    </w:rPr>
                  </w:pPr>
                  <w:r>
                    <w:rPr>
                      <w:rFonts w:hint="eastAsia"/>
                      <w:lang w:val="en-US" w:eastAsia="zh-CN"/>
                    </w:rPr>
                    <w:t>西北</w:t>
                  </w:r>
                </w:p>
              </w:tc>
              <w:tc>
                <w:tcPr>
                  <w:tcW w:w="765" w:type="pct"/>
                  <w:tcBorders>
                    <w:tl2br w:val="nil"/>
                    <w:tr2bl w:val="nil"/>
                  </w:tcBorders>
                  <w:shd w:val="clear" w:color="auto" w:fill="auto"/>
                  <w:vAlign w:val="center"/>
                </w:tcPr>
                <w:p w14:paraId="71051678">
                  <w:pPr>
                    <w:pStyle w:val="5"/>
                    <w:bidi w:val="0"/>
                    <w:jc w:val="center"/>
                    <w:rPr>
                      <w:rFonts w:hint="default"/>
                      <w:lang w:val="en-US" w:eastAsia="zh-CN"/>
                    </w:rPr>
                  </w:pPr>
                  <w:r>
                    <w:rPr>
                      <w:rFonts w:hint="eastAsia"/>
                      <w:lang w:val="en-US" w:eastAsia="zh-CN"/>
                    </w:rPr>
                    <w:t>470</w:t>
                  </w:r>
                </w:p>
              </w:tc>
              <w:tc>
                <w:tcPr>
                  <w:tcW w:w="1218" w:type="pct"/>
                  <w:tcBorders>
                    <w:tl2br w:val="nil"/>
                    <w:tr2bl w:val="nil"/>
                  </w:tcBorders>
                  <w:shd w:val="clear" w:color="auto" w:fill="auto"/>
                  <w:vAlign w:val="center"/>
                </w:tcPr>
                <w:p w14:paraId="04595D01">
                  <w:pPr>
                    <w:pStyle w:val="5"/>
                    <w:bidi w:val="0"/>
                    <w:jc w:val="center"/>
                    <w:rPr>
                      <w:rFonts w:hint="default"/>
                      <w:lang w:val="en-US" w:eastAsia="zh-CN"/>
                    </w:rPr>
                  </w:pPr>
                  <w:r>
                    <w:rPr>
                      <w:rFonts w:hint="eastAsia"/>
                      <w:lang w:val="en-US" w:eastAsia="zh-CN"/>
                    </w:rPr>
                    <w:t>农村居民</w:t>
                  </w:r>
                </w:p>
              </w:tc>
            </w:tr>
            <w:tr w14:paraId="704A4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774B9C67">
                  <w:pPr>
                    <w:pStyle w:val="5"/>
                    <w:bidi w:val="0"/>
                    <w:jc w:val="center"/>
                    <w:rPr>
                      <w:lang w:val="en-US" w:eastAsia="zh-CN"/>
                    </w:rPr>
                  </w:pPr>
                  <w:r>
                    <w:rPr>
                      <w:rFonts w:hint="eastAsia"/>
                      <w:lang w:val="en-US" w:eastAsia="zh-CN"/>
                    </w:rPr>
                    <w:t>3#</w:t>
                  </w:r>
                </w:p>
              </w:tc>
              <w:tc>
                <w:tcPr>
                  <w:tcW w:w="984" w:type="pct"/>
                  <w:tcBorders>
                    <w:tl2br w:val="nil"/>
                    <w:tr2bl w:val="nil"/>
                  </w:tcBorders>
                  <w:shd w:val="clear" w:color="auto" w:fill="auto"/>
                  <w:vAlign w:val="center"/>
                </w:tcPr>
                <w:p w14:paraId="0583B216">
                  <w:pPr>
                    <w:pStyle w:val="5"/>
                    <w:bidi w:val="0"/>
                    <w:jc w:val="center"/>
                    <w:rPr>
                      <w:rFonts w:hint="default"/>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0E862325">
                  <w:pPr>
                    <w:pStyle w:val="5"/>
                    <w:bidi w:val="0"/>
                    <w:jc w:val="center"/>
                    <w:rPr>
                      <w:rFonts w:hint="eastAsia"/>
                      <w:lang w:val="en-US" w:eastAsia="zh-CN"/>
                    </w:rPr>
                  </w:pPr>
                  <w:r>
                    <w:rPr>
                      <w:rFonts w:hint="eastAsia"/>
                      <w:lang w:val="en-US" w:eastAsia="zh-CN"/>
                    </w:rPr>
                    <w:t>1户、4人</w:t>
                  </w:r>
                </w:p>
              </w:tc>
              <w:tc>
                <w:tcPr>
                  <w:tcW w:w="808" w:type="pct"/>
                  <w:tcBorders>
                    <w:tl2br w:val="nil"/>
                    <w:tr2bl w:val="nil"/>
                  </w:tcBorders>
                  <w:shd w:val="clear" w:color="auto" w:fill="auto"/>
                  <w:vAlign w:val="center"/>
                </w:tcPr>
                <w:p w14:paraId="32D5D29E">
                  <w:pPr>
                    <w:pStyle w:val="5"/>
                    <w:bidi w:val="0"/>
                    <w:jc w:val="center"/>
                    <w:rPr>
                      <w:rFonts w:hint="default"/>
                      <w:lang w:val="en-US" w:eastAsia="zh-CN"/>
                    </w:rPr>
                  </w:pPr>
                  <w:r>
                    <w:rPr>
                      <w:rFonts w:hint="eastAsia"/>
                      <w:lang w:val="en-US" w:eastAsia="zh-CN"/>
                    </w:rPr>
                    <w:t>西北</w:t>
                  </w:r>
                </w:p>
              </w:tc>
              <w:tc>
                <w:tcPr>
                  <w:tcW w:w="765" w:type="pct"/>
                  <w:tcBorders>
                    <w:tl2br w:val="nil"/>
                    <w:tr2bl w:val="nil"/>
                  </w:tcBorders>
                  <w:shd w:val="clear" w:color="auto" w:fill="auto"/>
                  <w:vAlign w:val="center"/>
                </w:tcPr>
                <w:p w14:paraId="0A736E54">
                  <w:pPr>
                    <w:pStyle w:val="5"/>
                    <w:bidi w:val="0"/>
                    <w:jc w:val="center"/>
                    <w:rPr>
                      <w:rFonts w:hint="default"/>
                      <w:lang w:val="en-US" w:eastAsia="zh-CN"/>
                    </w:rPr>
                  </w:pPr>
                  <w:r>
                    <w:rPr>
                      <w:rFonts w:hint="eastAsia"/>
                      <w:lang w:val="en-US" w:eastAsia="zh-CN"/>
                    </w:rPr>
                    <w:t>410</w:t>
                  </w:r>
                </w:p>
              </w:tc>
              <w:tc>
                <w:tcPr>
                  <w:tcW w:w="1218" w:type="pct"/>
                  <w:tcBorders>
                    <w:tl2br w:val="nil"/>
                    <w:tr2bl w:val="nil"/>
                  </w:tcBorders>
                  <w:shd w:val="clear" w:color="auto" w:fill="auto"/>
                  <w:vAlign w:val="center"/>
                </w:tcPr>
                <w:p w14:paraId="62CCF343">
                  <w:pPr>
                    <w:pStyle w:val="5"/>
                    <w:bidi w:val="0"/>
                    <w:jc w:val="center"/>
                    <w:rPr>
                      <w:rFonts w:hint="default"/>
                      <w:lang w:val="en-US" w:eastAsia="zh-CN"/>
                    </w:rPr>
                  </w:pPr>
                  <w:r>
                    <w:rPr>
                      <w:rFonts w:hint="eastAsia"/>
                      <w:lang w:val="en-US" w:eastAsia="zh-CN"/>
                    </w:rPr>
                    <w:t>农村居民</w:t>
                  </w:r>
                </w:p>
              </w:tc>
            </w:tr>
            <w:tr w14:paraId="3BB04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35568B43">
                  <w:pPr>
                    <w:pStyle w:val="5"/>
                    <w:bidi w:val="0"/>
                    <w:jc w:val="center"/>
                    <w:rPr>
                      <w:rFonts w:hint="eastAsia"/>
                      <w:lang w:val="en-US" w:eastAsia="zh-CN"/>
                    </w:rPr>
                  </w:pPr>
                  <w:r>
                    <w:rPr>
                      <w:rFonts w:hint="eastAsia"/>
                      <w:lang w:val="en-US" w:eastAsia="zh-CN"/>
                    </w:rPr>
                    <w:t>4#</w:t>
                  </w:r>
                </w:p>
              </w:tc>
              <w:tc>
                <w:tcPr>
                  <w:tcW w:w="984" w:type="pct"/>
                  <w:tcBorders>
                    <w:tl2br w:val="nil"/>
                    <w:tr2bl w:val="nil"/>
                  </w:tcBorders>
                  <w:shd w:val="clear" w:color="auto" w:fill="auto"/>
                  <w:vAlign w:val="center"/>
                </w:tcPr>
                <w:p w14:paraId="1D25CC21">
                  <w:pPr>
                    <w:pStyle w:val="5"/>
                    <w:bidi w:val="0"/>
                    <w:jc w:val="center"/>
                    <w:rPr>
                      <w:rFonts w:hint="eastAsia"/>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5F10D389">
                  <w:pPr>
                    <w:pStyle w:val="5"/>
                    <w:bidi w:val="0"/>
                    <w:jc w:val="center"/>
                    <w:rPr>
                      <w:rFonts w:hint="eastAsia"/>
                      <w:lang w:val="en-US" w:eastAsia="zh-CN"/>
                    </w:rPr>
                  </w:pPr>
                  <w:r>
                    <w:rPr>
                      <w:rFonts w:hint="eastAsia"/>
                      <w:lang w:val="en-US" w:eastAsia="zh-CN"/>
                    </w:rPr>
                    <w:t>3户、10人</w:t>
                  </w:r>
                </w:p>
              </w:tc>
              <w:tc>
                <w:tcPr>
                  <w:tcW w:w="808" w:type="pct"/>
                  <w:tcBorders>
                    <w:tl2br w:val="nil"/>
                    <w:tr2bl w:val="nil"/>
                  </w:tcBorders>
                  <w:shd w:val="clear" w:color="auto" w:fill="auto"/>
                  <w:vAlign w:val="center"/>
                </w:tcPr>
                <w:p w14:paraId="1AD825CA">
                  <w:pPr>
                    <w:pStyle w:val="5"/>
                    <w:bidi w:val="0"/>
                    <w:jc w:val="center"/>
                    <w:rPr>
                      <w:rFonts w:hint="eastAsia"/>
                      <w:lang w:val="en-US" w:eastAsia="zh-CN"/>
                    </w:rPr>
                  </w:pPr>
                  <w:r>
                    <w:rPr>
                      <w:rFonts w:hint="eastAsia"/>
                      <w:lang w:val="en-US" w:eastAsia="zh-CN"/>
                    </w:rPr>
                    <w:t>西北</w:t>
                  </w:r>
                </w:p>
              </w:tc>
              <w:tc>
                <w:tcPr>
                  <w:tcW w:w="765" w:type="pct"/>
                  <w:tcBorders>
                    <w:tl2br w:val="nil"/>
                    <w:tr2bl w:val="nil"/>
                  </w:tcBorders>
                  <w:shd w:val="clear" w:color="auto" w:fill="auto"/>
                  <w:vAlign w:val="center"/>
                </w:tcPr>
                <w:p w14:paraId="2A64FC01">
                  <w:pPr>
                    <w:pStyle w:val="5"/>
                    <w:bidi w:val="0"/>
                    <w:jc w:val="center"/>
                    <w:rPr>
                      <w:rFonts w:hint="default"/>
                      <w:lang w:val="en-US" w:eastAsia="zh-CN"/>
                    </w:rPr>
                  </w:pPr>
                  <w:r>
                    <w:rPr>
                      <w:rFonts w:hint="eastAsia"/>
                      <w:lang w:val="en-US" w:eastAsia="zh-CN"/>
                    </w:rPr>
                    <w:t>500</w:t>
                  </w:r>
                </w:p>
              </w:tc>
              <w:tc>
                <w:tcPr>
                  <w:tcW w:w="1218" w:type="pct"/>
                  <w:tcBorders>
                    <w:tl2br w:val="nil"/>
                    <w:tr2bl w:val="nil"/>
                  </w:tcBorders>
                  <w:shd w:val="clear" w:color="auto" w:fill="auto"/>
                  <w:vAlign w:val="center"/>
                </w:tcPr>
                <w:p w14:paraId="1AA9C2B2">
                  <w:pPr>
                    <w:pStyle w:val="5"/>
                    <w:bidi w:val="0"/>
                    <w:jc w:val="center"/>
                    <w:rPr>
                      <w:rFonts w:hint="eastAsia"/>
                      <w:lang w:val="en-US" w:eastAsia="zh-CN"/>
                    </w:rPr>
                  </w:pPr>
                  <w:r>
                    <w:rPr>
                      <w:rFonts w:hint="eastAsia"/>
                      <w:lang w:val="en-US" w:eastAsia="zh-CN"/>
                    </w:rPr>
                    <w:t>农村居民</w:t>
                  </w:r>
                </w:p>
              </w:tc>
            </w:tr>
            <w:tr w14:paraId="087C3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1E2849C7">
                  <w:pPr>
                    <w:pStyle w:val="5"/>
                    <w:bidi w:val="0"/>
                    <w:jc w:val="center"/>
                    <w:rPr>
                      <w:rFonts w:hint="default"/>
                      <w:lang w:val="en-US" w:eastAsia="zh-CN"/>
                    </w:rPr>
                  </w:pPr>
                  <w:r>
                    <w:rPr>
                      <w:rFonts w:hint="eastAsia"/>
                      <w:lang w:val="en-US" w:eastAsia="zh-CN"/>
                    </w:rPr>
                    <w:t>5#</w:t>
                  </w:r>
                </w:p>
              </w:tc>
              <w:tc>
                <w:tcPr>
                  <w:tcW w:w="984" w:type="pct"/>
                  <w:tcBorders>
                    <w:tl2br w:val="nil"/>
                    <w:tr2bl w:val="nil"/>
                  </w:tcBorders>
                  <w:shd w:val="clear" w:color="auto" w:fill="auto"/>
                  <w:vAlign w:val="center"/>
                </w:tcPr>
                <w:p w14:paraId="0AC2D1C1">
                  <w:pPr>
                    <w:pStyle w:val="5"/>
                    <w:bidi w:val="0"/>
                    <w:jc w:val="center"/>
                    <w:rPr>
                      <w:rFonts w:hint="default"/>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74FF4267">
                  <w:pPr>
                    <w:pStyle w:val="5"/>
                    <w:bidi w:val="0"/>
                    <w:jc w:val="center"/>
                    <w:rPr>
                      <w:rFonts w:hint="eastAsia"/>
                      <w:lang w:val="en-US" w:eastAsia="zh-CN"/>
                    </w:rPr>
                  </w:pPr>
                  <w:r>
                    <w:rPr>
                      <w:rFonts w:hint="eastAsia"/>
                      <w:lang w:val="en-US" w:eastAsia="zh-CN"/>
                    </w:rPr>
                    <w:t>3户、12人</w:t>
                  </w:r>
                </w:p>
              </w:tc>
              <w:tc>
                <w:tcPr>
                  <w:tcW w:w="808" w:type="pct"/>
                  <w:tcBorders>
                    <w:tl2br w:val="nil"/>
                    <w:tr2bl w:val="nil"/>
                  </w:tcBorders>
                  <w:shd w:val="clear" w:color="auto" w:fill="auto"/>
                  <w:vAlign w:val="center"/>
                </w:tcPr>
                <w:p w14:paraId="344C8BF4">
                  <w:pPr>
                    <w:pStyle w:val="5"/>
                    <w:bidi w:val="0"/>
                    <w:jc w:val="center"/>
                    <w:rPr>
                      <w:rFonts w:hint="default"/>
                      <w:lang w:val="en-US" w:eastAsia="zh-CN"/>
                    </w:rPr>
                  </w:pPr>
                  <w:r>
                    <w:rPr>
                      <w:rFonts w:hint="eastAsia"/>
                      <w:lang w:val="en-US" w:eastAsia="zh-CN"/>
                    </w:rPr>
                    <w:t>西南</w:t>
                  </w:r>
                </w:p>
              </w:tc>
              <w:tc>
                <w:tcPr>
                  <w:tcW w:w="765" w:type="pct"/>
                  <w:tcBorders>
                    <w:tl2br w:val="nil"/>
                    <w:tr2bl w:val="nil"/>
                  </w:tcBorders>
                  <w:shd w:val="clear" w:color="auto" w:fill="auto"/>
                  <w:vAlign w:val="center"/>
                </w:tcPr>
                <w:p w14:paraId="7C64387A">
                  <w:pPr>
                    <w:pStyle w:val="5"/>
                    <w:bidi w:val="0"/>
                    <w:jc w:val="center"/>
                    <w:rPr>
                      <w:rFonts w:hint="default"/>
                      <w:lang w:val="en-US" w:eastAsia="zh-CN"/>
                    </w:rPr>
                  </w:pPr>
                  <w:r>
                    <w:rPr>
                      <w:rFonts w:hint="eastAsia"/>
                      <w:lang w:val="en-US" w:eastAsia="zh-CN"/>
                    </w:rPr>
                    <w:t>430</w:t>
                  </w:r>
                </w:p>
              </w:tc>
              <w:tc>
                <w:tcPr>
                  <w:tcW w:w="1218" w:type="pct"/>
                  <w:tcBorders>
                    <w:tl2br w:val="nil"/>
                    <w:tr2bl w:val="nil"/>
                  </w:tcBorders>
                  <w:shd w:val="clear" w:color="auto" w:fill="auto"/>
                  <w:vAlign w:val="center"/>
                </w:tcPr>
                <w:p w14:paraId="26DE8B2F">
                  <w:pPr>
                    <w:pStyle w:val="5"/>
                    <w:bidi w:val="0"/>
                    <w:jc w:val="center"/>
                    <w:rPr>
                      <w:rFonts w:hint="default"/>
                      <w:lang w:val="en-US" w:eastAsia="zh-CN"/>
                    </w:rPr>
                  </w:pPr>
                  <w:r>
                    <w:rPr>
                      <w:rFonts w:hint="eastAsia"/>
                      <w:lang w:val="en-US" w:eastAsia="zh-CN"/>
                    </w:rPr>
                    <w:t>农村居民</w:t>
                  </w:r>
                </w:p>
              </w:tc>
            </w:tr>
            <w:tr w14:paraId="24E37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4C0D6F48">
                  <w:pPr>
                    <w:pStyle w:val="5"/>
                    <w:bidi w:val="0"/>
                    <w:jc w:val="center"/>
                    <w:rPr>
                      <w:rFonts w:hint="eastAsia"/>
                      <w:lang w:val="en-US" w:eastAsia="zh-CN"/>
                    </w:rPr>
                  </w:pPr>
                  <w:r>
                    <w:rPr>
                      <w:rFonts w:hint="eastAsia"/>
                      <w:lang w:val="en-US" w:eastAsia="zh-CN"/>
                    </w:rPr>
                    <w:t>6#</w:t>
                  </w:r>
                </w:p>
              </w:tc>
              <w:tc>
                <w:tcPr>
                  <w:tcW w:w="984" w:type="pct"/>
                  <w:tcBorders>
                    <w:tl2br w:val="nil"/>
                    <w:tr2bl w:val="nil"/>
                  </w:tcBorders>
                  <w:shd w:val="clear" w:color="auto" w:fill="auto"/>
                  <w:vAlign w:val="center"/>
                </w:tcPr>
                <w:p w14:paraId="4B861332">
                  <w:pPr>
                    <w:pStyle w:val="5"/>
                    <w:bidi w:val="0"/>
                    <w:jc w:val="center"/>
                    <w:rPr>
                      <w:rFonts w:hint="eastAsia"/>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5116E421">
                  <w:pPr>
                    <w:pStyle w:val="5"/>
                    <w:bidi w:val="0"/>
                    <w:jc w:val="center"/>
                    <w:rPr>
                      <w:rFonts w:hint="eastAsia"/>
                      <w:lang w:val="en-US" w:eastAsia="zh-CN"/>
                    </w:rPr>
                  </w:pPr>
                  <w:r>
                    <w:rPr>
                      <w:rFonts w:hint="eastAsia"/>
                      <w:lang w:val="en-US" w:eastAsia="zh-CN"/>
                    </w:rPr>
                    <w:t>1户、3人</w:t>
                  </w:r>
                </w:p>
              </w:tc>
              <w:tc>
                <w:tcPr>
                  <w:tcW w:w="808" w:type="pct"/>
                  <w:tcBorders>
                    <w:tl2br w:val="nil"/>
                    <w:tr2bl w:val="nil"/>
                  </w:tcBorders>
                  <w:shd w:val="clear" w:color="auto" w:fill="auto"/>
                  <w:vAlign w:val="center"/>
                </w:tcPr>
                <w:p w14:paraId="52109F98">
                  <w:pPr>
                    <w:pStyle w:val="5"/>
                    <w:bidi w:val="0"/>
                    <w:jc w:val="center"/>
                    <w:rPr>
                      <w:rFonts w:hint="eastAsia"/>
                      <w:lang w:val="en-US" w:eastAsia="zh-CN"/>
                    </w:rPr>
                  </w:pPr>
                  <w:r>
                    <w:rPr>
                      <w:rFonts w:hint="eastAsia"/>
                      <w:lang w:val="en-US" w:eastAsia="zh-CN"/>
                    </w:rPr>
                    <w:t>西南</w:t>
                  </w:r>
                </w:p>
              </w:tc>
              <w:tc>
                <w:tcPr>
                  <w:tcW w:w="765" w:type="pct"/>
                  <w:tcBorders>
                    <w:tl2br w:val="nil"/>
                    <w:tr2bl w:val="nil"/>
                  </w:tcBorders>
                  <w:shd w:val="clear" w:color="auto" w:fill="auto"/>
                  <w:vAlign w:val="center"/>
                </w:tcPr>
                <w:p w14:paraId="344BD28E">
                  <w:pPr>
                    <w:pStyle w:val="5"/>
                    <w:bidi w:val="0"/>
                    <w:jc w:val="center"/>
                    <w:rPr>
                      <w:rFonts w:hint="default"/>
                      <w:lang w:val="en-US" w:eastAsia="zh-CN"/>
                    </w:rPr>
                  </w:pPr>
                  <w:r>
                    <w:rPr>
                      <w:rFonts w:hint="eastAsia"/>
                      <w:lang w:val="en-US" w:eastAsia="zh-CN"/>
                    </w:rPr>
                    <w:t>310</w:t>
                  </w:r>
                </w:p>
              </w:tc>
              <w:tc>
                <w:tcPr>
                  <w:tcW w:w="1218" w:type="pct"/>
                  <w:tcBorders>
                    <w:tl2br w:val="nil"/>
                    <w:tr2bl w:val="nil"/>
                  </w:tcBorders>
                  <w:shd w:val="clear" w:color="auto" w:fill="auto"/>
                  <w:vAlign w:val="center"/>
                </w:tcPr>
                <w:p w14:paraId="20D558ED">
                  <w:pPr>
                    <w:pStyle w:val="5"/>
                    <w:bidi w:val="0"/>
                    <w:jc w:val="center"/>
                    <w:rPr>
                      <w:rFonts w:hint="eastAsia"/>
                      <w:lang w:val="en-US" w:eastAsia="zh-CN"/>
                    </w:rPr>
                  </w:pPr>
                  <w:r>
                    <w:rPr>
                      <w:rFonts w:hint="eastAsia"/>
                      <w:lang w:val="en-US" w:eastAsia="zh-CN"/>
                    </w:rPr>
                    <w:t>农村居民</w:t>
                  </w:r>
                </w:p>
              </w:tc>
            </w:tr>
            <w:tr w14:paraId="1F134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tcBorders>
                    <w:tl2br w:val="nil"/>
                    <w:tr2bl w:val="nil"/>
                  </w:tcBorders>
                  <w:shd w:val="clear" w:color="auto" w:fill="auto"/>
                  <w:vAlign w:val="center"/>
                </w:tcPr>
                <w:p w14:paraId="09BEDF62">
                  <w:pPr>
                    <w:pStyle w:val="5"/>
                    <w:bidi w:val="0"/>
                    <w:jc w:val="center"/>
                    <w:rPr>
                      <w:rFonts w:hint="eastAsia"/>
                      <w:lang w:val="en-US" w:eastAsia="zh-CN"/>
                    </w:rPr>
                  </w:pPr>
                  <w:r>
                    <w:rPr>
                      <w:rFonts w:hint="eastAsia"/>
                      <w:lang w:val="en-US" w:eastAsia="zh-CN"/>
                    </w:rPr>
                    <w:t>7#</w:t>
                  </w:r>
                </w:p>
              </w:tc>
              <w:tc>
                <w:tcPr>
                  <w:tcW w:w="984" w:type="pct"/>
                  <w:tcBorders>
                    <w:tl2br w:val="nil"/>
                    <w:tr2bl w:val="nil"/>
                  </w:tcBorders>
                  <w:shd w:val="clear" w:color="auto" w:fill="auto"/>
                  <w:vAlign w:val="center"/>
                </w:tcPr>
                <w:p w14:paraId="7FD189B9">
                  <w:pPr>
                    <w:pStyle w:val="5"/>
                    <w:bidi w:val="0"/>
                    <w:jc w:val="center"/>
                    <w:rPr>
                      <w:rFonts w:hint="eastAsia"/>
                      <w:lang w:val="en-US" w:eastAsia="zh-CN"/>
                    </w:rPr>
                  </w:pPr>
                  <w:r>
                    <w:rPr>
                      <w:rFonts w:hint="eastAsia"/>
                      <w:lang w:val="en-US" w:eastAsia="zh-CN"/>
                    </w:rPr>
                    <w:t>居民</w:t>
                  </w:r>
                </w:p>
              </w:tc>
              <w:tc>
                <w:tcPr>
                  <w:tcW w:w="860" w:type="pct"/>
                  <w:tcBorders>
                    <w:tl2br w:val="nil"/>
                    <w:tr2bl w:val="nil"/>
                  </w:tcBorders>
                  <w:shd w:val="clear" w:color="auto" w:fill="auto"/>
                  <w:vAlign w:val="center"/>
                </w:tcPr>
                <w:p w14:paraId="740F76C2">
                  <w:pPr>
                    <w:pStyle w:val="5"/>
                    <w:bidi w:val="0"/>
                    <w:jc w:val="center"/>
                    <w:rPr>
                      <w:rFonts w:hint="default"/>
                      <w:lang w:val="en-US" w:eastAsia="zh-CN"/>
                    </w:rPr>
                  </w:pPr>
                  <w:r>
                    <w:rPr>
                      <w:rFonts w:hint="eastAsia"/>
                      <w:lang w:val="en-US" w:eastAsia="zh-CN"/>
                    </w:rPr>
                    <w:t>6户、20人</w:t>
                  </w:r>
                </w:p>
              </w:tc>
              <w:tc>
                <w:tcPr>
                  <w:tcW w:w="808" w:type="pct"/>
                  <w:tcBorders>
                    <w:tl2br w:val="nil"/>
                    <w:tr2bl w:val="nil"/>
                  </w:tcBorders>
                  <w:shd w:val="clear" w:color="auto" w:fill="auto"/>
                  <w:vAlign w:val="center"/>
                </w:tcPr>
                <w:p w14:paraId="2B1EAA5B">
                  <w:pPr>
                    <w:pStyle w:val="5"/>
                    <w:bidi w:val="0"/>
                    <w:jc w:val="center"/>
                    <w:rPr>
                      <w:rFonts w:hint="eastAsia"/>
                      <w:lang w:val="en-US" w:eastAsia="zh-CN"/>
                    </w:rPr>
                  </w:pPr>
                  <w:r>
                    <w:rPr>
                      <w:rFonts w:hint="eastAsia"/>
                      <w:lang w:val="en-US" w:eastAsia="zh-CN"/>
                    </w:rPr>
                    <w:t>西南</w:t>
                  </w:r>
                </w:p>
              </w:tc>
              <w:tc>
                <w:tcPr>
                  <w:tcW w:w="765" w:type="pct"/>
                  <w:tcBorders>
                    <w:tl2br w:val="nil"/>
                    <w:tr2bl w:val="nil"/>
                  </w:tcBorders>
                  <w:shd w:val="clear" w:color="auto" w:fill="auto"/>
                  <w:vAlign w:val="center"/>
                </w:tcPr>
                <w:p w14:paraId="591893C3">
                  <w:pPr>
                    <w:pStyle w:val="5"/>
                    <w:bidi w:val="0"/>
                    <w:jc w:val="center"/>
                    <w:rPr>
                      <w:rFonts w:hint="default"/>
                      <w:lang w:val="en-US" w:eastAsia="zh-CN"/>
                    </w:rPr>
                  </w:pPr>
                  <w:r>
                    <w:rPr>
                      <w:rFonts w:hint="eastAsia"/>
                      <w:lang w:val="en-US" w:eastAsia="zh-CN"/>
                    </w:rPr>
                    <w:t>480</w:t>
                  </w:r>
                </w:p>
              </w:tc>
              <w:tc>
                <w:tcPr>
                  <w:tcW w:w="1218" w:type="pct"/>
                  <w:tcBorders>
                    <w:tl2br w:val="nil"/>
                    <w:tr2bl w:val="nil"/>
                  </w:tcBorders>
                  <w:shd w:val="clear" w:color="auto" w:fill="auto"/>
                  <w:vAlign w:val="center"/>
                </w:tcPr>
                <w:p w14:paraId="655222BB">
                  <w:pPr>
                    <w:pStyle w:val="5"/>
                    <w:bidi w:val="0"/>
                    <w:jc w:val="center"/>
                    <w:rPr>
                      <w:rFonts w:hint="eastAsia"/>
                      <w:lang w:val="en-US" w:eastAsia="zh-CN"/>
                    </w:rPr>
                  </w:pPr>
                  <w:r>
                    <w:rPr>
                      <w:rFonts w:hint="eastAsia"/>
                      <w:lang w:val="en-US" w:eastAsia="zh-CN"/>
                    </w:rPr>
                    <w:t>农村居民</w:t>
                  </w:r>
                </w:p>
              </w:tc>
            </w:tr>
            <w:tr w14:paraId="132DE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6972BE84">
                  <w:pPr>
                    <w:pStyle w:val="5"/>
                    <w:bidi w:val="0"/>
                    <w:jc w:val="center"/>
                    <w:rPr>
                      <w:rFonts w:hint="default"/>
                      <w:lang w:val="en-US" w:eastAsia="zh-CN"/>
                    </w:rPr>
                  </w:pPr>
                  <w:r>
                    <w:rPr>
                      <w:rFonts w:hint="eastAsia"/>
                      <w:lang w:val="en-US" w:eastAsia="zh-CN"/>
                    </w:rPr>
                    <w:t>8#</w:t>
                  </w:r>
                </w:p>
              </w:tc>
              <w:tc>
                <w:tcPr>
                  <w:tcW w:w="984" w:type="pct"/>
                  <w:tcBorders>
                    <w:tl2br w:val="nil"/>
                    <w:tr2bl w:val="nil"/>
                  </w:tcBorders>
                  <w:shd w:val="clear" w:color="auto" w:fill="auto"/>
                  <w:vAlign w:val="center"/>
                </w:tcPr>
                <w:p w14:paraId="678C5FD8">
                  <w:pPr>
                    <w:pStyle w:val="5"/>
                    <w:bidi w:val="0"/>
                    <w:jc w:val="center"/>
                    <w:rPr>
                      <w:lang w:val="en-US" w:eastAsia="zh-CN"/>
                    </w:rPr>
                  </w:pPr>
                  <w:r>
                    <w:rPr>
                      <w:rFonts w:hint="eastAsia"/>
                      <w:lang w:val="en-US" w:eastAsia="zh-CN"/>
                    </w:rPr>
                    <w:t>四川千洪食品有限公司</w:t>
                  </w:r>
                </w:p>
              </w:tc>
              <w:tc>
                <w:tcPr>
                  <w:tcW w:w="860" w:type="pct"/>
                  <w:tcBorders>
                    <w:tl2br w:val="nil"/>
                    <w:tr2bl w:val="nil"/>
                  </w:tcBorders>
                  <w:shd w:val="clear" w:color="auto" w:fill="auto"/>
                  <w:vAlign w:val="center"/>
                </w:tcPr>
                <w:p w14:paraId="58DB700A">
                  <w:pPr>
                    <w:pStyle w:val="5"/>
                    <w:bidi w:val="0"/>
                    <w:jc w:val="center"/>
                    <w:rPr>
                      <w:rFonts w:hint="default"/>
                      <w:lang w:val="en-US" w:eastAsia="zh-CN"/>
                    </w:rPr>
                  </w:pPr>
                  <w:r>
                    <w:rPr>
                      <w:rFonts w:hint="eastAsia"/>
                      <w:lang w:val="en-US" w:eastAsia="zh-CN"/>
                    </w:rPr>
                    <w:t>/</w:t>
                  </w:r>
                </w:p>
              </w:tc>
              <w:tc>
                <w:tcPr>
                  <w:tcW w:w="808" w:type="pct"/>
                  <w:tcBorders>
                    <w:tl2br w:val="nil"/>
                    <w:tr2bl w:val="nil"/>
                  </w:tcBorders>
                  <w:shd w:val="clear" w:color="auto" w:fill="auto"/>
                  <w:vAlign w:val="center"/>
                </w:tcPr>
                <w:p w14:paraId="7B3023F7">
                  <w:pPr>
                    <w:pStyle w:val="5"/>
                    <w:bidi w:val="0"/>
                    <w:jc w:val="center"/>
                    <w:rPr>
                      <w:rFonts w:hint="default"/>
                      <w:lang w:val="en-US" w:eastAsia="zh-CN"/>
                    </w:rPr>
                  </w:pPr>
                  <w:r>
                    <w:rPr>
                      <w:rFonts w:hint="eastAsia"/>
                      <w:lang w:val="en-US" w:eastAsia="zh-CN"/>
                    </w:rPr>
                    <w:t>东南</w:t>
                  </w:r>
                </w:p>
              </w:tc>
              <w:tc>
                <w:tcPr>
                  <w:tcW w:w="765" w:type="pct"/>
                  <w:tcBorders>
                    <w:tl2br w:val="nil"/>
                    <w:tr2bl w:val="nil"/>
                  </w:tcBorders>
                  <w:shd w:val="clear" w:color="auto" w:fill="auto"/>
                  <w:vAlign w:val="center"/>
                </w:tcPr>
                <w:p w14:paraId="1C450078">
                  <w:pPr>
                    <w:pStyle w:val="5"/>
                    <w:bidi w:val="0"/>
                    <w:jc w:val="center"/>
                    <w:rPr>
                      <w:rFonts w:hint="default"/>
                      <w:lang w:val="en-US" w:eastAsia="zh-CN"/>
                    </w:rPr>
                  </w:pPr>
                  <w:r>
                    <w:rPr>
                      <w:rFonts w:hint="eastAsia"/>
                      <w:lang w:val="en-US" w:eastAsia="zh-CN"/>
                    </w:rPr>
                    <w:t>460</w:t>
                  </w:r>
                </w:p>
              </w:tc>
              <w:tc>
                <w:tcPr>
                  <w:tcW w:w="1218" w:type="pct"/>
                  <w:tcBorders>
                    <w:tl2br w:val="nil"/>
                    <w:tr2bl w:val="nil"/>
                  </w:tcBorders>
                  <w:shd w:val="clear" w:color="auto" w:fill="auto"/>
                  <w:vAlign w:val="center"/>
                </w:tcPr>
                <w:p w14:paraId="641EC9D9">
                  <w:pPr>
                    <w:pStyle w:val="5"/>
                    <w:bidi w:val="0"/>
                    <w:jc w:val="center"/>
                    <w:rPr>
                      <w:rFonts w:hint="default"/>
                      <w:lang w:val="en-US" w:eastAsia="zh-CN"/>
                    </w:rPr>
                  </w:pPr>
                  <w:r>
                    <w:t>调味品生产；食品销售；食品生产；粮食加工食品生产。</w:t>
                  </w:r>
                </w:p>
              </w:tc>
            </w:tr>
            <w:tr w14:paraId="6D6F6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29F8398C">
                  <w:pPr>
                    <w:pStyle w:val="5"/>
                    <w:bidi w:val="0"/>
                    <w:jc w:val="center"/>
                    <w:rPr>
                      <w:rFonts w:hint="default"/>
                      <w:lang w:val="en-US" w:eastAsia="zh-CN"/>
                    </w:rPr>
                  </w:pPr>
                  <w:r>
                    <w:rPr>
                      <w:rFonts w:hint="eastAsia"/>
                      <w:lang w:val="en-US" w:eastAsia="zh-CN"/>
                    </w:rPr>
                    <w:t>9#</w:t>
                  </w:r>
                </w:p>
              </w:tc>
              <w:tc>
                <w:tcPr>
                  <w:tcW w:w="984" w:type="pct"/>
                  <w:tcBorders>
                    <w:tl2br w:val="nil"/>
                    <w:tr2bl w:val="nil"/>
                  </w:tcBorders>
                  <w:shd w:val="clear" w:color="auto" w:fill="auto"/>
                  <w:vAlign w:val="center"/>
                </w:tcPr>
                <w:p w14:paraId="6FCD9BF9">
                  <w:pPr>
                    <w:pStyle w:val="5"/>
                    <w:bidi w:val="0"/>
                    <w:jc w:val="center"/>
                    <w:rPr>
                      <w:rFonts w:hint="default"/>
                      <w:lang w:val="en-US" w:eastAsia="zh-CN"/>
                    </w:rPr>
                  </w:pPr>
                  <w:r>
                    <w:rPr>
                      <w:rFonts w:hint="eastAsia"/>
                      <w:lang w:val="en-US" w:eastAsia="zh-CN"/>
                    </w:rPr>
                    <w:t>四川省三千道食品有限公司</w:t>
                  </w:r>
                </w:p>
              </w:tc>
              <w:tc>
                <w:tcPr>
                  <w:tcW w:w="860" w:type="pct"/>
                  <w:tcBorders>
                    <w:tl2br w:val="nil"/>
                    <w:tr2bl w:val="nil"/>
                  </w:tcBorders>
                  <w:shd w:val="clear" w:color="auto" w:fill="auto"/>
                  <w:vAlign w:val="center"/>
                </w:tcPr>
                <w:p w14:paraId="64AE9C23">
                  <w:pPr>
                    <w:pStyle w:val="5"/>
                    <w:bidi w:val="0"/>
                    <w:jc w:val="center"/>
                    <w:rPr>
                      <w:rFonts w:hint="default"/>
                      <w:lang w:val="en-US" w:eastAsia="zh-CN"/>
                    </w:rPr>
                  </w:pPr>
                  <w:r>
                    <w:rPr>
                      <w:rFonts w:hint="eastAsia"/>
                      <w:lang w:val="en-US" w:eastAsia="zh-CN"/>
                    </w:rPr>
                    <w:t>/</w:t>
                  </w:r>
                </w:p>
              </w:tc>
              <w:tc>
                <w:tcPr>
                  <w:tcW w:w="808" w:type="pct"/>
                  <w:tcBorders>
                    <w:tl2br w:val="nil"/>
                    <w:tr2bl w:val="nil"/>
                  </w:tcBorders>
                  <w:shd w:val="clear" w:color="auto" w:fill="auto"/>
                  <w:vAlign w:val="center"/>
                </w:tcPr>
                <w:p w14:paraId="61AFB273">
                  <w:pPr>
                    <w:pStyle w:val="5"/>
                    <w:bidi w:val="0"/>
                    <w:jc w:val="center"/>
                    <w:rPr>
                      <w:rFonts w:hint="default"/>
                      <w:lang w:val="en-US" w:eastAsia="zh-CN"/>
                    </w:rPr>
                  </w:pPr>
                  <w:r>
                    <w:rPr>
                      <w:rFonts w:hint="eastAsia"/>
                      <w:lang w:val="en-US" w:eastAsia="zh-CN"/>
                    </w:rPr>
                    <w:t>东南</w:t>
                  </w:r>
                </w:p>
              </w:tc>
              <w:tc>
                <w:tcPr>
                  <w:tcW w:w="765" w:type="pct"/>
                  <w:tcBorders>
                    <w:tl2br w:val="nil"/>
                    <w:tr2bl w:val="nil"/>
                  </w:tcBorders>
                  <w:shd w:val="clear" w:color="auto" w:fill="auto"/>
                  <w:vAlign w:val="center"/>
                </w:tcPr>
                <w:p w14:paraId="0A76DB82">
                  <w:pPr>
                    <w:pStyle w:val="5"/>
                    <w:bidi w:val="0"/>
                    <w:jc w:val="center"/>
                    <w:rPr>
                      <w:rFonts w:hint="default"/>
                      <w:lang w:val="en-US" w:eastAsia="zh-CN"/>
                    </w:rPr>
                  </w:pPr>
                  <w:r>
                    <w:rPr>
                      <w:rFonts w:hint="eastAsia"/>
                      <w:lang w:val="en-US" w:eastAsia="zh-CN"/>
                    </w:rPr>
                    <w:t>250</w:t>
                  </w:r>
                </w:p>
              </w:tc>
              <w:tc>
                <w:tcPr>
                  <w:tcW w:w="1218" w:type="pct"/>
                  <w:tcBorders>
                    <w:tl2br w:val="nil"/>
                    <w:tr2bl w:val="nil"/>
                  </w:tcBorders>
                  <w:shd w:val="clear" w:color="auto" w:fill="auto"/>
                  <w:vAlign w:val="center"/>
                </w:tcPr>
                <w:p w14:paraId="5EA86560">
                  <w:pPr>
                    <w:pStyle w:val="5"/>
                    <w:bidi w:val="0"/>
                    <w:jc w:val="center"/>
                    <w:rPr>
                      <w:rFonts w:hint="default"/>
                      <w:lang w:val="en-US" w:eastAsia="zh-CN"/>
                    </w:rPr>
                  </w:pPr>
                  <w:r>
                    <w:t>食品销售；食品生产；食品互联网销售；道路货物运输</w:t>
                  </w:r>
                </w:p>
              </w:tc>
            </w:tr>
            <w:tr w14:paraId="62DF4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3C05C950">
                  <w:pPr>
                    <w:pStyle w:val="5"/>
                    <w:bidi w:val="0"/>
                    <w:jc w:val="center"/>
                    <w:rPr>
                      <w:rFonts w:hint="default"/>
                      <w:lang w:val="en-US" w:eastAsia="zh-CN"/>
                    </w:rPr>
                  </w:pPr>
                  <w:r>
                    <w:rPr>
                      <w:rFonts w:hint="eastAsia"/>
                      <w:lang w:val="en-US" w:eastAsia="zh-CN"/>
                    </w:rPr>
                    <w:t>10#</w:t>
                  </w:r>
                </w:p>
              </w:tc>
              <w:tc>
                <w:tcPr>
                  <w:tcW w:w="984" w:type="pct"/>
                  <w:tcBorders>
                    <w:tl2br w:val="nil"/>
                    <w:tr2bl w:val="nil"/>
                  </w:tcBorders>
                  <w:shd w:val="clear" w:color="auto" w:fill="auto"/>
                  <w:vAlign w:val="center"/>
                </w:tcPr>
                <w:p w14:paraId="6721419B">
                  <w:pPr>
                    <w:pStyle w:val="5"/>
                    <w:bidi w:val="0"/>
                    <w:jc w:val="center"/>
                    <w:rPr>
                      <w:rFonts w:hint="default"/>
                      <w:lang w:val="en-US" w:eastAsia="zh-CN"/>
                    </w:rPr>
                  </w:pPr>
                  <w:r>
                    <w:rPr>
                      <w:rFonts w:hint="eastAsia"/>
                      <w:lang w:val="en-US" w:eastAsia="zh-CN"/>
                    </w:rPr>
                    <w:t>达州市辰越食品有限公司</w:t>
                  </w:r>
                </w:p>
              </w:tc>
              <w:tc>
                <w:tcPr>
                  <w:tcW w:w="860" w:type="pct"/>
                  <w:tcBorders>
                    <w:tl2br w:val="nil"/>
                    <w:tr2bl w:val="nil"/>
                  </w:tcBorders>
                  <w:shd w:val="clear" w:color="auto" w:fill="auto"/>
                  <w:vAlign w:val="center"/>
                </w:tcPr>
                <w:p w14:paraId="68169D02">
                  <w:pPr>
                    <w:pStyle w:val="5"/>
                    <w:bidi w:val="0"/>
                    <w:jc w:val="center"/>
                    <w:rPr>
                      <w:rFonts w:hint="default"/>
                      <w:lang w:val="en-US" w:eastAsia="zh-CN"/>
                    </w:rPr>
                  </w:pPr>
                  <w:r>
                    <w:rPr>
                      <w:rFonts w:hint="eastAsia"/>
                      <w:lang w:val="en-US" w:eastAsia="zh-CN"/>
                    </w:rPr>
                    <w:t>/</w:t>
                  </w:r>
                </w:p>
              </w:tc>
              <w:tc>
                <w:tcPr>
                  <w:tcW w:w="808" w:type="pct"/>
                  <w:tcBorders>
                    <w:tl2br w:val="nil"/>
                    <w:tr2bl w:val="nil"/>
                  </w:tcBorders>
                  <w:shd w:val="clear" w:color="auto" w:fill="auto"/>
                  <w:vAlign w:val="center"/>
                </w:tcPr>
                <w:p w14:paraId="32F32088">
                  <w:pPr>
                    <w:pStyle w:val="5"/>
                    <w:bidi w:val="0"/>
                    <w:jc w:val="center"/>
                    <w:rPr>
                      <w:rFonts w:hint="default"/>
                      <w:lang w:val="en-US" w:eastAsia="zh-CN"/>
                    </w:rPr>
                  </w:pPr>
                  <w:r>
                    <w:rPr>
                      <w:rFonts w:hint="eastAsia"/>
                      <w:lang w:val="en-US" w:eastAsia="zh-CN"/>
                    </w:rPr>
                    <w:t>东南</w:t>
                  </w:r>
                </w:p>
              </w:tc>
              <w:tc>
                <w:tcPr>
                  <w:tcW w:w="765" w:type="pct"/>
                  <w:tcBorders>
                    <w:tl2br w:val="nil"/>
                    <w:tr2bl w:val="nil"/>
                  </w:tcBorders>
                  <w:shd w:val="clear" w:color="auto" w:fill="auto"/>
                  <w:vAlign w:val="center"/>
                </w:tcPr>
                <w:p w14:paraId="6A4EFF1B">
                  <w:pPr>
                    <w:pStyle w:val="5"/>
                    <w:bidi w:val="0"/>
                    <w:jc w:val="center"/>
                    <w:rPr>
                      <w:rFonts w:hint="default"/>
                      <w:lang w:val="en-US" w:eastAsia="zh-CN"/>
                    </w:rPr>
                  </w:pPr>
                  <w:r>
                    <w:rPr>
                      <w:rFonts w:hint="eastAsia"/>
                      <w:lang w:val="en-US" w:eastAsia="zh-CN"/>
                    </w:rPr>
                    <w:t>320</w:t>
                  </w:r>
                </w:p>
              </w:tc>
              <w:tc>
                <w:tcPr>
                  <w:tcW w:w="1218" w:type="pct"/>
                  <w:tcBorders>
                    <w:tl2br w:val="nil"/>
                    <w:tr2bl w:val="nil"/>
                  </w:tcBorders>
                  <w:shd w:val="clear" w:color="auto" w:fill="auto"/>
                  <w:vAlign w:val="center"/>
                </w:tcPr>
                <w:p w14:paraId="67A3C32F">
                  <w:pPr>
                    <w:pStyle w:val="5"/>
                    <w:bidi w:val="0"/>
                    <w:jc w:val="center"/>
                    <w:rPr>
                      <w:rFonts w:hint="default"/>
                      <w:lang w:val="en-US" w:eastAsia="zh-CN"/>
                    </w:rPr>
                  </w:pPr>
                  <w:r>
                    <w:t>粮食加工食品生产；食品生产；食品销售</w:t>
                  </w:r>
                </w:p>
              </w:tc>
            </w:tr>
            <w:tr w14:paraId="52A23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21C6C4AB">
                  <w:pPr>
                    <w:pStyle w:val="5"/>
                    <w:bidi w:val="0"/>
                    <w:jc w:val="center"/>
                    <w:rPr>
                      <w:rFonts w:hint="default"/>
                      <w:lang w:val="en-US" w:eastAsia="zh-CN"/>
                    </w:rPr>
                  </w:pPr>
                  <w:r>
                    <w:rPr>
                      <w:rFonts w:hint="eastAsia"/>
                      <w:lang w:val="en-US" w:eastAsia="zh-CN"/>
                    </w:rPr>
                    <w:t>11#</w:t>
                  </w:r>
                </w:p>
              </w:tc>
              <w:tc>
                <w:tcPr>
                  <w:tcW w:w="984" w:type="pct"/>
                  <w:tcBorders>
                    <w:tl2br w:val="nil"/>
                    <w:tr2bl w:val="nil"/>
                  </w:tcBorders>
                  <w:vAlign w:val="center"/>
                </w:tcPr>
                <w:p w14:paraId="5247027A">
                  <w:pPr>
                    <w:pStyle w:val="5"/>
                    <w:bidi w:val="0"/>
                    <w:jc w:val="center"/>
                    <w:rPr>
                      <w:rFonts w:hint="default"/>
                      <w:lang w:val="en-US" w:eastAsia="zh-CN"/>
                    </w:rPr>
                  </w:pPr>
                  <w:r>
                    <w:rPr>
                      <w:rFonts w:hint="eastAsia"/>
                      <w:lang w:val="en-US" w:eastAsia="zh-CN"/>
                    </w:rPr>
                    <w:t>四川山椒生物科技有限公司</w:t>
                  </w:r>
                </w:p>
              </w:tc>
              <w:tc>
                <w:tcPr>
                  <w:tcW w:w="860" w:type="pct"/>
                  <w:tcBorders>
                    <w:tl2br w:val="nil"/>
                    <w:tr2bl w:val="nil"/>
                  </w:tcBorders>
                  <w:vAlign w:val="center"/>
                </w:tcPr>
                <w:p w14:paraId="33DCBA3B">
                  <w:pPr>
                    <w:pStyle w:val="5"/>
                    <w:bidi w:val="0"/>
                    <w:jc w:val="center"/>
                    <w:rPr>
                      <w:rFonts w:hint="default"/>
                      <w:lang w:val="en-US" w:eastAsia="zh-CN"/>
                    </w:rPr>
                  </w:pPr>
                  <w:r>
                    <w:rPr>
                      <w:rFonts w:hint="eastAsia"/>
                      <w:lang w:val="en-US" w:eastAsia="zh-CN"/>
                    </w:rPr>
                    <w:t>/</w:t>
                  </w:r>
                </w:p>
              </w:tc>
              <w:tc>
                <w:tcPr>
                  <w:tcW w:w="808" w:type="pct"/>
                  <w:tcBorders>
                    <w:tl2br w:val="nil"/>
                    <w:tr2bl w:val="nil"/>
                  </w:tcBorders>
                  <w:vAlign w:val="center"/>
                </w:tcPr>
                <w:p w14:paraId="37C766AD">
                  <w:pPr>
                    <w:pStyle w:val="5"/>
                    <w:bidi w:val="0"/>
                    <w:jc w:val="center"/>
                    <w:rPr>
                      <w:rFonts w:hint="default"/>
                      <w:lang w:val="en-US" w:eastAsia="zh-CN"/>
                    </w:rPr>
                  </w:pPr>
                  <w:r>
                    <w:rPr>
                      <w:rFonts w:hint="eastAsia"/>
                      <w:lang w:val="en-US" w:eastAsia="zh-CN"/>
                    </w:rPr>
                    <w:t>东北</w:t>
                  </w:r>
                </w:p>
              </w:tc>
              <w:tc>
                <w:tcPr>
                  <w:tcW w:w="765" w:type="pct"/>
                  <w:tcBorders>
                    <w:tl2br w:val="nil"/>
                    <w:tr2bl w:val="nil"/>
                  </w:tcBorders>
                  <w:vAlign w:val="center"/>
                </w:tcPr>
                <w:p w14:paraId="6AB34414">
                  <w:pPr>
                    <w:pStyle w:val="5"/>
                    <w:bidi w:val="0"/>
                    <w:jc w:val="center"/>
                    <w:rPr>
                      <w:rFonts w:hint="default"/>
                      <w:lang w:val="en-US" w:eastAsia="zh-CN"/>
                    </w:rPr>
                  </w:pPr>
                  <w:r>
                    <w:rPr>
                      <w:rFonts w:hint="eastAsia"/>
                      <w:lang w:val="en-US" w:eastAsia="zh-CN"/>
                    </w:rPr>
                    <w:t>330</w:t>
                  </w:r>
                </w:p>
              </w:tc>
              <w:tc>
                <w:tcPr>
                  <w:tcW w:w="1218" w:type="pct"/>
                  <w:tcBorders>
                    <w:tl2br w:val="nil"/>
                    <w:tr2bl w:val="nil"/>
                  </w:tcBorders>
                  <w:vAlign w:val="center"/>
                </w:tcPr>
                <w:p w14:paraId="2E332E3A">
                  <w:pPr>
                    <w:pStyle w:val="5"/>
                    <w:bidi w:val="0"/>
                    <w:jc w:val="center"/>
                    <w:rPr>
                      <w:rFonts w:hint="default"/>
                      <w:lang w:val="en-US" w:eastAsia="zh-CN"/>
                    </w:rPr>
                  </w:pPr>
                  <w:r>
                    <w:rPr>
                      <w:rFonts w:hint="default"/>
                      <w:lang w:val="en-US" w:eastAsia="zh-CN"/>
                    </w:rPr>
                    <w:t>工程和技术研究和试验发展；食用农产品初加工；</w:t>
                  </w:r>
                </w:p>
              </w:tc>
            </w:tr>
            <w:tr w14:paraId="6A190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048F037D">
                  <w:pPr>
                    <w:pStyle w:val="5"/>
                    <w:bidi w:val="0"/>
                    <w:jc w:val="center"/>
                    <w:rPr>
                      <w:rFonts w:hint="default"/>
                      <w:lang w:val="en-US" w:eastAsia="zh-CN"/>
                    </w:rPr>
                  </w:pPr>
                  <w:r>
                    <w:rPr>
                      <w:rFonts w:hint="eastAsia"/>
                      <w:lang w:val="en-US" w:eastAsia="zh-CN"/>
                    </w:rPr>
                    <w:t>12#</w:t>
                  </w:r>
                </w:p>
              </w:tc>
              <w:tc>
                <w:tcPr>
                  <w:tcW w:w="984" w:type="pct"/>
                  <w:tcBorders>
                    <w:tl2br w:val="nil"/>
                    <w:tr2bl w:val="nil"/>
                  </w:tcBorders>
                  <w:vAlign w:val="center"/>
                </w:tcPr>
                <w:p w14:paraId="579FC6CC">
                  <w:pPr>
                    <w:pStyle w:val="5"/>
                    <w:bidi w:val="0"/>
                    <w:jc w:val="center"/>
                    <w:rPr>
                      <w:rFonts w:hint="default"/>
                      <w:lang w:val="en-US" w:eastAsia="zh-CN"/>
                    </w:rPr>
                  </w:pPr>
                  <w:r>
                    <w:rPr>
                      <w:rFonts w:hint="eastAsia"/>
                      <w:lang w:val="en-US" w:eastAsia="zh-CN"/>
                    </w:rPr>
                    <w:t>四川锦上锦农业科技有限公司</w:t>
                  </w:r>
                </w:p>
              </w:tc>
              <w:tc>
                <w:tcPr>
                  <w:tcW w:w="860" w:type="pct"/>
                  <w:tcBorders>
                    <w:tl2br w:val="nil"/>
                    <w:tr2bl w:val="nil"/>
                  </w:tcBorders>
                  <w:vAlign w:val="center"/>
                </w:tcPr>
                <w:p w14:paraId="485E6DC4">
                  <w:pPr>
                    <w:pStyle w:val="5"/>
                    <w:bidi w:val="0"/>
                    <w:jc w:val="center"/>
                    <w:rPr>
                      <w:rFonts w:hint="default"/>
                      <w:lang w:val="en-US" w:eastAsia="zh-CN"/>
                    </w:rPr>
                  </w:pPr>
                  <w:r>
                    <w:rPr>
                      <w:rFonts w:hint="eastAsia"/>
                      <w:lang w:val="en-US" w:eastAsia="zh-CN"/>
                    </w:rPr>
                    <w:t>/</w:t>
                  </w:r>
                </w:p>
              </w:tc>
              <w:tc>
                <w:tcPr>
                  <w:tcW w:w="808" w:type="pct"/>
                  <w:tcBorders>
                    <w:tl2br w:val="nil"/>
                    <w:tr2bl w:val="nil"/>
                  </w:tcBorders>
                  <w:vAlign w:val="center"/>
                </w:tcPr>
                <w:p w14:paraId="3FA8FC35">
                  <w:pPr>
                    <w:pStyle w:val="5"/>
                    <w:bidi w:val="0"/>
                    <w:jc w:val="center"/>
                    <w:rPr>
                      <w:rFonts w:hint="default"/>
                      <w:lang w:val="en-US" w:eastAsia="zh-CN"/>
                    </w:rPr>
                  </w:pPr>
                  <w:r>
                    <w:rPr>
                      <w:rFonts w:hint="eastAsia"/>
                      <w:lang w:val="en-US" w:eastAsia="zh-CN"/>
                    </w:rPr>
                    <w:t>东北</w:t>
                  </w:r>
                </w:p>
              </w:tc>
              <w:tc>
                <w:tcPr>
                  <w:tcW w:w="765" w:type="pct"/>
                  <w:tcBorders>
                    <w:tl2br w:val="nil"/>
                    <w:tr2bl w:val="nil"/>
                  </w:tcBorders>
                  <w:vAlign w:val="center"/>
                </w:tcPr>
                <w:p w14:paraId="09F0DC70">
                  <w:pPr>
                    <w:pStyle w:val="5"/>
                    <w:bidi w:val="0"/>
                    <w:jc w:val="center"/>
                    <w:rPr>
                      <w:rFonts w:hint="default"/>
                      <w:lang w:val="en-US" w:eastAsia="zh-CN"/>
                    </w:rPr>
                  </w:pPr>
                  <w:r>
                    <w:rPr>
                      <w:rFonts w:hint="eastAsia"/>
                      <w:lang w:val="en-US" w:eastAsia="zh-CN"/>
                    </w:rPr>
                    <w:t>370</w:t>
                  </w:r>
                </w:p>
              </w:tc>
              <w:tc>
                <w:tcPr>
                  <w:tcW w:w="1218" w:type="pct"/>
                  <w:tcBorders>
                    <w:tl2br w:val="nil"/>
                    <w:tr2bl w:val="nil"/>
                  </w:tcBorders>
                  <w:vAlign w:val="center"/>
                </w:tcPr>
                <w:p w14:paraId="1BD38FD3">
                  <w:pPr>
                    <w:pStyle w:val="5"/>
                    <w:bidi w:val="0"/>
                    <w:jc w:val="center"/>
                    <w:rPr>
                      <w:rFonts w:hint="default"/>
                      <w:lang w:val="en-US" w:eastAsia="zh-CN"/>
                    </w:rPr>
                  </w:pPr>
                  <w:r>
                    <w:rPr>
                      <w:rFonts w:hint="default"/>
                      <w:lang w:val="en-US" w:eastAsia="zh-CN"/>
                    </w:rPr>
                    <w:t>农副产品销售；低温仓储</w:t>
                  </w:r>
                </w:p>
              </w:tc>
            </w:tr>
            <w:tr w14:paraId="01F11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768EDE3A">
                  <w:pPr>
                    <w:pStyle w:val="5"/>
                    <w:bidi w:val="0"/>
                    <w:jc w:val="center"/>
                    <w:rPr>
                      <w:rFonts w:hint="default"/>
                      <w:lang w:val="en-US" w:eastAsia="zh-CN"/>
                    </w:rPr>
                  </w:pPr>
                  <w:r>
                    <w:rPr>
                      <w:rFonts w:hint="eastAsia"/>
                      <w:lang w:val="en-US" w:eastAsia="zh-CN"/>
                    </w:rPr>
                    <w:t>13#</w:t>
                  </w:r>
                </w:p>
              </w:tc>
              <w:tc>
                <w:tcPr>
                  <w:tcW w:w="984" w:type="pct"/>
                  <w:tcBorders>
                    <w:tl2br w:val="nil"/>
                    <w:tr2bl w:val="nil"/>
                  </w:tcBorders>
                  <w:vAlign w:val="center"/>
                </w:tcPr>
                <w:p w14:paraId="2078B3DB">
                  <w:pPr>
                    <w:pStyle w:val="5"/>
                    <w:bidi w:val="0"/>
                    <w:jc w:val="center"/>
                    <w:rPr>
                      <w:rFonts w:hint="default"/>
                      <w:lang w:val="en-US" w:eastAsia="zh-CN"/>
                    </w:rPr>
                  </w:pPr>
                  <w:r>
                    <w:rPr>
                      <w:rFonts w:hint="eastAsia"/>
                      <w:lang w:val="en-US" w:eastAsia="zh-CN"/>
                    </w:rPr>
                    <w:t>四川巴蜀供销粮油有限公司</w:t>
                  </w:r>
                </w:p>
              </w:tc>
              <w:tc>
                <w:tcPr>
                  <w:tcW w:w="860" w:type="pct"/>
                  <w:tcBorders>
                    <w:tl2br w:val="nil"/>
                    <w:tr2bl w:val="nil"/>
                  </w:tcBorders>
                  <w:vAlign w:val="center"/>
                </w:tcPr>
                <w:p w14:paraId="3B32CD19">
                  <w:pPr>
                    <w:pStyle w:val="5"/>
                    <w:bidi w:val="0"/>
                    <w:jc w:val="center"/>
                    <w:rPr>
                      <w:rFonts w:hint="default"/>
                      <w:lang w:val="en-US" w:eastAsia="zh-CN"/>
                    </w:rPr>
                  </w:pPr>
                  <w:r>
                    <w:rPr>
                      <w:rFonts w:hint="eastAsia"/>
                      <w:lang w:val="en-US" w:eastAsia="zh-CN"/>
                    </w:rPr>
                    <w:t>/</w:t>
                  </w:r>
                </w:p>
              </w:tc>
              <w:tc>
                <w:tcPr>
                  <w:tcW w:w="808" w:type="pct"/>
                  <w:tcBorders>
                    <w:tl2br w:val="nil"/>
                    <w:tr2bl w:val="nil"/>
                  </w:tcBorders>
                  <w:vAlign w:val="center"/>
                </w:tcPr>
                <w:p w14:paraId="294780B2">
                  <w:pPr>
                    <w:pStyle w:val="5"/>
                    <w:bidi w:val="0"/>
                    <w:jc w:val="center"/>
                    <w:rPr>
                      <w:rFonts w:hint="eastAsia"/>
                      <w:lang w:val="en-US" w:eastAsia="zh-CN"/>
                    </w:rPr>
                  </w:pPr>
                  <w:r>
                    <w:rPr>
                      <w:rFonts w:hint="eastAsia"/>
                      <w:lang w:val="en-US" w:eastAsia="zh-CN"/>
                    </w:rPr>
                    <w:t>东南</w:t>
                  </w:r>
                </w:p>
              </w:tc>
              <w:tc>
                <w:tcPr>
                  <w:tcW w:w="765" w:type="pct"/>
                  <w:tcBorders>
                    <w:tl2br w:val="nil"/>
                    <w:tr2bl w:val="nil"/>
                  </w:tcBorders>
                  <w:vAlign w:val="center"/>
                </w:tcPr>
                <w:p w14:paraId="223A6E31">
                  <w:pPr>
                    <w:pStyle w:val="5"/>
                    <w:bidi w:val="0"/>
                    <w:jc w:val="center"/>
                    <w:rPr>
                      <w:rFonts w:hint="default"/>
                      <w:lang w:val="en-US" w:eastAsia="zh-CN"/>
                    </w:rPr>
                  </w:pPr>
                  <w:r>
                    <w:rPr>
                      <w:rFonts w:hint="eastAsia"/>
                      <w:lang w:val="en-US" w:eastAsia="zh-CN"/>
                    </w:rPr>
                    <w:t>490</w:t>
                  </w:r>
                </w:p>
              </w:tc>
              <w:tc>
                <w:tcPr>
                  <w:tcW w:w="1218" w:type="pct"/>
                  <w:tcBorders>
                    <w:tl2br w:val="nil"/>
                    <w:tr2bl w:val="nil"/>
                  </w:tcBorders>
                  <w:vAlign w:val="center"/>
                </w:tcPr>
                <w:p w14:paraId="327D20FD">
                  <w:pPr>
                    <w:pStyle w:val="5"/>
                    <w:bidi w:val="0"/>
                    <w:jc w:val="center"/>
                    <w:rPr>
                      <w:rFonts w:hint="default"/>
                      <w:lang w:val="en-US" w:eastAsia="zh-CN"/>
                    </w:rPr>
                  </w:pPr>
                  <w:r>
                    <w:t>城市配送运输服务（不含危险货物）；道路货物运输</w:t>
                  </w:r>
                </w:p>
              </w:tc>
            </w:tr>
            <w:tr w14:paraId="1FB08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vAlign w:val="center"/>
                </w:tcPr>
                <w:p w14:paraId="1AA409F2">
                  <w:pPr>
                    <w:pStyle w:val="5"/>
                    <w:bidi w:val="0"/>
                    <w:jc w:val="center"/>
                    <w:rPr>
                      <w:rFonts w:hint="default"/>
                      <w:lang w:val="en-US" w:eastAsia="zh-CN"/>
                    </w:rPr>
                  </w:pPr>
                  <w:r>
                    <w:rPr>
                      <w:rFonts w:hint="eastAsia"/>
                      <w:lang w:val="en-US" w:eastAsia="zh-CN"/>
                    </w:rPr>
                    <w:t>14#</w:t>
                  </w:r>
                </w:p>
              </w:tc>
              <w:tc>
                <w:tcPr>
                  <w:tcW w:w="984" w:type="pct"/>
                  <w:tcBorders>
                    <w:tl2br w:val="nil"/>
                    <w:tr2bl w:val="nil"/>
                  </w:tcBorders>
                  <w:vAlign w:val="center"/>
                </w:tcPr>
                <w:p w14:paraId="740D2148">
                  <w:pPr>
                    <w:pStyle w:val="5"/>
                    <w:bidi w:val="0"/>
                    <w:jc w:val="center"/>
                    <w:rPr>
                      <w:rFonts w:hint="default"/>
                      <w:lang w:val="en-US" w:eastAsia="zh-CN"/>
                    </w:rPr>
                  </w:pPr>
                  <w:r>
                    <w:rPr>
                      <w:rFonts w:hint="eastAsia"/>
                      <w:lang w:val="en-US" w:eastAsia="zh-CN"/>
                    </w:rPr>
                    <w:t>达州市龙兴米业有限公司</w:t>
                  </w:r>
                </w:p>
              </w:tc>
              <w:tc>
                <w:tcPr>
                  <w:tcW w:w="860" w:type="pct"/>
                  <w:tcBorders>
                    <w:tl2br w:val="nil"/>
                    <w:tr2bl w:val="nil"/>
                  </w:tcBorders>
                  <w:vAlign w:val="center"/>
                </w:tcPr>
                <w:p w14:paraId="08BA78E8">
                  <w:pPr>
                    <w:pStyle w:val="5"/>
                    <w:bidi w:val="0"/>
                    <w:jc w:val="center"/>
                    <w:rPr>
                      <w:rFonts w:hint="default"/>
                      <w:lang w:val="en-US" w:eastAsia="zh-CN"/>
                    </w:rPr>
                  </w:pPr>
                  <w:r>
                    <w:rPr>
                      <w:rFonts w:hint="eastAsia"/>
                      <w:lang w:val="en-US" w:eastAsia="zh-CN"/>
                    </w:rPr>
                    <w:t>/</w:t>
                  </w:r>
                </w:p>
              </w:tc>
              <w:tc>
                <w:tcPr>
                  <w:tcW w:w="808" w:type="pct"/>
                  <w:tcBorders>
                    <w:tl2br w:val="nil"/>
                    <w:tr2bl w:val="nil"/>
                  </w:tcBorders>
                  <w:vAlign w:val="center"/>
                </w:tcPr>
                <w:p w14:paraId="6F678467">
                  <w:pPr>
                    <w:pStyle w:val="5"/>
                    <w:bidi w:val="0"/>
                    <w:jc w:val="center"/>
                    <w:rPr>
                      <w:rFonts w:hint="default"/>
                      <w:lang w:val="en-US" w:eastAsia="zh-CN"/>
                    </w:rPr>
                  </w:pPr>
                  <w:r>
                    <w:rPr>
                      <w:rFonts w:hint="eastAsia"/>
                      <w:lang w:val="en-US" w:eastAsia="zh-CN"/>
                    </w:rPr>
                    <w:t>东</w:t>
                  </w:r>
                </w:p>
              </w:tc>
              <w:tc>
                <w:tcPr>
                  <w:tcW w:w="765" w:type="pct"/>
                  <w:tcBorders>
                    <w:tl2br w:val="nil"/>
                    <w:tr2bl w:val="nil"/>
                  </w:tcBorders>
                  <w:vAlign w:val="center"/>
                </w:tcPr>
                <w:p w14:paraId="16B2CA76">
                  <w:pPr>
                    <w:pStyle w:val="5"/>
                    <w:bidi w:val="0"/>
                    <w:jc w:val="center"/>
                    <w:rPr>
                      <w:rFonts w:hint="default"/>
                      <w:lang w:val="en-US" w:eastAsia="zh-CN"/>
                    </w:rPr>
                  </w:pPr>
                  <w:r>
                    <w:rPr>
                      <w:rFonts w:hint="eastAsia"/>
                      <w:lang w:val="en-US" w:eastAsia="zh-CN"/>
                    </w:rPr>
                    <w:t>190</w:t>
                  </w:r>
                </w:p>
              </w:tc>
              <w:tc>
                <w:tcPr>
                  <w:tcW w:w="1218" w:type="pct"/>
                  <w:tcBorders>
                    <w:tl2br w:val="nil"/>
                    <w:tr2bl w:val="nil"/>
                  </w:tcBorders>
                  <w:vAlign w:val="center"/>
                </w:tcPr>
                <w:p w14:paraId="07D52262">
                  <w:pPr>
                    <w:pStyle w:val="5"/>
                    <w:bidi w:val="0"/>
                    <w:jc w:val="center"/>
                  </w:pPr>
                  <w:r>
                    <w:t>粮食收购；初级农产品收购；食用农产品初加工；谷物销售；</w:t>
                  </w:r>
                </w:p>
              </w:tc>
            </w:tr>
          </w:tbl>
          <w:p w14:paraId="19C774C6">
            <w:pPr>
              <w:bidi w:val="0"/>
              <w:jc w:val="both"/>
              <w:rPr>
                <w:rFonts w:hint="default"/>
                <w:b/>
                <w:bCs/>
                <w:lang w:val="en-US" w:eastAsia="zh-CN"/>
              </w:rPr>
            </w:pPr>
            <w:r>
              <w:rPr>
                <w:rFonts w:hint="eastAsia"/>
                <w:b/>
                <w:bCs/>
                <w:lang w:val="en-US" w:eastAsia="zh-CN"/>
              </w:rPr>
              <w:t>与周围企业的相容性分析：</w:t>
            </w:r>
          </w:p>
          <w:p w14:paraId="19CB8FBB">
            <w:pPr>
              <w:bidi w:val="0"/>
              <w:jc w:val="both"/>
              <w:rPr>
                <w:rFonts w:hint="default"/>
                <w:lang w:val="en-US" w:eastAsia="zh-CN"/>
              </w:rPr>
            </w:pPr>
            <w:r>
              <w:rPr>
                <w:rFonts w:hint="eastAsia"/>
                <w:lang w:val="en-US" w:eastAsia="zh-CN"/>
              </w:rPr>
              <w:t>根据</w:t>
            </w:r>
            <w:r>
              <w:rPr>
                <w:rFonts w:hint="default"/>
              </w:rPr>
              <w:t>《大气有害物质无组织排放卫生防护距离推导技术导则》（GB/T39499-2020）</w:t>
            </w:r>
            <w:r>
              <w:rPr>
                <w:rFonts w:hint="eastAsia"/>
                <w:lang w:val="en-US" w:eastAsia="zh-CN"/>
              </w:rPr>
              <w:t>分析，本项目</w:t>
            </w:r>
            <w:r>
              <w:rPr>
                <w:rFonts w:hint="default"/>
                <w:lang w:val="en-US" w:eastAsia="zh-CN"/>
              </w:rPr>
              <w:t>卫生防护距离</w:t>
            </w:r>
            <w:r>
              <w:rPr>
                <w:rFonts w:hint="eastAsia"/>
                <w:lang w:val="en-US" w:eastAsia="zh-CN"/>
              </w:rPr>
              <w:t>为50m。</w:t>
            </w:r>
            <w:r>
              <w:rPr>
                <w:rFonts w:hint="default"/>
                <w:lang w:val="en-US" w:eastAsia="zh-CN"/>
              </w:rPr>
              <w:t>现场踏勘及资料收集</w:t>
            </w:r>
            <w:r>
              <w:rPr>
                <w:rFonts w:hint="eastAsia"/>
                <w:lang w:val="en-US" w:eastAsia="zh-CN"/>
              </w:rPr>
              <w:t>发现</w:t>
            </w:r>
            <w:r>
              <w:rPr>
                <w:rFonts w:hint="default"/>
                <w:lang w:val="en-US" w:eastAsia="zh-CN"/>
              </w:rPr>
              <w:t>，</w:t>
            </w:r>
            <w:r>
              <w:rPr>
                <w:rFonts w:hint="eastAsia"/>
                <w:lang w:val="en-US" w:eastAsia="zh-CN"/>
              </w:rPr>
              <w:t>在50m防护距离内不存在其他企业；在</w:t>
            </w:r>
            <w:r>
              <w:rPr>
                <w:rFonts w:hint="default"/>
                <w:lang w:val="en-US" w:eastAsia="zh-CN"/>
              </w:rPr>
              <w:t>190m</w:t>
            </w:r>
            <w:r>
              <w:rPr>
                <w:rFonts w:hint="eastAsia"/>
                <w:lang w:val="en-US" w:eastAsia="zh-CN"/>
              </w:rPr>
              <w:t>～</w:t>
            </w:r>
            <w:r>
              <w:rPr>
                <w:rFonts w:hint="default"/>
                <w:lang w:val="en-US" w:eastAsia="zh-CN"/>
              </w:rPr>
              <w:t>500m范围内，分布有食品及农产品加工企业。项目</w:t>
            </w:r>
            <w:r>
              <w:rPr>
                <w:rFonts w:hint="eastAsia"/>
                <w:lang w:val="en-US" w:eastAsia="zh-CN"/>
              </w:rPr>
              <w:t>厂房</w:t>
            </w:r>
            <w:r>
              <w:rPr>
                <w:rFonts w:hint="default"/>
                <w:lang w:val="en-US" w:eastAsia="zh-CN"/>
              </w:rPr>
              <w:t>与最近食品企业的距离为190</w:t>
            </w:r>
            <w:r>
              <w:rPr>
                <w:rFonts w:hint="eastAsia"/>
                <w:lang w:val="en-US" w:eastAsia="zh-CN"/>
              </w:rPr>
              <w:t>m</w:t>
            </w:r>
            <w:r>
              <w:rPr>
                <w:rFonts w:hint="default"/>
                <w:lang w:val="en-US" w:eastAsia="zh-CN"/>
              </w:rPr>
              <w:t>，</w:t>
            </w:r>
            <w:r>
              <w:rPr>
                <w:rFonts w:hint="eastAsia"/>
                <w:lang w:val="en-US" w:eastAsia="zh-CN"/>
              </w:rPr>
              <w:t>存在一定距离，</w:t>
            </w:r>
            <w:r>
              <w:rPr>
                <w:rFonts w:hint="default"/>
                <w:lang w:val="en-US" w:eastAsia="zh-CN"/>
              </w:rPr>
              <w:t>提供了基础的空间阻隔。</w:t>
            </w:r>
            <w:r>
              <w:rPr>
                <w:rFonts w:hint="eastAsia"/>
                <w:lang w:val="en-US" w:eastAsia="zh-CN"/>
              </w:rPr>
              <w:t>我国现行</w:t>
            </w:r>
            <w:r>
              <w:rPr>
                <w:rFonts w:hint="default"/>
                <w:lang w:val="en-US" w:eastAsia="zh-CN"/>
              </w:rPr>
              <w:t>国家级法规与标准中（《食品安全国家标准 食品生产通用卫生规范》（GB 14881-2025）），并未对氢能</w:t>
            </w:r>
            <w:r>
              <w:rPr>
                <w:rFonts w:hint="eastAsia"/>
                <w:lang w:val="en-US" w:eastAsia="zh-CN"/>
              </w:rPr>
              <w:t>相关</w:t>
            </w:r>
            <w:r>
              <w:rPr>
                <w:rFonts w:hint="default"/>
                <w:lang w:val="en-US" w:eastAsia="zh-CN"/>
              </w:rPr>
              <w:t>装备制造项目与食品企业之间设定统一的、法定的最小间距。且食品企业均不位于下风向，构成了有效的环境缓冲带，确保了污染物在到达敏感目标前得到充分的扩散和稀释。</w:t>
            </w:r>
            <w:r>
              <w:rPr>
                <w:rFonts w:hint="eastAsia"/>
                <w:lang w:val="en-US" w:eastAsia="zh-CN"/>
              </w:rPr>
              <w:t>查阅周围企业环评，未对防护距离提出具体要求，仅提到：“水泥、建材、铸造、冶金等易对食品加工项目造成污染影响的企业”，本项目产品为氢能源混合动力系统和氢能源两轮车，不属于前述易造成污染的企业。</w:t>
            </w:r>
          </w:p>
          <w:p w14:paraId="26A8857B">
            <w:pPr>
              <w:bidi w:val="0"/>
              <w:ind w:firstLine="480"/>
              <w:jc w:val="left"/>
              <w:rPr>
                <w:rFonts w:hint="default"/>
                <w:lang w:val="en-US" w:eastAsia="zh-CN"/>
              </w:rPr>
            </w:pPr>
            <w:r>
              <w:rPr>
                <w:rFonts w:hint="eastAsia"/>
                <w:lang w:val="en-US" w:eastAsia="zh-CN"/>
              </w:rPr>
              <w:t>同时，</w:t>
            </w:r>
            <w:r>
              <w:rPr>
                <w:rFonts w:hint="default"/>
                <w:lang w:val="en-US" w:eastAsia="zh-CN"/>
              </w:rPr>
              <w:t>根据项目特点，本项目营运期主要产生</w:t>
            </w:r>
            <w:r>
              <w:rPr>
                <w:rFonts w:hint="eastAsia"/>
                <w:lang w:val="en-US" w:eastAsia="zh-CN"/>
              </w:rPr>
              <w:t>废水、废气、</w:t>
            </w:r>
            <w:r>
              <w:rPr>
                <w:rFonts w:hint="default"/>
                <w:lang w:val="en-US" w:eastAsia="zh-CN"/>
              </w:rPr>
              <w:t>噪声和固废。营运期</w:t>
            </w:r>
            <w:r>
              <w:rPr>
                <w:rFonts w:hint="eastAsia"/>
                <w:lang w:val="en-US" w:eastAsia="zh-CN"/>
              </w:rPr>
              <w:t>废水为员工生活污水。</w:t>
            </w:r>
            <w:r>
              <w:rPr>
                <w:rFonts w:hint="eastAsia"/>
                <w:highlight w:val="none"/>
              </w:rPr>
              <w:t>生活污水</w:t>
            </w:r>
            <w:r>
              <w:rPr>
                <w:rFonts w:hint="eastAsia"/>
                <w:highlight w:val="none"/>
                <w:lang w:val="en-US" w:eastAsia="zh-CN"/>
              </w:rPr>
              <w:t>经园区已建的一体化污水处理设施处理，</w:t>
            </w:r>
            <w:r>
              <w:rPr>
                <w:highlight w:val="none"/>
              </w:rPr>
              <w:t>达到《污水综合排放标准》（GB8978-1996</w:t>
            </w:r>
            <w:r>
              <w:t>）三级标准</w:t>
            </w:r>
            <w:r>
              <w:rPr>
                <w:rFonts w:hint="eastAsia"/>
                <w:lang w:val="en-US" w:eastAsia="zh-CN"/>
              </w:rPr>
              <w:t>后，排入</w:t>
            </w:r>
            <w:r>
              <w:rPr>
                <w:rFonts w:hint="eastAsia"/>
              </w:rPr>
              <w:t>园区</w:t>
            </w:r>
            <w:r>
              <w:rPr>
                <w:rFonts w:hint="eastAsia"/>
                <w:lang w:val="en-US" w:eastAsia="zh-CN"/>
              </w:rPr>
              <w:t>市政污水管网，输送至魏兴场镇污水处理厂处理后达《城镇污水处理厂污染物排放标准》（GB18918—2002）一级A标准后，排入州河。运营期废气为固化工艺产生的有机废气。有机废气经</w:t>
            </w:r>
            <w:r>
              <w:rPr>
                <w:rFonts w:hint="eastAsia" w:ascii="Times New Roman" w:hAnsi="Times New Roman" w:cs="Times New Roman"/>
                <w:color w:val="auto"/>
                <w:sz w:val="24"/>
                <w:szCs w:val="28"/>
                <w:highlight w:val="none"/>
                <w:lang w:val="en-US" w:eastAsia="zh-CN"/>
              </w:rPr>
              <w:t>一根</w:t>
            </w:r>
            <w:r>
              <w:rPr>
                <w:rFonts w:hint="eastAsia" w:cs="Times New Roman"/>
                <w:color w:val="auto"/>
                <w:sz w:val="24"/>
                <w:szCs w:val="28"/>
                <w:highlight w:val="none"/>
                <w:lang w:val="en-US" w:eastAsia="zh-CN"/>
              </w:rPr>
              <w:t>密闭</w:t>
            </w:r>
            <w:r>
              <w:rPr>
                <w:rFonts w:hint="eastAsia" w:ascii="Times New Roman" w:hAnsi="Times New Roman" w:cs="Times New Roman"/>
                <w:color w:val="auto"/>
                <w:sz w:val="24"/>
                <w:szCs w:val="28"/>
                <w:highlight w:val="none"/>
                <w:lang w:val="en-US" w:eastAsia="zh-CN"/>
              </w:rPr>
              <w:t>管道</w:t>
            </w:r>
            <w:r>
              <w:rPr>
                <w:rFonts w:hint="default" w:ascii="Times New Roman" w:hAnsi="Times New Roman" w:eastAsia="宋体" w:cs="Times New Roman"/>
                <w:color w:val="auto"/>
                <w:sz w:val="24"/>
                <w:highlight w:val="none"/>
                <w:lang w:val="en-US" w:eastAsia="zh-CN"/>
              </w:rPr>
              <w:t>收集后（</w:t>
            </w:r>
            <w:r>
              <w:rPr>
                <w:rFonts w:hint="eastAsia" w:cs="Times New Roman"/>
                <w:color w:val="auto"/>
                <w:sz w:val="24"/>
                <w:highlight w:val="none"/>
                <w:lang w:val="en-US" w:eastAsia="zh-CN"/>
              </w:rPr>
              <w:t>收集</w:t>
            </w:r>
            <w:r>
              <w:rPr>
                <w:rFonts w:hint="default" w:ascii="Times New Roman" w:hAnsi="Times New Roman" w:eastAsia="宋体" w:cs="Times New Roman"/>
                <w:color w:val="auto"/>
                <w:sz w:val="24"/>
                <w:highlight w:val="none"/>
                <w:lang w:val="en-US" w:eastAsia="zh-CN"/>
              </w:rPr>
              <w:t>效率约</w:t>
            </w:r>
            <w:r>
              <w:rPr>
                <w:rFonts w:hint="eastAsia" w:cs="Times New Roman"/>
                <w:color w:val="auto"/>
                <w:sz w:val="24"/>
                <w:highlight w:val="none"/>
                <w:lang w:val="en-US" w:eastAsia="zh-CN"/>
              </w:rPr>
              <w:t>90</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、一套“</w:t>
            </w:r>
            <w:r>
              <w:rPr>
                <w:rFonts w:hint="eastAsia" w:ascii="Times New Roman" w:hAnsi="Times New Roman" w:cs="Times New Roman"/>
                <w:color w:val="auto"/>
                <w:sz w:val="24"/>
                <w:highlight w:val="none"/>
                <w:lang w:val="en-US" w:eastAsia="zh-CN"/>
              </w:rPr>
              <w:t>二级活性炭吸附</w:t>
            </w:r>
            <w:r>
              <w:rPr>
                <w:rFonts w:hint="default" w:ascii="Times New Roman" w:hAnsi="Times New Roman" w:eastAsia="宋体" w:cs="Times New Roman"/>
                <w:color w:val="auto"/>
                <w:sz w:val="24"/>
                <w:highlight w:val="none"/>
                <w:lang w:val="en-US" w:eastAsia="zh-CN"/>
              </w:rPr>
              <w:t>装置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处理（处理效率约</w:t>
            </w:r>
            <w:r>
              <w:rPr>
                <w:rFonts w:hint="eastAsia" w:ascii="Times New Roman" w:hAnsi="Times New Roman" w:cs="Times New Roman"/>
                <w:color w:val="auto"/>
                <w:sz w:val="24"/>
                <w:highlight w:val="none"/>
                <w:lang w:val="en-US" w:eastAsia="zh-CN"/>
              </w:rPr>
              <w:t>75</w:t>
            </w:r>
            <w:r>
              <w:rPr>
                <w:rFonts w:hint="default" w:ascii="Times New Roman" w:hAnsi="Times New Roman" w:eastAsia="宋体" w:cs="Times New Roman"/>
                <w:color w:val="auto"/>
                <w:sz w:val="24"/>
                <w:highlight w:val="none"/>
                <w:lang w:val="en-US" w:eastAsia="zh-CN"/>
              </w:rPr>
              <w:t>%）后，再由1根</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m的排气筒（DA001）排放</w:t>
            </w:r>
            <w:r>
              <w:rPr>
                <w:rFonts w:hint="eastAsia" w:cs="Times New Roman"/>
                <w:color w:val="auto"/>
                <w:sz w:val="24"/>
                <w:highlight w:val="none"/>
                <w:lang w:val="en-US" w:eastAsia="zh-CN"/>
              </w:rPr>
              <w:t>，</w:t>
            </w:r>
            <w:r>
              <w:rPr>
                <w:rFonts w:hint="eastAsia"/>
                <w:color w:val="auto"/>
              </w:rPr>
              <w:t>满足</w:t>
            </w:r>
            <w:r>
              <w:rPr>
                <w:color w:val="auto"/>
              </w:rPr>
              <w:t>《四川省固定污染源大气挥发性有机物排放标准》（DB51-2377-2017）</w:t>
            </w:r>
            <w:r>
              <w:rPr>
                <w:rFonts w:hint="eastAsia"/>
                <w:color w:val="auto"/>
                <w:lang w:val="en-US" w:eastAsia="zh-CN"/>
              </w:rPr>
              <w:t>中限值标准</w:t>
            </w:r>
            <w:r>
              <w:rPr>
                <w:rFonts w:hint="default" w:ascii="Times New Roman" w:hAnsi="Times New Roman" w:eastAsia="宋体" w:cs="Times New Roman"/>
                <w:color w:val="auto"/>
                <w:sz w:val="24"/>
                <w:highlight w:val="none"/>
              </w:rPr>
              <w:t>。</w:t>
            </w:r>
            <w:r>
              <w:rPr>
                <w:rFonts w:hint="default"/>
                <w:lang w:val="en-US" w:eastAsia="zh-CN"/>
              </w:rPr>
              <w:t>噪声通过合理布局，厂房隔音，选用低噪设备</w:t>
            </w:r>
            <w:r>
              <w:rPr>
                <w:rFonts w:hint="eastAsia"/>
                <w:lang w:val="en-US" w:eastAsia="zh-CN"/>
              </w:rPr>
              <w:t>来降低对环境的影响</w:t>
            </w:r>
            <w:r>
              <w:rPr>
                <w:rFonts w:hint="default"/>
                <w:lang w:val="en-US" w:eastAsia="zh-CN"/>
              </w:rPr>
              <w:t>。项目产生的各类固废</w:t>
            </w:r>
            <w:r>
              <w:rPr>
                <w:rFonts w:hint="eastAsia"/>
                <w:lang w:val="en-US" w:eastAsia="zh-CN"/>
              </w:rPr>
              <w:t>均得到有效处置，</w:t>
            </w:r>
            <w:r>
              <w:rPr>
                <w:rFonts w:hint="default"/>
                <w:lang w:val="en-US" w:eastAsia="zh-CN"/>
              </w:rPr>
              <w:t>本项目投产后，严格落实和加强废水、噪声、固废处理措施，加强治理设施的维护和管理</w:t>
            </w:r>
            <w:r>
              <w:rPr>
                <w:rFonts w:hint="eastAsia"/>
                <w:lang w:val="en-US" w:eastAsia="zh-CN"/>
              </w:rPr>
              <w:t>，</w:t>
            </w:r>
            <w:r>
              <w:rPr>
                <w:rFonts w:hint="default"/>
                <w:lang w:val="en-US" w:eastAsia="zh-CN"/>
              </w:rPr>
              <w:t>对周围外</w:t>
            </w:r>
            <w:r>
              <w:rPr>
                <w:rFonts w:hint="eastAsia"/>
                <w:lang w:val="en-US" w:eastAsia="zh-CN"/>
              </w:rPr>
              <w:t>环境影响</w:t>
            </w:r>
            <w:r>
              <w:rPr>
                <w:rFonts w:hint="default"/>
                <w:lang w:val="en-US" w:eastAsia="zh-CN"/>
              </w:rPr>
              <w:t>较小。</w:t>
            </w:r>
            <w:r>
              <w:rPr>
                <w:rFonts w:hint="eastAsia"/>
                <w:lang w:val="en-US" w:eastAsia="zh-CN"/>
              </w:rPr>
              <w:t>且</w:t>
            </w:r>
            <w:r>
              <w:rPr>
                <w:rFonts w:hint="default"/>
                <w:lang w:val="en-US" w:eastAsia="zh-CN"/>
              </w:rPr>
              <w:t>项目</w:t>
            </w:r>
            <w:r>
              <w:rPr>
                <w:rFonts w:hint="eastAsia"/>
                <w:lang w:val="en-US" w:eastAsia="zh-CN"/>
              </w:rPr>
              <w:t>厂房</w:t>
            </w:r>
            <w:r>
              <w:rPr>
                <w:rFonts w:hint="default"/>
                <w:lang w:val="en-US" w:eastAsia="zh-CN"/>
              </w:rPr>
              <w:t>区域基础设施配套基本完善，可满足本项目运营的需求。</w:t>
            </w:r>
          </w:p>
          <w:p w14:paraId="596BCC70">
            <w:pPr>
              <w:bidi w:val="0"/>
              <w:jc w:val="both"/>
              <w:rPr>
                <w:rFonts w:ascii="Times New Roman" w:hAnsi="Times New Roman" w:eastAsia="宋体" w:cs="Times New Roman"/>
                <w:color w:val="auto"/>
                <w:kern w:val="24"/>
                <w:lang w:val="en-US" w:eastAsia="zh-CN" w:bidi="ar-SA"/>
              </w:rPr>
            </w:pPr>
            <w:r>
              <w:rPr>
                <w:rFonts w:hint="default"/>
                <w:lang w:val="en-US" w:eastAsia="zh-CN"/>
              </w:rPr>
              <w:t>综上，项目选址与外环境</w:t>
            </w:r>
            <w:r>
              <w:rPr>
                <w:rFonts w:hint="eastAsia"/>
                <w:lang w:val="en-US" w:eastAsia="zh-CN"/>
              </w:rPr>
              <w:t>是</w:t>
            </w:r>
            <w:r>
              <w:rPr>
                <w:rFonts w:hint="default"/>
                <w:lang w:val="en-US" w:eastAsia="zh-CN"/>
              </w:rPr>
              <w:t>相容</w:t>
            </w:r>
            <w:r>
              <w:rPr>
                <w:rFonts w:hint="eastAsia"/>
                <w:lang w:val="en-US" w:eastAsia="zh-CN"/>
              </w:rPr>
              <w:t>的</w:t>
            </w:r>
            <w:r>
              <w:rPr>
                <w:rFonts w:hint="default"/>
                <w:lang w:val="en-US" w:eastAsia="zh-CN"/>
              </w:rPr>
              <w:t>，不会对上述企业的安全生产环境和产品质量构成实质性不利影响。项目选址合理。</w:t>
            </w:r>
          </w:p>
        </w:tc>
      </w:tr>
    </w:tbl>
    <w:p w14:paraId="17E9777A">
      <w:r>
        <w:br w:type="page"/>
      </w:r>
    </w:p>
    <w:p w14:paraId="413E4D45">
      <w:pPr>
        <w:pStyle w:val="3"/>
        <w:jc w:val="center"/>
        <w:rPr>
          <w:color w:val="auto"/>
        </w:rPr>
      </w:pPr>
      <w:bookmarkStart w:id="13" w:name="_Toc14572"/>
      <w:bookmarkStart w:id="14" w:name="_Toc8808"/>
      <w:bookmarkStart w:id="15" w:name="_Toc22144"/>
      <w:bookmarkStart w:id="16" w:name="_Toc18169"/>
      <w:bookmarkStart w:id="17" w:name="_Toc13918"/>
      <w:bookmarkStart w:id="18" w:name="_Toc19374"/>
      <w:r>
        <w:rPr>
          <w:rFonts w:hint="eastAsia"/>
          <w:color w:val="auto"/>
        </w:rPr>
        <w:t>二、建设项目工程分析</w:t>
      </w:r>
      <w:bookmarkEnd w:id="13"/>
      <w:bookmarkEnd w:id="14"/>
      <w:bookmarkEnd w:id="15"/>
      <w:bookmarkEnd w:id="16"/>
      <w:bookmarkEnd w:id="17"/>
      <w:bookmarkEnd w:id="18"/>
    </w:p>
    <w:tbl>
      <w:tblPr>
        <w:tblStyle w:val="30"/>
        <w:tblW w:w="55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58"/>
      </w:tblGrid>
      <w:tr w14:paraId="77CC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7" w:hRule="atLeast"/>
          <w:jc w:val="center"/>
        </w:trPr>
        <w:tc>
          <w:tcPr>
            <w:tcW w:w="223" w:type="pct"/>
            <w:vAlign w:val="center"/>
          </w:tcPr>
          <w:p w14:paraId="0E272A22">
            <w:pPr>
              <w:pStyle w:val="3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auto"/>
              </w:rPr>
            </w:pPr>
            <w:r>
              <w:rPr>
                <w:rFonts w:hint="eastAsia"/>
                <w:color w:val="auto"/>
              </w:rPr>
              <w:t>建设内容</w:t>
            </w:r>
          </w:p>
        </w:tc>
        <w:tc>
          <w:tcPr>
            <w:tcW w:w="4774" w:type="pct"/>
            <w:vAlign w:val="center"/>
          </w:tcPr>
          <w:p w14:paraId="0F881A92">
            <w:pPr>
              <w:pStyle w:val="38"/>
              <w:ind w:firstLine="482"/>
              <w:rPr>
                <w:b/>
                <w:bCs/>
                <w:color w:val="auto"/>
              </w:rPr>
            </w:pPr>
            <w:r>
              <w:rPr>
                <w:rFonts w:hint="eastAsia"/>
                <w:b/>
                <w:bCs/>
                <w:color w:val="auto"/>
              </w:rPr>
              <w:t>1、项目由来</w:t>
            </w:r>
          </w:p>
          <w:p w14:paraId="1F1606D1">
            <w:pPr>
              <w:bidi w:val="0"/>
              <w:rPr>
                <w:rFonts w:hint="default" w:eastAsia="宋体"/>
                <w:lang w:val="en-US" w:eastAsia="zh-CN"/>
              </w:rPr>
            </w:pPr>
            <w:r>
              <w:rPr>
                <w:rFonts w:hint="eastAsia"/>
                <w:color w:val="auto"/>
                <w:lang w:val="en-US" w:eastAsia="zh-CN"/>
              </w:rPr>
              <w:t>聚智（达州）氢能科技有限公司</w:t>
            </w:r>
            <w:r>
              <w:rPr>
                <w:rFonts w:hint="eastAsia"/>
                <w:color w:val="auto"/>
              </w:rPr>
              <w:t>成立于20</w:t>
            </w:r>
            <w:r>
              <w:rPr>
                <w:rFonts w:hint="eastAsia"/>
                <w:color w:val="auto"/>
                <w:lang w:val="en-US" w:eastAsia="zh-CN"/>
              </w:rPr>
              <w:t>24</w:t>
            </w:r>
            <w:r>
              <w:rPr>
                <w:rFonts w:hint="eastAsia"/>
                <w:color w:val="auto"/>
              </w:rPr>
              <w:t>年6月，主营范围为新能源原动设备制造</w:t>
            </w:r>
            <w:r>
              <w:rPr>
                <w:rFonts w:hint="eastAsia"/>
                <w:color w:val="auto"/>
                <w:lang w:eastAsia="zh-CN"/>
              </w:rPr>
              <w:t>、助动自行车、代步车及零配件销售。</w:t>
            </w:r>
            <w:r>
              <w:rPr>
                <w:color w:val="auto"/>
              </w:rPr>
              <w:t>建设单位</w:t>
            </w:r>
            <w:r>
              <w:rPr>
                <w:rFonts w:hint="eastAsia"/>
                <w:color w:val="auto"/>
              </w:rPr>
              <w:t>于</w:t>
            </w:r>
            <w:r>
              <w:rPr>
                <w:rFonts w:hint="eastAsia"/>
                <w:color w:val="auto"/>
                <w:lang w:val="en-US" w:eastAsia="zh-CN"/>
              </w:rPr>
              <w:t>2024</w:t>
            </w:r>
            <w:r>
              <w:rPr>
                <w:rFonts w:hint="eastAsia"/>
                <w:color w:val="auto"/>
              </w:rPr>
              <w:t>年租赁达州市智广建设发展有限公司厂房，用于</w:t>
            </w:r>
            <w:r>
              <w:rPr>
                <w:rFonts w:hint="eastAsia"/>
                <w:color w:val="auto"/>
                <w:lang w:val="en-US" w:eastAsia="zh-CN"/>
              </w:rPr>
              <w:t>氢能源混合动力系统和氢能源两轮车的生产</w:t>
            </w:r>
            <w:r>
              <w:rPr>
                <w:rFonts w:hint="eastAsia"/>
                <w:color w:val="auto"/>
              </w:rPr>
              <w:t>。</w:t>
            </w:r>
            <w:r>
              <w:rPr>
                <w:rFonts w:hint="eastAsia"/>
                <w:lang w:val="en-US" w:eastAsia="zh-CN"/>
              </w:rPr>
              <w:t>原有</w:t>
            </w:r>
            <w:r>
              <w:rPr>
                <w:rFonts w:hint="eastAsia"/>
              </w:rPr>
              <w:t>项目于</w:t>
            </w:r>
            <w:r>
              <w:rPr>
                <w:rFonts w:hint="eastAsia"/>
                <w:lang w:eastAsia="zh-CN"/>
              </w:rPr>
              <w:t>2024年7月17日</w:t>
            </w:r>
            <w:r>
              <w:rPr>
                <w:rFonts w:hint="eastAsia"/>
                <w:lang w:val="en-US" w:eastAsia="zh-CN"/>
              </w:rPr>
              <w:t>在通川区发展和改革局</w:t>
            </w:r>
            <w:r>
              <w:rPr>
                <w:rFonts w:hint="eastAsia"/>
              </w:rPr>
              <w:t>备案，备案号为“</w:t>
            </w:r>
            <w:r>
              <w:rPr>
                <w:rFonts w:hint="eastAsia"/>
                <w:lang w:val="en-US" w:eastAsia="zh-CN"/>
              </w:rPr>
              <w:t>川投资备【</w:t>
            </w:r>
            <w:r>
              <w:rPr>
                <w:rFonts w:hint="default"/>
                <w:lang w:val="en-US" w:eastAsia="zh-CN"/>
              </w:rPr>
              <w:t>2407-511702-04-01-956857</w:t>
            </w:r>
            <w:r>
              <w:rPr>
                <w:rFonts w:hint="eastAsia"/>
                <w:lang w:val="en-US" w:eastAsia="zh-CN"/>
              </w:rPr>
              <w:t>】</w:t>
            </w:r>
            <w:r>
              <w:rPr>
                <w:rFonts w:hint="default"/>
                <w:lang w:val="en-US" w:eastAsia="zh-CN"/>
              </w:rPr>
              <w:t>FGQB-0331</w:t>
            </w:r>
            <w:r>
              <w:rPr>
                <w:rFonts w:hint="eastAsia"/>
                <w:lang w:val="en-US" w:eastAsia="zh-CN"/>
              </w:rPr>
              <w:t>号</w:t>
            </w:r>
            <w:r>
              <w:rPr>
                <w:rFonts w:hint="eastAsia"/>
              </w:rPr>
              <w:t>”</w:t>
            </w:r>
            <w:r>
              <w:rPr>
                <w:rFonts w:hint="eastAsia"/>
                <w:lang w:eastAsia="zh-CN"/>
              </w:rPr>
              <w:t>，</w:t>
            </w:r>
            <w:r>
              <w:rPr>
                <w:rFonts w:hint="eastAsia"/>
                <w:lang w:val="en-US" w:eastAsia="zh-CN"/>
              </w:rPr>
              <w:t>建设内容为氢能源两轮车生产线及配套设施。目前原有生产设备已安装完毕，还未投入生产。</w:t>
            </w:r>
          </w:p>
          <w:p w14:paraId="7114C097">
            <w:pPr>
              <w:pStyle w:val="38"/>
              <w:ind w:firstLine="480"/>
              <w:rPr>
                <w:rFonts w:hint="eastAsia" w:eastAsia="宋体"/>
                <w:color w:val="auto"/>
                <w:lang w:eastAsia="zh-CN"/>
              </w:rPr>
            </w:pPr>
            <w:r>
              <w:rPr>
                <w:rFonts w:hint="eastAsia"/>
                <w:color w:val="auto"/>
              </w:rPr>
              <w:t>在当前全球能源结构加速向清洁低碳转型的背景下，氢能作为实现“双碳”目标的关键路径，正迎来重大战略发展机遇。氢能源两轮车凭借其零排放、补能快、续航里程长等显著优势，已成为城市绿色交通体系建设的重要组成部分，市场潜力巨大，发展前景广阔。达州市作为四川省重要的工业城市和天然气产地，具备丰富的氢源基础，正积极布局氢能产业，并将其列为构建现代化产业体系的重要一环。通川区作为主城区，区位优势突出，通过持续优化营商环境，出台土地、资金、人才等方面扶持政策，积极推动高端装备制造和新能源项目落地，为氢能产业链企业提供了良好发展条件。在此背景下，伴随氢能源混合动力系统及氢能源两轮车产能需求的显著提升，为契合市场发展趋势、增强企业竞争力、完善全产业链经营模式，并响应客户持续增长的订单需求，企业拟对现有生产线实施改造升级</w:t>
            </w:r>
            <w:r>
              <w:rPr>
                <w:rFonts w:hint="eastAsia"/>
                <w:color w:val="auto"/>
                <w:lang w:eastAsia="zh-CN"/>
              </w:rPr>
              <w:t>。</w:t>
            </w:r>
          </w:p>
          <w:p w14:paraId="7F8E9411">
            <w:pPr>
              <w:pStyle w:val="38"/>
              <w:ind w:firstLine="480"/>
              <w:rPr>
                <w:color w:val="auto"/>
              </w:rPr>
            </w:pPr>
            <w:r>
              <w:rPr>
                <w:rFonts w:hint="eastAsia"/>
                <w:color w:val="auto"/>
              </w:rPr>
              <w:t>目前，</w:t>
            </w:r>
            <w:r>
              <w:rPr>
                <w:rFonts w:hint="eastAsia"/>
                <w:color w:val="auto"/>
                <w:lang w:val="en-US" w:eastAsia="zh-CN"/>
              </w:rPr>
              <w:t>氢能源混合动力系统中双极板组装仅为简单的合并、压实，其气密性</w:t>
            </w:r>
            <w:r>
              <w:rPr>
                <w:rFonts w:hint="eastAsia"/>
                <w:color w:val="auto"/>
              </w:rPr>
              <w:t>难以满足更高标准和个性化需求。因此，拟</w:t>
            </w:r>
            <w:r>
              <w:rPr>
                <w:rFonts w:hint="eastAsia"/>
                <w:color w:val="auto"/>
                <w:lang w:val="en-US" w:eastAsia="zh-CN"/>
              </w:rPr>
              <w:t>在双极板</w:t>
            </w:r>
            <w:r>
              <w:rPr>
                <w:rFonts w:hint="eastAsia"/>
                <w:color w:val="auto"/>
              </w:rPr>
              <w:t>，提升产品精度和质量稳定性，以更好地适配生产节奏和品质要求。而</w:t>
            </w:r>
            <w:r>
              <w:rPr>
                <w:rFonts w:hint="eastAsia"/>
                <w:color w:val="auto"/>
                <w:lang w:val="en-US" w:eastAsia="zh-CN"/>
              </w:rPr>
              <w:t>膜电极生产线和氢能源两轮车组装线，</w:t>
            </w:r>
            <w:r>
              <w:rPr>
                <w:rFonts w:hint="eastAsia"/>
                <w:color w:val="auto"/>
              </w:rPr>
              <w:t>鉴于当前的工艺能够较好地满足市场需求，决定保持原有工艺不变。改造完成后，</w:t>
            </w:r>
            <w:r>
              <w:rPr>
                <w:rFonts w:hint="eastAsia"/>
                <w:color w:val="auto"/>
                <w:lang w:val="en-US" w:eastAsia="zh-CN"/>
              </w:rPr>
              <w:t>产品零部件结构更为精细和标准，</w:t>
            </w:r>
            <w:r>
              <w:rPr>
                <w:rFonts w:hint="eastAsia"/>
                <w:color w:val="auto"/>
              </w:rPr>
              <w:t>全厂</w:t>
            </w:r>
            <w:r>
              <w:rPr>
                <w:rFonts w:hint="eastAsia"/>
                <w:color w:val="auto"/>
                <w:lang w:val="en-US" w:eastAsia="zh-CN"/>
              </w:rPr>
              <w:t>总</w:t>
            </w:r>
            <w:r>
              <w:rPr>
                <w:rFonts w:hint="eastAsia"/>
                <w:color w:val="auto"/>
              </w:rPr>
              <w:t>产能维持不变。通过此次改造升级，</w:t>
            </w:r>
            <w:r>
              <w:rPr>
                <w:rFonts w:hint="eastAsia"/>
                <w:color w:val="auto"/>
                <w:lang w:val="en-US" w:eastAsia="zh-CN"/>
              </w:rPr>
              <w:t>建设单位</w:t>
            </w:r>
            <w:r>
              <w:rPr>
                <w:rFonts w:hint="eastAsia"/>
                <w:color w:val="auto"/>
              </w:rPr>
              <w:t>期望在新的市场环境下，进一步巩固自身在</w:t>
            </w:r>
            <w:r>
              <w:rPr>
                <w:rFonts w:hint="eastAsia"/>
                <w:color w:val="auto"/>
                <w:lang w:val="en-US" w:eastAsia="zh-CN"/>
              </w:rPr>
              <w:t>氢能源混合动力系统和氢能源两轮车的</w:t>
            </w:r>
            <w:r>
              <w:rPr>
                <w:rFonts w:hint="eastAsia"/>
                <w:color w:val="auto"/>
              </w:rPr>
              <w:t>制造领域的优势地位，为客户提供更优质的产品和服务，实现企业的可持续发展。</w:t>
            </w:r>
          </w:p>
          <w:p w14:paraId="2213422C">
            <w:pPr>
              <w:pStyle w:val="38"/>
              <w:ind w:firstLine="480"/>
              <w:rPr>
                <w:rFonts w:hint="default" w:eastAsia="宋体"/>
                <w:color w:val="auto"/>
                <w:lang w:val="en-US" w:eastAsia="zh-CN"/>
              </w:rPr>
            </w:pPr>
            <w:r>
              <w:rPr>
                <w:rFonts w:hint="eastAsia"/>
                <w:lang w:val="en-US" w:eastAsia="zh-CN"/>
              </w:rPr>
              <w:t>本项目已于2025年11月7日在达州市通川区经济和信息化局备案，备案号为：川投资备【2511-511702-07-02-331218】JXQB-0826号。</w:t>
            </w:r>
          </w:p>
          <w:p w14:paraId="15DDA263">
            <w:pPr>
              <w:pStyle w:val="38"/>
              <w:ind w:firstLine="480"/>
              <w:rPr>
                <w:color w:val="auto"/>
              </w:rPr>
            </w:pPr>
            <w:r>
              <w:rPr>
                <w:rFonts w:hint="eastAsia"/>
                <w:color w:val="auto"/>
              </w:rPr>
              <w:t>根据《中华人民共和国环境保护法</w:t>
            </w:r>
            <w:r>
              <w:rPr>
                <w:rFonts w:hint="eastAsia"/>
                <w:color w:val="auto"/>
                <w:lang w:eastAsia="zh-CN"/>
              </w:rPr>
              <w:t>》《</w:t>
            </w:r>
            <w:r>
              <w:rPr>
                <w:rFonts w:hint="eastAsia"/>
                <w:color w:val="auto"/>
              </w:rPr>
              <w:t>中华人民共和国环境影响评价法》以及国务院第628号令《建设项目环境保护管理条例》（2017年7月16日修订）的要求，本项目需开展环境影响评价工作。根据《建设项目环境影响评价分类管理名录（</w:t>
            </w:r>
            <w:r>
              <w:rPr>
                <w:color w:val="auto"/>
              </w:rPr>
              <w:t>2021</w:t>
            </w:r>
            <w:r>
              <w:rPr>
                <w:rFonts w:hint="eastAsia"/>
                <w:color w:val="auto"/>
              </w:rPr>
              <w:t>年版）》，本项目为“</w:t>
            </w:r>
            <w:r>
              <w:rPr>
                <w:rFonts w:hint="eastAsia"/>
                <w:color w:val="auto"/>
                <w:lang w:val="en-US" w:eastAsia="zh-CN"/>
              </w:rPr>
              <w:t>三十四、铁路、船舶、航空航天和其他运输设备制造业 37-76 助动车制造 377－其他（仅分割、焊接、组装的除外；年用非溶剂型低VOCs含量涂料10吨以下的除外）、三十五、电气机械和器材制造业 38-77 电池制造 384－其他（仅分割、焊接、组装的除外；年用非溶剂型低VOCs含量涂料10吨以下的除外）</w:t>
            </w:r>
            <w:r>
              <w:rPr>
                <w:rFonts w:hint="eastAsia"/>
                <w:color w:val="auto"/>
              </w:rPr>
              <w:t>”类，应编制环境影响报告表。为此，</w:t>
            </w:r>
            <w:r>
              <w:rPr>
                <w:rFonts w:hint="eastAsia"/>
                <w:color w:val="auto"/>
                <w:lang w:val="en-US" w:eastAsia="zh-CN"/>
              </w:rPr>
              <w:t>聚智（达州）氢能科技有限公司</w:t>
            </w:r>
            <w:r>
              <w:rPr>
                <w:rFonts w:hint="eastAsia"/>
                <w:color w:val="auto"/>
              </w:rPr>
              <w:t>特委托我公司开展本项目的环境影响评价工作。在接受委托后，我公司组织专业技术人员对本项目进行实地踏勘和资料收集，并根据现场收集资料和有关技术规范及相关规定，结合本项目的污染特征，编制完成本项目的环境影响评价报告表。</w:t>
            </w:r>
          </w:p>
          <w:p w14:paraId="64BF4A67">
            <w:pPr>
              <w:pStyle w:val="38"/>
              <w:ind w:firstLine="482"/>
              <w:rPr>
                <w:b/>
                <w:bCs/>
                <w:color w:val="auto"/>
              </w:rPr>
            </w:pPr>
            <w:r>
              <w:rPr>
                <w:rFonts w:hint="eastAsia"/>
                <w:b/>
                <w:bCs/>
                <w:color w:val="auto"/>
              </w:rPr>
              <w:t>2、建设项目概况</w:t>
            </w:r>
          </w:p>
          <w:p w14:paraId="346E0F3F">
            <w:pPr>
              <w:ind w:firstLine="480"/>
              <w:jc w:val="left"/>
              <w:rPr>
                <w:rFonts w:hint="eastAsia" w:eastAsia="宋体"/>
                <w:kern w:val="2"/>
              </w:rPr>
            </w:pPr>
            <w:r>
              <w:rPr>
                <w:rFonts w:eastAsia="黑体"/>
                <w:kern w:val="0"/>
              </w:rPr>
              <w:t>项目名称：</w:t>
            </w:r>
            <w:r>
              <w:rPr>
                <w:rFonts w:hint="eastAsia" w:eastAsia="宋体"/>
                <w:kern w:val="2"/>
              </w:rPr>
              <w:t>氢能动力系统改建项目</w:t>
            </w:r>
          </w:p>
          <w:p w14:paraId="0CBE30ED">
            <w:pPr>
              <w:ind w:firstLine="480"/>
              <w:jc w:val="left"/>
              <w:rPr>
                <w:rFonts w:hint="eastAsia"/>
                <w:lang w:val="en-US" w:eastAsia="zh-CN"/>
              </w:rPr>
            </w:pPr>
            <w:r>
              <w:rPr>
                <w:rFonts w:eastAsia="黑体"/>
                <w:kern w:val="0"/>
              </w:rPr>
              <w:t>建设单位：</w:t>
            </w:r>
            <w:r>
              <w:rPr>
                <w:rFonts w:hint="eastAsia"/>
                <w:lang w:val="en-US" w:eastAsia="zh-CN"/>
              </w:rPr>
              <w:t>聚智（达州）氢能科技有限公司</w:t>
            </w:r>
          </w:p>
          <w:p w14:paraId="503B457D">
            <w:pPr>
              <w:ind w:firstLine="480"/>
              <w:jc w:val="left"/>
              <w:rPr>
                <w:rFonts w:hint="eastAsia" w:ascii="Times New Roman" w:hAnsi="Times New Roman" w:eastAsia="宋体"/>
                <w:lang w:val="en-US" w:eastAsia="zh-CN"/>
              </w:rPr>
            </w:pPr>
            <w:r>
              <w:rPr>
                <w:rFonts w:eastAsia="黑体"/>
                <w:kern w:val="0"/>
              </w:rPr>
              <w:t>建设性质：</w:t>
            </w:r>
            <w:r>
              <w:rPr>
                <w:rFonts w:hint="eastAsia"/>
                <w:lang w:val="en-US" w:eastAsia="zh-CN"/>
              </w:rPr>
              <w:t>技术改造</w:t>
            </w:r>
          </w:p>
          <w:p w14:paraId="0CE5BA1C">
            <w:pPr>
              <w:ind w:firstLine="480"/>
              <w:jc w:val="left"/>
            </w:pPr>
            <w:r>
              <w:rPr>
                <w:rFonts w:eastAsia="黑体"/>
                <w:kern w:val="0"/>
              </w:rPr>
              <w:t>建设地点：</w:t>
            </w:r>
            <w:r>
              <w:rPr>
                <w:rFonts w:hint="eastAsia"/>
                <w:lang w:val="en-US" w:eastAsia="zh-CN"/>
              </w:rPr>
              <w:t>四川省达州市通川区经济开发区魏兴大道1号川菜高新技术产业园</w:t>
            </w:r>
            <w:r>
              <w:rPr>
                <w:rFonts w:hint="eastAsia"/>
                <w:sz w:val="24"/>
              </w:rPr>
              <w:t>区</w:t>
            </w:r>
            <w:r>
              <w:rPr>
                <w:rFonts w:hint="eastAsia"/>
              </w:rPr>
              <w:t>（</w:t>
            </w:r>
            <w:r>
              <w:rPr>
                <w:u w:val="single"/>
              </w:rPr>
              <w:t>10</w:t>
            </w:r>
            <w:r>
              <w:rPr>
                <w:rFonts w:hint="eastAsia"/>
                <w:u w:val="single"/>
                <w:lang w:val="en-US" w:eastAsia="zh-CN"/>
              </w:rPr>
              <w:t>7</w:t>
            </w:r>
            <w:r>
              <w:t>度</w:t>
            </w:r>
            <w:r>
              <w:rPr>
                <w:rFonts w:hint="eastAsia"/>
                <w:u w:val="single"/>
                <w:lang w:val="en-US" w:eastAsia="zh-CN"/>
              </w:rPr>
              <w:t>51</w:t>
            </w:r>
            <w:r>
              <w:t>分</w:t>
            </w:r>
            <w:r>
              <w:rPr>
                <w:rFonts w:hint="eastAsia"/>
                <w:u w:val="single"/>
                <w:lang w:val="en-US" w:eastAsia="zh-CN"/>
              </w:rPr>
              <w:t>33.103</w:t>
            </w:r>
            <w:r>
              <w:t>秒，</w:t>
            </w:r>
            <w:r>
              <w:rPr>
                <w:rFonts w:hint="eastAsia"/>
                <w:u w:val="single"/>
                <w:lang w:val="en-US" w:eastAsia="zh-CN"/>
              </w:rPr>
              <w:t>31</w:t>
            </w:r>
            <w:r>
              <w:t>度</w:t>
            </w:r>
            <w:r>
              <w:rPr>
                <w:rFonts w:hint="eastAsia"/>
                <w:u w:val="single"/>
                <w:lang w:val="en-US" w:eastAsia="zh-CN"/>
              </w:rPr>
              <w:t>35</w:t>
            </w:r>
            <w:r>
              <w:t>分</w:t>
            </w:r>
            <w:r>
              <w:rPr>
                <w:rFonts w:hint="eastAsia"/>
                <w:u w:val="single"/>
                <w:lang w:val="en-US" w:eastAsia="zh-CN"/>
              </w:rPr>
              <w:t>88.626</w:t>
            </w:r>
            <w:r>
              <w:t>秒</w:t>
            </w:r>
            <w:r>
              <w:rPr>
                <w:rFonts w:hint="eastAsia"/>
              </w:rPr>
              <w:t>）</w:t>
            </w:r>
          </w:p>
          <w:p w14:paraId="642174A6">
            <w:pPr>
              <w:ind w:firstLine="480"/>
              <w:jc w:val="left"/>
              <w:rPr>
                <w:kern w:val="0"/>
              </w:rPr>
            </w:pPr>
            <w:r>
              <w:rPr>
                <w:rFonts w:eastAsia="黑体"/>
                <w:kern w:val="0"/>
              </w:rPr>
              <w:t>占地面积</w:t>
            </w:r>
            <w:r>
              <w:rPr>
                <w:rFonts w:hint="eastAsia" w:eastAsia="黑体"/>
                <w:kern w:val="0"/>
                <w:lang w:eastAsia="zh-CN"/>
              </w:rPr>
              <w:t>：</w:t>
            </w:r>
            <w:r>
              <w:rPr>
                <w:rFonts w:hint="eastAsia"/>
                <w:lang w:val="en-US" w:eastAsia="zh-CN"/>
              </w:rPr>
              <w:t>现有厂房建筑</w:t>
            </w:r>
            <w:r>
              <w:t>面积为</w:t>
            </w:r>
            <w:r>
              <w:rPr>
                <w:rFonts w:hint="eastAsia"/>
                <w:lang w:val="en-US" w:eastAsia="zh-CN"/>
              </w:rPr>
              <w:t>10605m</w:t>
            </w:r>
            <w:r>
              <w:rPr>
                <w:rFonts w:hint="eastAsia"/>
                <w:vertAlign w:val="superscript"/>
                <w:lang w:val="en-US" w:eastAsia="zh-CN"/>
              </w:rPr>
              <w:t>2</w:t>
            </w:r>
            <w:r>
              <w:rPr>
                <w:rFonts w:hint="eastAsia"/>
                <w:vertAlign w:val="baseline"/>
                <w:lang w:val="en-US" w:eastAsia="zh-CN"/>
              </w:rPr>
              <w:t>，</w:t>
            </w:r>
            <w:r>
              <w:rPr>
                <w:rFonts w:hint="eastAsia"/>
                <w:lang w:val="en-US" w:eastAsia="zh-CN"/>
              </w:rPr>
              <w:t>本次技改在现有租赁厂房内进行，利用三楼双极板组装区域的空余部分进行新增设备的安装。</w:t>
            </w:r>
          </w:p>
          <w:p w14:paraId="557D22BD">
            <w:pPr>
              <w:ind w:firstLine="480"/>
              <w:jc w:val="left"/>
              <w:rPr>
                <w:rFonts w:hint="eastAsia" w:ascii="Times New Roman" w:hAnsi="Times New Roman" w:eastAsia="宋体" w:cs="Times New Roman"/>
                <w:color w:val="auto"/>
                <w:szCs w:val="24"/>
                <w:highlight w:val="none"/>
                <w:lang w:eastAsia="zh-CN"/>
              </w:rPr>
            </w:pPr>
            <w:r>
              <w:rPr>
                <w:rFonts w:eastAsia="黑体"/>
                <w:kern w:val="0"/>
              </w:rPr>
              <w:t>项目投资</w:t>
            </w:r>
            <w:r>
              <w:rPr>
                <w:rFonts w:eastAsia="黑体"/>
                <w:kern w:val="0"/>
                <w:highlight w:val="none"/>
              </w:rPr>
              <w:t>：</w:t>
            </w:r>
            <w:r>
              <w:rPr>
                <w:bCs/>
                <w:color w:val="auto"/>
                <w:highlight w:val="none"/>
              </w:rPr>
              <w:t>项目总投资</w:t>
            </w:r>
            <w:r>
              <w:rPr>
                <w:rFonts w:hint="eastAsia"/>
                <w:bCs/>
                <w:color w:val="auto"/>
                <w:highlight w:val="none"/>
                <w:lang w:val="en-US" w:eastAsia="zh-CN"/>
              </w:rPr>
              <w:t>875万</w:t>
            </w:r>
            <w:r>
              <w:rPr>
                <w:bCs/>
                <w:color w:val="auto"/>
                <w:highlight w:val="none"/>
              </w:rPr>
              <w:t>元，</w:t>
            </w:r>
            <w:r>
              <w:rPr>
                <w:rFonts w:cs="Times New Roman"/>
                <w:color w:val="auto"/>
                <w:szCs w:val="24"/>
                <w:highlight w:val="none"/>
              </w:rPr>
              <w:t>其中环保投资</w:t>
            </w:r>
            <w:r>
              <w:rPr>
                <w:rFonts w:hint="eastAsia" w:cs="Times New Roman"/>
                <w:color w:val="auto"/>
                <w:szCs w:val="24"/>
                <w:highlight w:val="none"/>
                <w:lang w:val="en-US" w:eastAsia="zh-CN"/>
              </w:rPr>
              <w:t>35</w:t>
            </w:r>
            <w:r>
              <w:rPr>
                <w:rFonts w:ascii="Times New Roman" w:hAnsi="Times New Roman" w:eastAsia="宋体" w:cs="Times New Roman"/>
                <w:color w:val="auto"/>
                <w:szCs w:val="24"/>
                <w:highlight w:val="none"/>
              </w:rPr>
              <w:t>万元，环保投资占投资总额的</w:t>
            </w:r>
            <w:r>
              <w:rPr>
                <w:rFonts w:hint="eastAsia" w:cs="Times New Roman"/>
                <w:color w:val="auto"/>
                <w:szCs w:val="24"/>
                <w:highlight w:val="none"/>
                <w:lang w:val="en-US" w:eastAsia="zh-CN"/>
              </w:rPr>
              <w:t>4</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eastAsia="zh-CN"/>
              </w:rPr>
              <w:t>。</w:t>
            </w:r>
          </w:p>
          <w:p w14:paraId="3845EEDA">
            <w:pPr>
              <w:ind w:firstLine="480"/>
              <w:jc w:val="left"/>
              <w:rPr>
                <w:rFonts w:hint="eastAsia" w:ascii="Times New Roman" w:hAnsi="Times New Roman" w:eastAsia="宋体" w:cs="Times New Roman"/>
                <w:szCs w:val="24"/>
                <w:highlight w:val="none"/>
                <w:lang w:val="en-US" w:eastAsia="zh-CN"/>
              </w:rPr>
            </w:pPr>
            <w:r>
              <w:rPr>
                <w:rFonts w:hint="default" w:eastAsia="黑体"/>
                <w:b w:val="0"/>
                <w:bCs w:val="0"/>
                <w:color w:val="auto"/>
                <w:kern w:val="0"/>
              </w:rPr>
              <w:t>建设规模</w:t>
            </w:r>
            <w:r>
              <w:rPr>
                <w:rFonts w:hint="default" w:eastAsia="黑体"/>
                <w:color w:val="auto"/>
                <w:kern w:val="0"/>
              </w:rPr>
              <w:t>：</w:t>
            </w:r>
            <w:r>
              <w:rPr>
                <w:rFonts w:hint="eastAsia"/>
                <w:color w:val="auto"/>
              </w:rPr>
              <w:t>拟购置点胶机和固化箱，对现有双极板组装线进行升级改造，增加“双极板点胶与固化”工艺，年产氢能源混合动力系统20万套及氢能源两轮车3万辆的生产能力不变</w:t>
            </w:r>
            <w:r>
              <w:rPr>
                <w:rFonts w:hint="eastAsia"/>
                <w:color w:val="auto"/>
                <w:lang w:eastAsia="zh-CN"/>
              </w:rPr>
              <w:t>。</w:t>
            </w:r>
          </w:p>
          <w:p w14:paraId="0B7CE927">
            <w:pPr>
              <w:pStyle w:val="38"/>
              <w:ind w:firstLine="482"/>
              <w:rPr>
                <w:rFonts w:hint="eastAsia"/>
                <w:color w:val="auto"/>
              </w:rPr>
            </w:pPr>
            <w:r>
              <w:rPr>
                <w:rFonts w:eastAsia="黑体"/>
                <w:kern w:val="0"/>
              </w:rPr>
              <w:t>劳动定员</w:t>
            </w:r>
            <w:r>
              <w:rPr>
                <w:rFonts w:hint="eastAsia" w:eastAsia="黑体"/>
                <w:kern w:val="0"/>
                <w:lang w:val="en-US" w:eastAsia="zh-CN"/>
              </w:rPr>
              <w:t>及</w:t>
            </w:r>
            <w:r>
              <w:rPr>
                <w:rFonts w:eastAsia="黑体"/>
                <w:kern w:val="0"/>
              </w:rPr>
              <w:t>生产制度：</w:t>
            </w:r>
            <w:r>
              <w:rPr>
                <w:rFonts w:hint="eastAsia"/>
                <w:color w:val="auto"/>
              </w:rPr>
              <w:t>现有劳动定员</w:t>
            </w:r>
            <w:r>
              <w:rPr>
                <w:rFonts w:hint="eastAsia"/>
                <w:color w:val="auto"/>
                <w:lang w:val="en-US" w:eastAsia="zh-CN"/>
              </w:rPr>
              <w:t>120</w:t>
            </w:r>
            <w:r>
              <w:rPr>
                <w:rFonts w:hint="eastAsia"/>
                <w:color w:val="auto"/>
              </w:rPr>
              <w:t>人，本项目不新增劳动定员，保持现有年生产</w:t>
            </w:r>
            <w:r>
              <w:rPr>
                <w:rFonts w:hint="eastAsia"/>
                <w:color w:val="auto"/>
                <w:lang w:val="en-US" w:eastAsia="zh-CN"/>
              </w:rPr>
              <w:t>240</w:t>
            </w:r>
            <w:r>
              <w:rPr>
                <w:rFonts w:hint="eastAsia"/>
                <w:color w:val="auto"/>
              </w:rPr>
              <w:t>天，每班8</w:t>
            </w:r>
            <w:r>
              <w:rPr>
                <w:rFonts w:hint="eastAsia"/>
                <w:color w:val="auto"/>
                <w:lang w:val="en-US" w:eastAsia="zh-CN"/>
              </w:rPr>
              <w:t>h</w:t>
            </w:r>
            <w:r>
              <w:rPr>
                <w:rFonts w:hint="eastAsia"/>
                <w:color w:val="auto"/>
              </w:rPr>
              <w:t>的生产制度。</w:t>
            </w:r>
          </w:p>
          <w:p w14:paraId="118FE2B5">
            <w:pPr>
              <w:pStyle w:val="38"/>
              <w:ind w:firstLine="482"/>
              <w:rPr>
                <w:b/>
                <w:bCs/>
                <w:color w:val="auto"/>
              </w:rPr>
            </w:pPr>
            <w:r>
              <w:rPr>
                <w:rFonts w:hint="eastAsia"/>
                <w:b/>
                <w:bCs/>
                <w:color w:val="auto"/>
                <w:lang w:val="en-US" w:eastAsia="zh-CN"/>
              </w:rPr>
              <w:t>3</w:t>
            </w:r>
            <w:r>
              <w:rPr>
                <w:rFonts w:hint="eastAsia"/>
                <w:b/>
                <w:bCs/>
                <w:color w:val="auto"/>
              </w:rPr>
              <w:t>、产品方案</w:t>
            </w:r>
          </w:p>
          <w:p w14:paraId="3FFC95D2">
            <w:pPr>
              <w:bidi w:val="0"/>
              <w:rPr>
                <w:lang w:val="eu-ES"/>
              </w:rPr>
            </w:pPr>
            <w:r>
              <w:rPr>
                <w:rFonts w:hint="eastAsia"/>
              </w:rPr>
              <w:t>建设单位生产产品</w:t>
            </w:r>
            <w:r>
              <w:rPr>
                <w:rFonts w:hint="eastAsia"/>
                <w:lang w:val="en-US" w:eastAsia="zh-CN"/>
              </w:rPr>
              <w:t>为氢能源混合动力系统和氢能源两轮车</w:t>
            </w:r>
            <w:r>
              <w:rPr>
                <w:rFonts w:hint="eastAsia"/>
              </w:rPr>
              <w:t>，</w:t>
            </w:r>
            <w:r>
              <w:rPr>
                <w:rFonts w:hint="eastAsia"/>
                <w:lang w:val="en-US" w:eastAsia="zh-CN"/>
              </w:rPr>
              <w:t>本次技改拟增加双极板的点胶和固化工艺，以提高双极板气密性要求。</w:t>
            </w:r>
            <w:r>
              <w:rPr>
                <w:rFonts w:hint="eastAsia"/>
              </w:rPr>
              <w:t>项目技改前后全厂产能不变。本项目建成后</w:t>
            </w:r>
            <w:r>
              <w:t>全厂生产规模</w:t>
            </w:r>
            <w:r>
              <w:rPr>
                <w:rFonts w:hint="eastAsia"/>
              </w:rPr>
              <w:t>见下表</w:t>
            </w:r>
            <w:r>
              <w:rPr>
                <w:rFonts w:hint="eastAsia"/>
                <w:lang w:val="en-US" w:eastAsia="zh-CN"/>
              </w:rPr>
              <w:t>2-1</w:t>
            </w:r>
            <w:r>
              <w:rPr>
                <w:rFonts w:hint="eastAsia"/>
              </w:rPr>
              <w:t>。</w:t>
            </w:r>
          </w:p>
          <w:p w14:paraId="653B3D86">
            <w:pPr>
              <w:pStyle w:val="7"/>
              <w:bidi w:val="0"/>
              <w:rPr>
                <w:lang w:val="eu-ES"/>
              </w:rPr>
            </w:pPr>
            <w:r>
              <w:rPr>
                <w:lang w:val="eu-ES"/>
              </w:rPr>
              <w:t>表</w:t>
            </w:r>
            <w:r>
              <w:rPr>
                <w:rFonts w:hint="eastAsia"/>
              </w:rPr>
              <w:t>2</w:t>
            </w:r>
            <w:r>
              <w:rPr>
                <w:rFonts w:hint="eastAsia"/>
                <w:lang w:val="en-US" w:eastAsia="zh-CN"/>
              </w:rPr>
              <w:t>-1</w:t>
            </w:r>
            <w:r>
              <w:rPr>
                <w:rFonts w:hint="eastAsia"/>
              </w:rPr>
              <w:t xml:space="preserve">  技改前后</w:t>
            </w:r>
            <w:r>
              <w:rPr>
                <w:lang w:val="eu-ES"/>
              </w:rPr>
              <w:t>生产规模表</w:t>
            </w:r>
          </w:p>
          <w:tbl>
            <w:tblPr>
              <w:tblStyle w:val="31"/>
              <w:tblW w:w="8831"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232"/>
              <w:gridCol w:w="761"/>
              <w:gridCol w:w="1468"/>
              <w:gridCol w:w="1372"/>
              <w:gridCol w:w="1510"/>
              <w:gridCol w:w="937"/>
            </w:tblGrid>
            <w:tr w14:paraId="3570DB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51" w:type="dxa"/>
                  <w:tcBorders>
                    <w:tl2br w:val="nil"/>
                    <w:tr2bl w:val="nil"/>
                  </w:tcBorders>
                  <w:noWrap w:val="0"/>
                  <w:vAlign w:val="center"/>
                </w:tcPr>
                <w:p w14:paraId="389FF6DA">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序号</w:t>
                  </w:r>
                </w:p>
              </w:tc>
              <w:tc>
                <w:tcPr>
                  <w:tcW w:w="2232" w:type="dxa"/>
                  <w:tcBorders>
                    <w:tl2br w:val="nil"/>
                    <w:tr2bl w:val="nil"/>
                  </w:tcBorders>
                  <w:noWrap w:val="0"/>
                  <w:vAlign w:val="center"/>
                </w:tcPr>
                <w:p w14:paraId="6FE5151F">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产品名称</w:t>
                  </w:r>
                </w:p>
              </w:tc>
              <w:tc>
                <w:tcPr>
                  <w:tcW w:w="761" w:type="dxa"/>
                  <w:tcBorders>
                    <w:tl2br w:val="nil"/>
                    <w:tr2bl w:val="nil"/>
                  </w:tcBorders>
                  <w:noWrap w:val="0"/>
                  <w:vAlign w:val="center"/>
                </w:tcPr>
                <w:p w14:paraId="09402A1A">
                  <w:pPr>
                    <w:widowControl w:val="0"/>
                    <w:wordWrap/>
                    <w:autoSpaceDE w:val="0"/>
                    <w:autoSpaceDN w:val="0"/>
                    <w:adjustRightInd/>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规格</w:t>
                  </w:r>
                </w:p>
              </w:tc>
              <w:tc>
                <w:tcPr>
                  <w:tcW w:w="1468" w:type="dxa"/>
                  <w:tcBorders>
                    <w:tl2br w:val="nil"/>
                    <w:tr2bl w:val="nil"/>
                  </w:tcBorders>
                  <w:noWrap w:val="0"/>
                  <w:vAlign w:val="center"/>
                </w:tcPr>
                <w:p w14:paraId="666BC260">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eastAsia" w:cs="Times New Roman" w:eastAsiaTheme="minorEastAsia"/>
                      <w:b/>
                      <w:bCs/>
                      <w:color w:val="auto"/>
                      <w:kern w:val="0"/>
                      <w:sz w:val="21"/>
                      <w:szCs w:val="21"/>
                      <w:lang w:val="en-US" w:eastAsia="zh-CN" w:bidi="ar-SA"/>
                    </w:rPr>
                    <w:t>技改前产量</w:t>
                  </w:r>
                </w:p>
              </w:tc>
              <w:tc>
                <w:tcPr>
                  <w:tcW w:w="1372" w:type="dxa"/>
                  <w:tcBorders>
                    <w:tl2br w:val="nil"/>
                    <w:tr2bl w:val="nil"/>
                  </w:tcBorders>
                  <w:noWrap w:val="0"/>
                  <w:vAlign w:val="center"/>
                </w:tcPr>
                <w:p w14:paraId="3EEF0817">
                  <w:pPr>
                    <w:widowControl w:val="0"/>
                    <w:wordWrap/>
                    <w:autoSpaceDE w:val="0"/>
                    <w:autoSpaceDN w:val="0"/>
                    <w:adjustRightInd/>
                    <w:spacing w:line="240" w:lineRule="auto"/>
                    <w:ind w:firstLine="0" w:firstLineChars="0"/>
                    <w:jc w:val="center"/>
                    <w:rPr>
                      <w:rFonts w:hint="eastAsia" w:cs="Times New Roman" w:eastAsiaTheme="minorEastAsia"/>
                      <w:b/>
                      <w:bCs/>
                      <w:color w:val="auto"/>
                      <w:kern w:val="0"/>
                      <w:sz w:val="21"/>
                      <w:szCs w:val="21"/>
                      <w:lang w:val="en-US" w:eastAsia="zh-CN" w:bidi="ar-SA"/>
                    </w:rPr>
                  </w:pPr>
                  <w:r>
                    <w:rPr>
                      <w:rFonts w:hint="eastAsia" w:cs="Times New Roman" w:eastAsiaTheme="minorEastAsia"/>
                      <w:b/>
                      <w:bCs/>
                      <w:color w:val="auto"/>
                      <w:kern w:val="0"/>
                      <w:sz w:val="21"/>
                      <w:szCs w:val="21"/>
                      <w:lang w:val="en-US" w:eastAsia="zh-CN" w:bidi="ar-SA"/>
                    </w:rPr>
                    <w:t>本项目新增产量</w:t>
                  </w:r>
                </w:p>
              </w:tc>
              <w:tc>
                <w:tcPr>
                  <w:tcW w:w="1510" w:type="dxa"/>
                  <w:tcBorders>
                    <w:tl2br w:val="nil"/>
                    <w:tr2bl w:val="nil"/>
                  </w:tcBorders>
                  <w:shd w:val="clear" w:color="auto" w:fill="auto"/>
                  <w:noWrap w:val="0"/>
                  <w:vAlign w:val="center"/>
                </w:tcPr>
                <w:p w14:paraId="2A8AA4B2">
                  <w:pPr>
                    <w:pStyle w:val="40"/>
                    <w:ind w:left="0" w:leftChars="0" w:firstLine="0" w:firstLineChars="0"/>
                    <w:rPr>
                      <w:rFonts w:hint="default" w:ascii="Times New Roman" w:hAnsi="Times New Roman" w:eastAsia="宋体" w:cs="Times New Roman"/>
                      <w:b/>
                      <w:bCs/>
                      <w:color w:val="auto"/>
                      <w:kern w:val="18"/>
                      <w:sz w:val="21"/>
                      <w:szCs w:val="21"/>
                      <w:lang w:val="en-US" w:eastAsia="zh-CN" w:bidi="ar-SA"/>
                    </w:rPr>
                  </w:pPr>
                  <w:r>
                    <w:rPr>
                      <w:rFonts w:hint="eastAsia"/>
                      <w:b/>
                      <w:bCs/>
                      <w:color w:val="auto"/>
                      <w:szCs w:val="21"/>
                    </w:rPr>
                    <w:t>技改后全产量</w:t>
                  </w:r>
                </w:p>
              </w:tc>
              <w:tc>
                <w:tcPr>
                  <w:tcW w:w="937" w:type="dxa"/>
                  <w:tcBorders>
                    <w:tl2br w:val="nil"/>
                    <w:tr2bl w:val="nil"/>
                  </w:tcBorders>
                  <w:shd w:val="clear" w:color="auto" w:fill="auto"/>
                  <w:noWrap w:val="0"/>
                  <w:vAlign w:val="center"/>
                </w:tcPr>
                <w:p w14:paraId="73D11273">
                  <w:pPr>
                    <w:pStyle w:val="40"/>
                    <w:ind w:left="0" w:leftChars="0" w:firstLine="0" w:firstLineChars="0"/>
                    <w:rPr>
                      <w:rFonts w:hint="default" w:ascii="Times New Roman" w:hAnsi="Times New Roman" w:eastAsia="宋体" w:cs="Times New Roman"/>
                      <w:b/>
                      <w:bCs/>
                      <w:color w:val="auto"/>
                      <w:kern w:val="18"/>
                      <w:sz w:val="21"/>
                      <w:szCs w:val="21"/>
                      <w:lang w:val="en-US" w:eastAsia="zh-CN" w:bidi="ar-SA"/>
                    </w:rPr>
                  </w:pPr>
                  <w:r>
                    <w:rPr>
                      <w:rFonts w:hint="eastAsia"/>
                      <w:b/>
                      <w:bCs/>
                      <w:color w:val="auto"/>
                      <w:szCs w:val="21"/>
                    </w:rPr>
                    <w:t>变化量</w:t>
                  </w:r>
                </w:p>
              </w:tc>
            </w:tr>
            <w:tr w14:paraId="758AC2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1" w:type="dxa"/>
                  <w:tcBorders>
                    <w:tl2br w:val="nil"/>
                    <w:tr2bl w:val="nil"/>
                  </w:tcBorders>
                  <w:noWrap w:val="0"/>
                  <w:vAlign w:val="center"/>
                </w:tcPr>
                <w:p w14:paraId="45677488">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w:t>
                  </w:r>
                </w:p>
              </w:tc>
              <w:tc>
                <w:tcPr>
                  <w:tcW w:w="2232" w:type="dxa"/>
                  <w:tcBorders>
                    <w:tl2br w:val="nil"/>
                    <w:tr2bl w:val="nil"/>
                  </w:tcBorders>
                  <w:noWrap w:val="0"/>
                  <w:vAlign w:val="center"/>
                </w:tcPr>
                <w:p w14:paraId="2465A3BD">
                  <w:pPr>
                    <w:widowControl w:val="0"/>
                    <w:wordWrap/>
                    <w:autoSpaceDE w:val="0"/>
                    <w:autoSpaceDN w:val="0"/>
                    <w:adjustRightInd/>
                    <w:spacing w:line="240" w:lineRule="auto"/>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氢</w:t>
                  </w:r>
                  <w:r>
                    <w:rPr>
                      <w:rFonts w:hint="eastAsia" w:cs="Times New Roman"/>
                      <w:color w:val="auto"/>
                      <w:kern w:val="0"/>
                      <w:sz w:val="21"/>
                      <w:szCs w:val="21"/>
                      <w:lang w:val="en-US" w:eastAsia="zh-CN" w:bidi="ar-SA"/>
                    </w:rPr>
                    <w:t>能源</w:t>
                  </w:r>
                  <w:r>
                    <w:rPr>
                      <w:rFonts w:hint="eastAsia" w:ascii="Times New Roman" w:hAnsi="Times New Roman" w:eastAsia="宋体" w:cs="Times New Roman"/>
                      <w:color w:val="auto"/>
                      <w:kern w:val="0"/>
                      <w:sz w:val="21"/>
                      <w:szCs w:val="21"/>
                      <w:lang w:val="en-US" w:eastAsia="zh-CN" w:bidi="ar-SA"/>
                    </w:rPr>
                    <w:t>混合动力系统</w:t>
                  </w:r>
                </w:p>
              </w:tc>
              <w:tc>
                <w:tcPr>
                  <w:tcW w:w="761" w:type="dxa"/>
                  <w:tcBorders>
                    <w:tl2br w:val="nil"/>
                    <w:tr2bl w:val="nil"/>
                  </w:tcBorders>
                  <w:noWrap w:val="0"/>
                  <w:vAlign w:val="center"/>
                </w:tcPr>
                <w:p w14:paraId="2A6194B4">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800W</w:t>
                  </w:r>
                </w:p>
              </w:tc>
              <w:tc>
                <w:tcPr>
                  <w:tcW w:w="1468" w:type="dxa"/>
                  <w:tcBorders>
                    <w:tl2br w:val="nil"/>
                    <w:tr2bl w:val="nil"/>
                  </w:tcBorders>
                  <w:shd w:val="clear" w:color="auto" w:fill="auto"/>
                  <w:noWrap w:val="0"/>
                  <w:vAlign w:val="center"/>
                </w:tcPr>
                <w:p w14:paraId="2152998D">
                  <w:pPr>
                    <w:widowControl w:val="0"/>
                    <w:wordWrap/>
                    <w:autoSpaceDE w:val="0"/>
                    <w:autoSpaceDN w:val="0"/>
                    <w:adjustRightInd/>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20万套</w:t>
                  </w:r>
                </w:p>
              </w:tc>
              <w:tc>
                <w:tcPr>
                  <w:tcW w:w="1372" w:type="dxa"/>
                  <w:tcBorders>
                    <w:tl2br w:val="nil"/>
                    <w:tr2bl w:val="nil"/>
                  </w:tcBorders>
                  <w:noWrap w:val="0"/>
                  <w:vAlign w:val="center"/>
                </w:tcPr>
                <w:p w14:paraId="61FF6AEE">
                  <w:pPr>
                    <w:widowControl w:val="0"/>
                    <w:wordWrap/>
                    <w:autoSpaceDE w:val="0"/>
                    <w:autoSpaceDN w:val="0"/>
                    <w:adjustRightInd/>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10" w:type="dxa"/>
                  <w:tcBorders>
                    <w:tl2br w:val="nil"/>
                    <w:tr2bl w:val="nil"/>
                  </w:tcBorders>
                  <w:noWrap w:val="0"/>
                  <w:vAlign w:val="center"/>
                </w:tcPr>
                <w:p w14:paraId="33FDFF91">
                  <w:pPr>
                    <w:widowControl w:val="0"/>
                    <w:wordWrap/>
                    <w:autoSpaceDE w:val="0"/>
                    <w:autoSpaceDN w:val="0"/>
                    <w:adjustRightInd/>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20万套</w:t>
                  </w:r>
                </w:p>
              </w:tc>
              <w:tc>
                <w:tcPr>
                  <w:tcW w:w="937" w:type="dxa"/>
                  <w:tcBorders>
                    <w:tl2br w:val="nil"/>
                    <w:tr2bl w:val="nil"/>
                  </w:tcBorders>
                  <w:noWrap w:val="0"/>
                  <w:vAlign w:val="center"/>
                </w:tcPr>
                <w:p w14:paraId="5F1F7286">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0</w:t>
                  </w:r>
                </w:p>
              </w:tc>
            </w:tr>
            <w:tr w14:paraId="123371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1" w:type="dxa"/>
                  <w:tcBorders>
                    <w:tl2br w:val="nil"/>
                    <w:tr2bl w:val="nil"/>
                  </w:tcBorders>
                  <w:noWrap w:val="0"/>
                  <w:vAlign w:val="center"/>
                </w:tcPr>
                <w:p w14:paraId="1DA66C62">
                  <w:pPr>
                    <w:widowControl w:val="0"/>
                    <w:wordWrap/>
                    <w:autoSpaceDE w:val="0"/>
                    <w:autoSpaceDN w:val="0"/>
                    <w:adjustRightIn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w:t>
                  </w:r>
                </w:p>
              </w:tc>
              <w:tc>
                <w:tcPr>
                  <w:tcW w:w="2232" w:type="dxa"/>
                  <w:tcBorders>
                    <w:tl2br w:val="nil"/>
                    <w:tr2bl w:val="nil"/>
                  </w:tcBorders>
                  <w:shd w:val="clear" w:color="auto" w:fill="auto"/>
                  <w:noWrap w:val="0"/>
                  <w:vAlign w:val="center"/>
                </w:tcPr>
                <w:p w14:paraId="472FAF9C">
                  <w:pPr>
                    <w:widowControl w:val="0"/>
                    <w:wordWrap/>
                    <w:autoSpaceDE w:val="0"/>
                    <w:autoSpaceDN w:val="0"/>
                    <w:adjustRightIn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氢能源两轮车</w:t>
                  </w:r>
                </w:p>
              </w:tc>
              <w:tc>
                <w:tcPr>
                  <w:tcW w:w="761" w:type="dxa"/>
                  <w:tcBorders>
                    <w:tl2br w:val="nil"/>
                    <w:tr2bl w:val="nil"/>
                  </w:tcBorders>
                  <w:shd w:val="clear" w:color="auto" w:fill="auto"/>
                  <w:noWrap w:val="0"/>
                  <w:vAlign w:val="center"/>
                </w:tcPr>
                <w:p w14:paraId="47842DE6">
                  <w:pPr>
                    <w:widowControl w:val="0"/>
                    <w:wordWrap/>
                    <w:autoSpaceDE w:val="0"/>
                    <w:autoSpaceDN w:val="0"/>
                    <w:adjustRightInd/>
                    <w:spacing w:line="240" w:lineRule="auto"/>
                    <w:ind w:firstLine="0" w:firstLineChars="0"/>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w:t>
                  </w:r>
                </w:p>
              </w:tc>
              <w:tc>
                <w:tcPr>
                  <w:tcW w:w="1468" w:type="dxa"/>
                  <w:tcBorders>
                    <w:tl2br w:val="nil"/>
                    <w:tr2bl w:val="nil"/>
                  </w:tcBorders>
                  <w:shd w:val="clear" w:color="auto" w:fill="auto"/>
                  <w:noWrap w:val="0"/>
                  <w:vAlign w:val="center"/>
                </w:tcPr>
                <w:p w14:paraId="37EA8ABA">
                  <w:pPr>
                    <w:widowControl w:val="0"/>
                    <w:wordWrap/>
                    <w:autoSpaceDE w:val="0"/>
                    <w:autoSpaceDN w:val="0"/>
                    <w:adjustRightIn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3万辆</w:t>
                  </w:r>
                </w:p>
              </w:tc>
              <w:tc>
                <w:tcPr>
                  <w:tcW w:w="1372" w:type="dxa"/>
                  <w:tcBorders>
                    <w:tl2br w:val="nil"/>
                    <w:tr2bl w:val="nil"/>
                  </w:tcBorders>
                  <w:shd w:val="clear" w:color="auto" w:fill="auto"/>
                  <w:noWrap w:val="0"/>
                  <w:vAlign w:val="center"/>
                </w:tcPr>
                <w:p w14:paraId="0108B489">
                  <w:pPr>
                    <w:widowControl w:val="0"/>
                    <w:wordWrap/>
                    <w:autoSpaceDE w:val="0"/>
                    <w:autoSpaceDN w:val="0"/>
                    <w:adjustRightIn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510" w:type="dxa"/>
                  <w:tcBorders>
                    <w:tl2br w:val="nil"/>
                    <w:tr2bl w:val="nil"/>
                  </w:tcBorders>
                  <w:shd w:val="clear" w:color="auto" w:fill="auto"/>
                  <w:noWrap w:val="0"/>
                  <w:vAlign w:val="center"/>
                </w:tcPr>
                <w:p w14:paraId="5E7D2DF8">
                  <w:pPr>
                    <w:widowControl w:val="0"/>
                    <w:wordWrap/>
                    <w:autoSpaceDE w:val="0"/>
                    <w:autoSpaceDN w:val="0"/>
                    <w:adjustRightIn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3万辆</w:t>
                  </w:r>
                </w:p>
              </w:tc>
              <w:tc>
                <w:tcPr>
                  <w:tcW w:w="937" w:type="dxa"/>
                  <w:tcBorders>
                    <w:tl2br w:val="nil"/>
                    <w:tr2bl w:val="nil"/>
                  </w:tcBorders>
                  <w:shd w:val="clear" w:color="auto" w:fill="auto"/>
                  <w:noWrap w:val="0"/>
                  <w:vAlign w:val="center"/>
                </w:tcPr>
                <w:p w14:paraId="3738021D">
                  <w:pPr>
                    <w:widowControl w:val="0"/>
                    <w:wordWrap/>
                    <w:autoSpaceDE w:val="0"/>
                    <w:autoSpaceDN w:val="0"/>
                    <w:adjustRightInd/>
                    <w:spacing w:line="240" w:lineRule="auto"/>
                    <w:ind w:firstLine="0" w:firstLineChars="0"/>
                    <w:jc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0</w:t>
                  </w:r>
                </w:p>
              </w:tc>
            </w:tr>
          </w:tbl>
          <w:p w14:paraId="2EA03013">
            <w:pPr>
              <w:rPr>
                <w:rFonts w:hint="eastAsia"/>
                <w:lang w:val="en-US" w:eastAsia="zh-CN"/>
              </w:rPr>
            </w:pPr>
            <w:r>
              <w:rPr>
                <w:rFonts w:hint="eastAsia"/>
                <w:lang w:val="en-US" w:eastAsia="zh-CN"/>
              </w:rPr>
              <w:t>1、氢能源混合动力系统</w:t>
            </w:r>
          </w:p>
          <w:p w14:paraId="383B6BB7">
            <w:pPr>
              <w:rPr>
                <w:rFonts w:hint="eastAsia"/>
                <w:lang w:val="en-US" w:eastAsia="zh-CN"/>
              </w:rPr>
            </w:pPr>
            <w:r>
              <w:rPr>
                <w:rFonts w:hint="eastAsia"/>
                <w:lang w:val="en-US" w:eastAsia="zh-CN"/>
              </w:rPr>
              <w:t>氢能源燃料电池是氢能源混合动力系统最核心的部分。它是一种将氢气的化学能直接、高效地转化为电能的发电装置。在氢能源燃料电池中，氢气被输送至电池的阳极。在阳极催化剂的作用下，一个氢分子分解为两个质子与两个电子。质子穿过电池中间的质子交换膜，到达阴极。而电子则无法通过这层膜，被迫经由外部电路流向阴极，从而形成电流，驱动负载做功。在阴极，来自空气的氧气、从阳极迁移过来的质子以及外部电路流回的电子相遇，在催化剂作用下结合生成水和热量。整个过程不涉及燃烧，具有能量转换效率高、噪声低、零污染物排放的核心优势。在环境影响方面，氢燃料电池技术本身是清洁的。使用者通过将外购的氢气瓶安装至氢能源混合动力系统中，则可实现“制氢－储运－发电”链条近乎零碳排放，对改善区域空气质量、应对气候变化具有显著正效益，是推动能源结构转型和实现“双碳”目标的重要技术路径之一。</w:t>
            </w:r>
          </w:p>
          <w:p w14:paraId="52A77268">
            <w:pPr>
              <w:rPr>
                <w:rFonts w:hint="eastAsia"/>
                <w:lang w:val="en-US" w:eastAsia="zh-CN"/>
              </w:rPr>
            </w:pPr>
            <w:r>
              <w:rPr>
                <w:rFonts w:hint="eastAsia"/>
                <w:lang w:val="en-US" w:eastAsia="zh-CN"/>
              </w:rPr>
              <w:t>2、氢能源两轮车</w:t>
            </w:r>
          </w:p>
          <w:p w14:paraId="02CCF125">
            <w:pPr>
              <w:rPr>
                <w:rFonts w:hint="eastAsia"/>
                <w:lang w:val="en-US" w:eastAsia="zh-CN"/>
              </w:rPr>
            </w:pPr>
            <w:r>
              <w:rPr>
                <w:rFonts w:hint="eastAsia"/>
                <w:lang w:val="en-US" w:eastAsia="zh-CN"/>
              </w:rPr>
              <w:t>氢能源两轮车是指以氢燃料电池作为主要动力源的两轮车。其工作原理是：车辆搭载储氢瓶供应氢气，通过燃料电池系统发电，驱动电机运行，最终排放物仅为水。与传统电动两轮车相比，氢能源两轮车补能速度快，从根本上解决了纯电动车长时间充电的等待问题，提升了使用便利性，尤其适用于高频次、长续航的共享出行或物流配送场景。此外，其具有环境友好性，在运行过程零碳排放、零污染物排放，对改善城市空气质量有直接贡献。</w:t>
            </w:r>
          </w:p>
          <w:p w14:paraId="219B7FD9">
            <w:pPr>
              <w:pStyle w:val="38"/>
              <w:ind w:firstLine="482"/>
              <w:rPr>
                <w:b/>
                <w:bCs/>
                <w:color w:val="auto"/>
              </w:rPr>
            </w:pPr>
            <w:r>
              <w:rPr>
                <w:rFonts w:hint="eastAsia"/>
                <w:b/>
                <w:bCs/>
                <w:color w:val="auto"/>
                <w:lang w:val="en-US" w:eastAsia="zh-CN"/>
              </w:rPr>
              <w:t>4</w:t>
            </w:r>
            <w:r>
              <w:rPr>
                <w:rFonts w:hint="eastAsia"/>
                <w:b/>
                <w:bCs/>
                <w:color w:val="auto"/>
              </w:rPr>
              <w:t>、项目组成及主要环境问题</w:t>
            </w:r>
          </w:p>
          <w:p w14:paraId="0D59AA54">
            <w:pPr>
              <w:bidi w:val="0"/>
            </w:pPr>
            <w:r>
              <w:rPr>
                <w:rFonts w:hint="eastAsia"/>
              </w:rPr>
              <w:t>本次技改生产线在厂房</w:t>
            </w:r>
            <w:r>
              <w:rPr>
                <w:rFonts w:hint="eastAsia"/>
                <w:lang w:val="en-US" w:eastAsia="zh-CN"/>
              </w:rPr>
              <w:t>原有预留位置</w:t>
            </w:r>
            <w:r>
              <w:rPr>
                <w:rFonts w:hint="eastAsia"/>
              </w:rPr>
              <w:t>布局，本项目具体建设内容见下表。</w:t>
            </w:r>
            <w:r>
              <w:t>本工程的项目组成及主要环境问题详见</w:t>
            </w:r>
            <w:r>
              <w:rPr>
                <w:rFonts w:hint="eastAsia"/>
              </w:rPr>
              <w:t>表2-</w:t>
            </w:r>
            <w:r>
              <w:rPr>
                <w:rFonts w:hint="eastAsia"/>
                <w:lang w:val="en-US" w:eastAsia="zh-CN"/>
              </w:rPr>
              <w:t>2</w:t>
            </w:r>
            <w:r>
              <w:t>。</w:t>
            </w:r>
          </w:p>
          <w:p w14:paraId="1E089154">
            <w:pPr>
              <w:pStyle w:val="7"/>
              <w:bidi w:val="0"/>
              <w:rPr>
                <w:rFonts w:hint="eastAsia"/>
                <w:lang w:val="en-US" w:eastAsia="zh-CN"/>
              </w:rPr>
            </w:pPr>
            <w:r>
              <w:rPr>
                <w:lang w:val="en-US" w:eastAsia="zh-CN"/>
              </w:rPr>
              <w:t>表2-</w:t>
            </w:r>
            <w:r>
              <w:rPr>
                <w:rFonts w:hint="eastAsia"/>
                <w:lang w:val="en-US" w:eastAsia="zh-CN"/>
              </w:rPr>
              <w:t>2</w:t>
            </w:r>
            <w:r>
              <w:rPr>
                <w:lang w:val="en-US" w:eastAsia="zh-CN"/>
              </w:rPr>
              <w:t xml:space="preserve">  建设项</w:t>
            </w:r>
            <w:r>
              <w:rPr>
                <w:rFonts w:hint="eastAsia"/>
                <w:lang w:val="en-US" w:eastAsia="zh-CN"/>
              </w:rPr>
              <w:t>目组成及主要环境问题一览表</w:t>
            </w:r>
          </w:p>
          <w:tbl>
            <w:tblPr>
              <w:tblStyle w:val="30"/>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553"/>
              <w:gridCol w:w="2108"/>
              <w:gridCol w:w="907"/>
              <w:gridCol w:w="2215"/>
              <w:gridCol w:w="1034"/>
              <w:gridCol w:w="753"/>
              <w:gridCol w:w="781"/>
            </w:tblGrid>
            <w:tr w14:paraId="062B9C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3" w:type="dxa"/>
                  <w:gridSpan w:val="2"/>
                  <w:vMerge w:val="restart"/>
                  <w:tcBorders>
                    <w:tl2br w:val="nil"/>
                    <w:tr2bl w:val="nil"/>
                  </w:tcBorders>
                  <w:noWrap w:val="0"/>
                  <w:vAlign w:val="center"/>
                </w:tcPr>
                <w:p w14:paraId="1B516F39">
                  <w:pPr>
                    <w:pStyle w:val="5"/>
                    <w:bidi w:val="0"/>
                    <w:rPr>
                      <w:b/>
                      <w:bCs/>
                    </w:rPr>
                  </w:pPr>
                  <w:r>
                    <w:rPr>
                      <w:b/>
                      <w:bCs/>
                    </w:rPr>
                    <w:t>名称</w:t>
                  </w:r>
                </w:p>
              </w:tc>
              <w:tc>
                <w:tcPr>
                  <w:tcW w:w="5230" w:type="dxa"/>
                  <w:gridSpan w:val="3"/>
                  <w:vMerge w:val="restart"/>
                  <w:tcBorders>
                    <w:tl2br w:val="nil"/>
                    <w:tr2bl w:val="nil"/>
                  </w:tcBorders>
                  <w:noWrap w:val="0"/>
                  <w:vAlign w:val="center"/>
                </w:tcPr>
                <w:p w14:paraId="4BEE0FCF">
                  <w:pPr>
                    <w:pStyle w:val="5"/>
                    <w:bidi w:val="0"/>
                    <w:rPr>
                      <w:b/>
                      <w:bCs/>
                    </w:rPr>
                  </w:pPr>
                  <w:r>
                    <w:rPr>
                      <w:b/>
                      <w:bCs/>
                    </w:rPr>
                    <w:t>建设内容及规模</w:t>
                  </w:r>
                </w:p>
              </w:tc>
              <w:tc>
                <w:tcPr>
                  <w:tcW w:w="1787" w:type="dxa"/>
                  <w:gridSpan w:val="2"/>
                  <w:tcBorders>
                    <w:tl2br w:val="nil"/>
                    <w:tr2bl w:val="nil"/>
                  </w:tcBorders>
                  <w:noWrap w:val="0"/>
                  <w:vAlign w:val="center"/>
                </w:tcPr>
                <w:p w14:paraId="4A4F7327">
                  <w:pPr>
                    <w:pStyle w:val="5"/>
                    <w:bidi w:val="0"/>
                    <w:rPr>
                      <w:b/>
                      <w:bCs/>
                    </w:rPr>
                  </w:pPr>
                  <w:r>
                    <w:rPr>
                      <w:b/>
                      <w:bCs/>
                    </w:rPr>
                    <w:t>可能产生的环境影响</w:t>
                  </w:r>
                </w:p>
              </w:tc>
              <w:tc>
                <w:tcPr>
                  <w:tcW w:w="781" w:type="dxa"/>
                  <w:vMerge w:val="restart"/>
                  <w:tcBorders>
                    <w:tl2br w:val="nil"/>
                    <w:tr2bl w:val="nil"/>
                  </w:tcBorders>
                  <w:noWrap w:val="0"/>
                  <w:vAlign w:val="center"/>
                </w:tcPr>
                <w:p w14:paraId="7EB201E6">
                  <w:pPr>
                    <w:pStyle w:val="5"/>
                    <w:bidi w:val="0"/>
                  </w:pPr>
                  <w:r>
                    <w:rPr>
                      <w:rFonts w:hint="eastAsia"/>
                      <w:b/>
                      <w:bCs/>
                    </w:rPr>
                    <w:t>备注</w:t>
                  </w:r>
                </w:p>
              </w:tc>
            </w:tr>
            <w:tr w14:paraId="5C0D7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33" w:type="dxa"/>
                  <w:gridSpan w:val="2"/>
                  <w:vMerge w:val="continue"/>
                  <w:tcBorders>
                    <w:tl2br w:val="nil"/>
                    <w:tr2bl w:val="nil"/>
                  </w:tcBorders>
                  <w:noWrap w:val="0"/>
                  <w:vAlign w:val="center"/>
                </w:tcPr>
                <w:p w14:paraId="69578E7A">
                  <w:pPr>
                    <w:pStyle w:val="5"/>
                    <w:bidi w:val="0"/>
                    <w:rPr>
                      <w:rFonts w:hint="eastAsia"/>
                      <w:b/>
                      <w:bCs/>
                    </w:rPr>
                  </w:pPr>
                </w:p>
              </w:tc>
              <w:tc>
                <w:tcPr>
                  <w:tcW w:w="5230" w:type="dxa"/>
                  <w:gridSpan w:val="3"/>
                  <w:vMerge w:val="continue"/>
                  <w:tcBorders>
                    <w:tl2br w:val="nil"/>
                    <w:tr2bl w:val="nil"/>
                  </w:tcBorders>
                  <w:noWrap w:val="0"/>
                  <w:vAlign w:val="center"/>
                </w:tcPr>
                <w:p w14:paraId="7FD466E9">
                  <w:pPr>
                    <w:pStyle w:val="5"/>
                    <w:bidi w:val="0"/>
                    <w:rPr>
                      <w:b/>
                      <w:bCs/>
                    </w:rPr>
                  </w:pPr>
                </w:p>
              </w:tc>
              <w:tc>
                <w:tcPr>
                  <w:tcW w:w="1034" w:type="dxa"/>
                  <w:tcBorders>
                    <w:tl2br w:val="nil"/>
                    <w:tr2bl w:val="nil"/>
                  </w:tcBorders>
                  <w:noWrap w:val="0"/>
                  <w:vAlign w:val="center"/>
                </w:tcPr>
                <w:p w14:paraId="7B1C44E1">
                  <w:pPr>
                    <w:pStyle w:val="5"/>
                    <w:bidi w:val="0"/>
                    <w:rPr>
                      <w:b/>
                      <w:bCs/>
                    </w:rPr>
                  </w:pPr>
                  <w:r>
                    <w:rPr>
                      <w:b/>
                      <w:bCs/>
                    </w:rPr>
                    <w:t>施工期</w:t>
                  </w:r>
                </w:p>
              </w:tc>
              <w:tc>
                <w:tcPr>
                  <w:tcW w:w="753" w:type="dxa"/>
                  <w:tcBorders>
                    <w:tl2br w:val="nil"/>
                    <w:tr2bl w:val="nil"/>
                  </w:tcBorders>
                  <w:noWrap w:val="0"/>
                  <w:vAlign w:val="center"/>
                </w:tcPr>
                <w:p w14:paraId="4A20BA6A">
                  <w:pPr>
                    <w:pStyle w:val="5"/>
                    <w:bidi w:val="0"/>
                    <w:rPr>
                      <w:rFonts w:hint="eastAsia"/>
                      <w:b/>
                      <w:bCs/>
                    </w:rPr>
                  </w:pPr>
                  <w:r>
                    <w:rPr>
                      <w:b/>
                      <w:bCs/>
                    </w:rPr>
                    <w:t>运营期</w:t>
                  </w:r>
                </w:p>
              </w:tc>
              <w:tc>
                <w:tcPr>
                  <w:tcW w:w="781" w:type="dxa"/>
                  <w:vMerge w:val="continue"/>
                  <w:tcBorders>
                    <w:tl2br w:val="nil"/>
                    <w:tr2bl w:val="nil"/>
                  </w:tcBorders>
                  <w:noWrap w:val="0"/>
                  <w:vAlign w:val="center"/>
                </w:tcPr>
                <w:p w14:paraId="7BCCB6FF">
                  <w:pPr>
                    <w:pStyle w:val="5"/>
                    <w:bidi w:val="0"/>
                  </w:pPr>
                </w:p>
              </w:tc>
            </w:tr>
            <w:tr w14:paraId="1DF9A0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80" w:type="dxa"/>
                  <w:vMerge w:val="restart"/>
                  <w:tcBorders>
                    <w:tl2br w:val="nil"/>
                    <w:tr2bl w:val="nil"/>
                  </w:tcBorders>
                  <w:noWrap w:val="0"/>
                  <w:vAlign w:val="center"/>
                </w:tcPr>
                <w:p w14:paraId="77E8CB30">
                  <w:pPr>
                    <w:pStyle w:val="5"/>
                    <w:bidi w:val="0"/>
                    <w:rPr>
                      <w:rFonts w:hint="eastAsia"/>
                    </w:rPr>
                  </w:pPr>
                  <w:r>
                    <w:rPr>
                      <w:rFonts w:hint="eastAsia"/>
                    </w:rPr>
                    <w:t>主体工程</w:t>
                  </w:r>
                </w:p>
              </w:tc>
              <w:tc>
                <w:tcPr>
                  <w:tcW w:w="553" w:type="dxa"/>
                  <w:vMerge w:val="restart"/>
                  <w:tcBorders>
                    <w:tl2br w:val="nil"/>
                    <w:tr2bl w:val="nil"/>
                  </w:tcBorders>
                  <w:noWrap w:val="0"/>
                  <w:vAlign w:val="center"/>
                </w:tcPr>
                <w:p w14:paraId="7325F5B6">
                  <w:pPr>
                    <w:pStyle w:val="5"/>
                    <w:bidi w:val="0"/>
                    <w:rPr>
                      <w:rFonts w:hint="default"/>
                      <w:lang w:val="en-US"/>
                    </w:rPr>
                  </w:pPr>
                  <w:r>
                    <w:rPr>
                      <w:rFonts w:hint="eastAsia"/>
                    </w:rPr>
                    <w:t>测试</w:t>
                  </w:r>
                  <w:r>
                    <w:rPr>
                      <w:rFonts w:hint="eastAsia"/>
                      <w:lang w:val="en-US" w:eastAsia="zh-CN"/>
                    </w:rPr>
                    <w:t>组装区</w:t>
                  </w:r>
                </w:p>
              </w:tc>
              <w:tc>
                <w:tcPr>
                  <w:tcW w:w="2108" w:type="dxa"/>
                  <w:tcBorders>
                    <w:tl2br w:val="nil"/>
                    <w:tr2bl w:val="nil"/>
                  </w:tcBorders>
                  <w:noWrap w:val="0"/>
                  <w:vAlign w:val="center"/>
                </w:tcPr>
                <w:p w14:paraId="45CCE254">
                  <w:pPr>
                    <w:pStyle w:val="5"/>
                    <w:bidi w:val="0"/>
                    <w:jc w:val="center"/>
                    <w:rPr>
                      <w:rFonts w:hint="default"/>
                      <w:lang w:val="en-US" w:eastAsia="zh-CN"/>
                    </w:rPr>
                  </w:pPr>
                  <w:r>
                    <w:rPr>
                      <w:rFonts w:hint="eastAsia"/>
                      <w:lang w:val="en-US" w:eastAsia="zh-CN"/>
                    </w:rPr>
                    <w:t>现有情况</w:t>
                  </w:r>
                </w:p>
              </w:tc>
              <w:tc>
                <w:tcPr>
                  <w:tcW w:w="3122" w:type="dxa"/>
                  <w:gridSpan w:val="2"/>
                  <w:tcBorders>
                    <w:tl2br w:val="nil"/>
                    <w:tr2bl w:val="nil"/>
                  </w:tcBorders>
                  <w:noWrap w:val="0"/>
                  <w:vAlign w:val="center"/>
                </w:tcPr>
                <w:p w14:paraId="6FA5E00F">
                  <w:pPr>
                    <w:pStyle w:val="5"/>
                    <w:bidi w:val="0"/>
                    <w:jc w:val="center"/>
                    <w:rPr>
                      <w:rFonts w:hint="default"/>
                      <w:lang w:val="en-US" w:eastAsia="zh-CN"/>
                    </w:rPr>
                  </w:pPr>
                  <w:r>
                    <w:rPr>
                      <w:rFonts w:hint="eastAsia"/>
                      <w:lang w:val="en-US" w:eastAsia="zh-CN"/>
                    </w:rPr>
                    <w:t>本次改建情况</w:t>
                  </w:r>
                </w:p>
              </w:tc>
              <w:tc>
                <w:tcPr>
                  <w:tcW w:w="1034" w:type="dxa"/>
                  <w:vMerge w:val="restart"/>
                  <w:tcBorders>
                    <w:tl2br w:val="nil"/>
                    <w:tr2bl w:val="nil"/>
                  </w:tcBorders>
                  <w:noWrap w:val="0"/>
                  <w:vAlign w:val="center"/>
                </w:tcPr>
                <w:p w14:paraId="034E51F0">
                  <w:pPr>
                    <w:pStyle w:val="5"/>
                    <w:bidi w:val="0"/>
                    <w:jc w:val="both"/>
                  </w:pPr>
                  <w:r>
                    <w:rPr>
                      <w:rFonts w:hint="eastAsia"/>
                    </w:rPr>
                    <w:t>依托已建办公楼，仅安装设备，产生废水、噪声、固废</w:t>
                  </w:r>
                </w:p>
              </w:tc>
              <w:tc>
                <w:tcPr>
                  <w:tcW w:w="753" w:type="dxa"/>
                  <w:vMerge w:val="restart"/>
                  <w:tcBorders>
                    <w:tl2br w:val="nil"/>
                    <w:tr2bl w:val="nil"/>
                  </w:tcBorders>
                  <w:noWrap w:val="0"/>
                  <w:vAlign w:val="center"/>
                </w:tcPr>
                <w:p w14:paraId="70C94B53">
                  <w:pPr>
                    <w:pStyle w:val="5"/>
                    <w:bidi w:val="0"/>
                    <w:jc w:val="both"/>
                    <w:rPr>
                      <w:rFonts w:hint="eastAsia"/>
                    </w:rPr>
                  </w:pPr>
                  <w:r>
                    <w:rPr>
                      <w:rFonts w:hint="eastAsia"/>
                    </w:rPr>
                    <w:t>固废、噪声</w:t>
                  </w:r>
                  <w:r>
                    <w:rPr>
                      <w:rFonts w:hint="eastAsia"/>
                      <w:lang w:eastAsia="zh-CN"/>
                    </w:rPr>
                    <w:t>、</w:t>
                  </w:r>
                  <w:r>
                    <w:rPr>
                      <w:rFonts w:hint="eastAsia"/>
                      <w:lang w:val="en-US" w:eastAsia="zh-CN"/>
                    </w:rPr>
                    <w:t>VOC</w:t>
                  </w:r>
                  <w:r>
                    <w:rPr>
                      <w:rFonts w:hint="eastAsia"/>
                      <w:vertAlign w:val="subscript"/>
                      <w:lang w:val="en-US" w:eastAsia="zh-CN"/>
                    </w:rPr>
                    <w:t>S</w:t>
                  </w:r>
                </w:p>
              </w:tc>
              <w:tc>
                <w:tcPr>
                  <w:tcW w:w="781" w:type="dxa"/>
                  <w:vMerge w:val="restart"/>
                  <w:tcBorders>
                    <w:tl2br w:val="nil"/>
                    <w:tr2bl w:val="nil"/>
                  </w:tcBorders>
                  <w:noWrap w:val="0"/>
                  <w:vAlign w:val="center"/>
                </w:tcPr>
                <w:p w14:paraId="12D2AC6E">
                  <w:pPr>
                    <w:pStyle w:val="5"/>
                    <w:bidi w:val="0"/>
                    <w:rPr>
                      <w:rFonts w:hint="eastAsia"/>
                      <w:lang w:val="en-US" w:eastAsia="zh-CN"/>
                    </w:rPr>
                  </w:pPr>
                  <w:r>
                    <w:rPr>
                      <w:rFonts w:hint="default" w:ascii="Times New Roman" w:hAnsi="Times New Roman" w:eastAsia="宋体" w:cs="Times New Roman"/>
                      <w:bCs/>
                      <w:color w:val="auto"/>
                      <w:szCs w:val="21"/>
                      <w:highlight w:val="none"/>
                      <w:lang w:val="en-US" w:eastAsia="zh-CN"/>
                    </w:rPr>
                    <w:t>利用</w:t>
                  </w:r>
                  <w:r>
                    <w:rPr>
                      <w:rFonts w:hint="default" w:ascii="Times New Roman" w:hAnsi="Times New Roman" w:eastAsia="宋体" w:cs="Times New Roman"/>
                      <w:bCs/>
                      <w:color w:val="auto"/>
                      <w:szCs w:val="21"/>
                      <w:highlight w:val="none"/>
                    </w:rPr>
                    <w:t>原有厂房</w:t>
                  </w:r>
                  <w:r>
                    <w:rPr>
                      <w:rFonts w:hint="default" w:ascii="Times New Roman" w:hAnsi="Times New Roman" w:eastAsia="宋体" w:cs="Times New Roman"/>
                      <w:bCs/>
                      <w:color w:val="auto"/>
                      <w:szCs w:val="21"/>
                      <w:highlight w:val="none"/>
                      <w:lang w:val="en-US" w:eastAsia="zh-CN"/>
                    </w:rPr>
                    <w:t>进行改造</w:t>
                  </w:r>
                </w:p>
              </w:tc>
            </w:tr>
            <w:tr w14:paraId="04CC60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480" w:type="dxa"/>
                  <w:vMerge w:val="continue"/>
                  <w:tcBorders>
                    <w:tl2br w:val="nil"/>
                    <w:tr2bl w:val="nil"/>
                  </w:tcBorders>
                  <w:noWrap w:val="0"/>
                  <w:vAlign w:val="center"/>
                </w:tcPr>
                <w:p w14:paraId="37042BF5">
                  <w:pPr>
                    <w:pStyle w:val="5"/>
                    <w:bidi w:val="0"/>
                    <w:rPr>
                      <w:rFonts w:hint="eastAsia"/>
                    </w:rPr>
                  </w:pPr>
                </w:p>
              </w:tc>
              <w:tc>
                <w:tcPr>
                  <w:tcW w:w="553" w:type="dxa"/>
                  <w:vMerge w:val="continue"/>
                  <w:tcBorders>
                    <w:tl2br w:val="nil"/>
                    <w:tr2bl w:val="nil"/>
                  </w:tcBorders>
                  <w:noWrap w:val="0"/>
                  <w:vAlign w:val="center"/>
                </w:tcPr>
                <w:p w14:paraId="53EC9459">
                  <w:pPr>
                    <w:pStyle w:val="5"/>
                    <w:bidi w:val="0"/>
                    <w:rPr>
                      <w:rFonts w:hint="default"/>
                      <w:lang w:val="en-US"/>
                    </w:rPr>
                  </w:pPr>
                </w:p>
              </w:tc>
              <w:tc>
                <w:tcPr>
                  <w:tcW w:w="2108" w:type="dxa"/>
                  <w:tcBorders>
                    <w:tl2br w:val="nil"/>
                    <w:tr2bl w:val="nil"/>
                  </w:tcBorders>
                  <w:noWrap w:val="0"/>
                  <w:vAlign w:val="center"/>
                </w:tcPr>
                <w:p w14:paraId="4BEAFB9D">
                  <w:pPr>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一层</w:t>
                  </w:r>
                  <w:r>
                    <w:rPr>
                      <w:rFonts w:hint="eastAsia" w:cs="Times New Roman"/>
                      <w:snapToGrid w:val="0"/>
                      <w:kern w:val="2"/>
                      <w:sz w:val="21"/>
                      <w:szCs w:val="21"/>
                      <w:lang w:val="en-US" w:eastAsia="zh-CN" w:bidi="ar-SA"/>
                    </w:rPr>
                    <w:t>设置分条机、裁切车间、膜电极生产车间和电堆生产车间，</w:t>
                  </w:r>
                  <w:r>
                    <w:rPr>
                      <w:rFonts w:hint="eastAsia" w:ascii="Times New Roman" w:hAnsi="Times New Roman" w:eastAsia="宋体" w:cs="Times New Roman"/>
                      <w:snapToGrid w:val="0"/>
                      <w:kern w:val="2"/>
                      <w:sz w:val="21"/>
                      <w:szCs w:val="21"/>
                      <w:lang w:val="en-US" w:eastAsia="zh-CN" w:bidi="ar-SA"/>
                    </w:rPr>
                    <w:t>进行</w:t>
                  </w:r>
                  <w:r>
                    <w:rPr>
                      <w:rFonts w:hint="eastAsia" w:eastAsia="宋体" w:cs="Times New Roman"/>
                      <w:snapToGrid w:val="0"/>
                      <w:kern w:val="2"/>
                      <w:sz w:val="21"/>
                      <w:szCs w:val="21"/>
                      <w:lang w:val="en-US" w:eastAsia="zh-CN" w:bidi="ar-SA"/>
                    </w:rPr>
                    <w:t>氢燃料电池</w:t>
                  </w:r>
                  <w:r>
                    <w:rPr>
                      <w:rFonts w:hint="eastAsia" w:ascii="Times New Roman" w:hAnsi="Times New Roman" w:eastAsia="宋体" w:cs="Times New Roman"/>
                      <w:snapToGrid w:val="0"/>
                      <w:kern w:val="2"/>
                      <w:sz w:val="21"/>
                      <w:szCs w:val="21"/>
                      <w:lang w:val="en-US" w:eastAsia="zh-CN" w:bidi="ar-SA"/>
                    </w:rPr>
                    <w:t>的组装与合成；</w:t>
                  </w:r>
                  <w:r>
                    <w:rPr>
                      <w:rFonts w:hint="eastAsia" w:cs="Times New Roman"/>
                      <w:snapToGrid w:val="0"/>
                      <w:kern w:val="2"/>
                      <w:sz w:val="21"/>
                      <w:szCs w:val="21"/>
                      <w:lang w:val="en-US" w:eastAsia="zh-CN" w:bidi="ar-SA"/>
                    </w:rPr>
                    <w:t>设置整车装配线</w:t>
                  </w:r>
                  <w:r>
                    <w:rPr>
                      <w:rFonts w:hint="eastAsia" w:ascii="Times New Roman" w:hAnsi="Times New Roman" w:eastAsia="宋体" w:cs="Times New Roman"/>
                      <w:snapToGrid w:val="0"/>
                      <w:kern w:val="2"/>
                      <w:sz w:val="21"/>
                      <w:szCs w:val="21"/>
                      <w:lang w:val="en-US" w:eastAsia="zh-CN" w:bidi="ar-SA"/>
                    </w:rPr>
                    <w:t>进行氢</w:t>
                  </w:r>
                  <w:r>
                    <w:rPr>
                      <w:rFonts w:hint="eastAsia" w:eastAsia="宋体" w:cs="Times New Roman"/>
                      <w:snapToGrid w:val="0"/>
                      <w:kern w:val="2"/>
                      <w:sz w:val="21"/>
                      <w:szCs w:val="21"/>
                      <w:lang w:val="en-US" w:eastAsia="zh-CN" w:bidi="ar-SA"/>
                    </w:rPr>
                    <w:t>能源两轮车</w:t>
                  </w:r>
                  <w:r>
                    <w:rPr>
                      <w:rFonts w:hint="eastAsia" w:ascii="Times New Roman" w:hAnsi="Times New Roman" w:eastAsia="宋体" w:cs="Times New Roman"/>
                      <w:snapToGrid w:val="0"/>
                      <w:kern w:val="2"/>
                      <w:sz w:val="21"/>
                      <w:szCs w:val="21"/>
                      <w:lang w:val="en-US" w:eastAsia="zh-CN" w:bidi="ar-SA"/>
                    </w:rPr>
                    <w:t>整车装配；设置展厅，展示氢能源两轮车</w:t>
                  </w:r>
                  <w:r>
                    <w:rPr>
                      <w:rFonts w:hint="eastAsia" w:cs="Times New Roman"/>
                      <w:snapToGrid w:val="0"/>
                      <w:kern w:val="2"/>
                      <w:sz w:val="21"/>
                      <w:szCs w:val="21"/>
                      <w:lang w:val="en-US" w:eastAsia="zh-CN" w:bidi="ar-SA"/>
                    </w:rPr>
                    <w:t>。</w:t>
                  </w:r>
                  <w:r>
                    <w:rPr>
                      <w:rFonts w:hint="eastAsia" w:ascii="Times New Roman" w:hAnsi="Times New Roman" w:eastAsia="宋体" w:cs="Times New Roman"/>
                      <w:snapToGrid w:val="0"/>
                      <w:kern w:val="2"/>
                      <w:sz w:val="21"/>
                      <w:szCs w:val="21"/>
                      <w:lang w:val="en-US" w:eastAsia="zh-CN" w:bidi="ar-SA"/>
                    </w:rPr>
                    <w:t>面积为</w:t>
                  </w:r>
                  <w:r>
                    <w:rPr>
                      <w:rFonts w:hint="eastAsia" w:cs="Times New Roman"/>
                      <w:snapToGrid w:val="0"/>
                      <w:kern w:val="2"/>
                      <w:sz w:val="21"/>
                      <w:szCs w:val="21"/>
                      <w:lang w:val="en-US" w:eastAsia="zh-CN" w:bidi="ar-SA"/>
                    </w:rPr>
                    <w:t>1200</w:t>
                  </w:r>
                  <w:r>
                    <w:rPr>
                      <w:rFonts w:hint="eastAsia" w:ascii="Times New Roman" w:hAnsi="Times New Roman" w:eastAsia="宋体" w:cs="Times New Roman"/>
                      <w:snapToGrid w:val="0"/>
                      <w:kern w:val="2"/>
                      <w:sz w:val="21"/>
                      <w:szCs w:val="21"/>
                      <w:lang w:val="en-US" w:eastAsia="zh-CN" w:bidi="ar-SA"/>
                    </w:rPr>
                    <w:t>m</w:t>
                  </w:r>
                  <w:r>
                    <w:rPr>
                      <w:rFonts w:hint="eastAsia" w:ascii="Times New Roman" w:hAnsi="Times New Roman" w:eastAsia="宋体" w:cs="Times New Roman"/>
                      <w:snapToGrid w:val="0"/>
                      <w:kern w:val="2"/>
                      <w:sz w:val="21"/>
                      <w:szCs w:val="21"/>
                      <w:vertAlign w:val="superscript"/>
                      <w:lang w:val="en-US" w:eastAsia="zh-CN" w:bidi="ar-SA"/>
                    </w:rPr>
                    <w:t>2</w:t>
                  </w:r>
                  <w:r>
                    <w:rPr>
                      <w:rFonts w:hint="eastAsia" w:ascii="Times New Roman" w:hAnsi="Times New Roman" w:eastAsia="宋体" w:cs="Times New Roman"/>
                      <w:snapToGrid w:val="0"/>
                      <w:kern w:val="2"/>
                      <w:sz w:val="21"/>
                      <w:szCs w:val="21"/>
                      <w:lang w:val="en-US" w:eastAsia="zh-CN" w:bidi="ar-SA"/>
                    </w:rPr>
                    <w:t>。</w:t>
                  </w:r>
                </w:p>
                <w:p w14:paraId="5FD9592D">
                  <w:pPr>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jc w:val="both"/>
                    <w:textAlignment w:val="auto"/>
                    <w:rPr>
                      <w:rFonts w:hint="eastAsia"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二层</w:t>
                  </w:r>
                  <w:r>
                    <w:rPr>
                      <w:rFonts w:hint="eastAsia" w:cs="Times New Roman"/>
                      <w:snapToGrid w:val="0"/>
                      <w:kern w:val="2"/>
                      <w:sz w:val="21"/>
                      <w:szCs w:val="21"/>
                      <w:lang w:val="en-US" w:eastAsia="zh-CN" w:bidi="ar-SA"/>
                    </w:rPr>
                    <w:t>设置骑行测试区、整车调试区、整车待包装区、自动包装线、实验室，</w:t>
                  </w:r>
                  <w:r>
                    <w:rPr>
                      <w:rFonts w:hint="eastAsia" w:ascii="Times New Roman" w:hAnsi="Times New Roman" w:eastAsia="宋体" w:cs="Times New Roman"/>
                      <w:snapToGrid w:val="0"/>
                      <w:kern w:val="2"/>
                      <w:sz w:val="21"/>
                      <w:szCs w:val="21"/>
                      <w:lang w:val="en-US" w:eastAsia="zh-CN" w:bidi="ar-SA"/>
                    </w:rPr>
                    <w:t>进行氢能源两轮车的性能测试和外部包装</w:t>
                  </w:r>
                  <w:r>
                    <w:rPr>
                      <w:rFonts w:hint="eastAsia" w:cs="Times New Roman"/>
                      <w:snapToGrid w:val="0"/>
                      <w:kern w:val="2"/>
                      <w:sz w:val="21"/>
                      <w:szCs w:val="21"/>
                      <w:lang w:val="en-US" w:eastAsia="zh-CN" w:bidi="ar-SA"/>
                    </w:rPr>
                    <w:t>。</w:t>
                  </w:r>
                  <w:r>
                    <w:rPr>
                      <w:rFonts w:hint="eastAsia" w:ascii="Times New Roman" w:hAnsi="Times New Roman" w:eastAsia="宋体" w:cs="Times New Roman"/>
                      <w:snapToGrid w:val="0"/>
                      <w:kern w:val="2"/>
                      <w:sz w:val="21"/>
                      <w:szCs w:val="21"/>
                      <w:lang w:val="en-US" w:eastAsia="zh-CN" w:bidi="ar-SA"/>
                    </w:rPr>
                    <w:t>面积为</w:t>
                  </w:r>
                  <w:r>
                    <w:rPr>
                      <w:rFonts w:hint="eastAsia" w:cs="Times New Roman"/>
                      <w:snapToGrid w:val="0"/>
                      <w:kern w:val="2"/>
                      <w:sz w:val="21"/>
                      <w:szCs w:val="21"/>
                      <w:lang w:val="en-US" w:eastAsia="zh-CN" w:bidi="ar-SA"/>
                    </w:rPr>
                    <w:t>1800</w:t>
                  </w:r>
                  <w:r>
                    <w:rPr>
                      <w:rFonts w:hint="default" w:ascii="Times New Roman" w:hAnsi="Times New Roman" w:eastAsia="宋体" w:cs="Times New Roman"/>
                      <w:snapToGrid w:val="0"/>
                      <w:kern w:val="2"/>
                      <w:sz w:val="21"/>
                      <w:szCs w:val="21"/>
                      <w:lang w:val="en-US" w:eastAsia="zh-CN" w:bidi="ar-SA"/>
                    </w:rPr>
                    <w:t>m</w:t>
                  </w:r>
                  <w:r>
                    <w:rPr>
                      <w:rFonts w:hint="default" w:ascii="Times New Roman" w:hAnsi="Times New Roman" w:eastAsia="宋体" w:cs="Times New Roman"/>
                      <w:snapToGrid w:val="0"/>
                      <w:kern w:val="2"/>
                      <w:sz w:val="21"/>
                      <w:szCs w:val="21"/>
                      <w:vertAlign w:val="superscript"/>
                      <w:lang w:val="en-US" w:eastAsia="zh-CN" w:bidi="ar-SA"/>
                    </w:rPr>
                    <w:t>2</w:t>
                  </w:r>
                  <w:r>
                    <w:rPr>
                      <w:rFonts w:hint="eastAsia" w:ascii="Times New Roman" w:hAnsi="Times New Roman" w:eastAsia="宋体" w:cs="Times New Roman"/>
                      <w:snapToGrid w:val="0"/>
                      <w:kern w:val="2"/>
                      <w:sz w:val="21"/>
                      <w:szCs w:val="21"/>
                      <w:lang w:val="en-US" w:eastAsia="zh-CN" w:bidi="ar-SA"/>
                    </w:rPr>
                    <w:t>。</w:t>
                  </w:r>
                </w:p>
                <w:p w14:paraId="4A976C73">
                  <w:pPr>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三层</w:t>
                  </w:r>
                  <w:r>
                    <w:rPr>
                      <w:rFonts w:hint="eastAsia" w:eastAsia="宋体" w:cs="Times New Roman"/>
                      <w:snapToGrid w:val="0"/>
                      <w:kern w:val="2"/>
                      <w:sz w:val="21"/>
                      <w:szCs w:val="21"/>
                      <w:lang w:val="en-US" w:eastAsia="zh-CN" w:bidi="ar-SA"/>
                    </w:rPr>
                    <w:t>设置</w:t>
                  </w:r>
                  <w:r>
                    <w:rPr>
                      <w:rFonts w:hint="eastAsia" w:cs="Times New Roman"/>
                      <w:snapToGrid w:val="0"/>
                      <w:kern w:val="2"/>
                      <w:sz w:val="21"/>
                      <w:szCs w:val="21"/>
                      <w:lang w:val="en-US" w:eastAsia="zh-CN" w:bidi="ar-SA"/>
                    </w:rPr>
                    <w:t>双极板生产车间、系统装配间</w:t>
                  </w:r>
                  <w:r>
                    <w:rPr>
                      <w:rFonts w:hint="eastAsia" w:eastAsia="宋体" w:cs="Times New Roman"/>
                      <w:snapToGrid w:val="0"/>
                      <w:kern w:val="2"/>
                      <w:sz w:val="21"/>
                      <w:szCs w:val="21"/>
                      <w:lang w:val="en-US" w:eastAsia="zh-CN" w:bidi="ar-SA"/>
                    </w:rPr>
                    <w:t>，</w:t>
                  </w:r>
                  <w:r>
                    <w:rPr>
                      <w:rFonts w:hint="eastAsia" w:cs="Times New Roman"/>
                      <w:snapToGrid w:val="0"/>
                      <w:kern w:val="2"/>
                      <w:sz w:val="21"/>
                      <w:szCs w:val="21"/>
                      <w:lang w:val="en-US" w:eastAsia="zh-CN" w:bidi="ar-SA"/>
                    </w:rPr>
                    <w:t>进行双极板的生产和</w:t>
                  </w:r>
                  <w:r>
                    <w:rPr>
                      <w:rFonts w:hint="eastAsia" w:ascii="Times New Roman" w:hAnsi="Times New Roman" w:eastAsia="宋体" w:cs="Times New Roman"/>
                      <w:snapToGrid w:val="0"/>
                      <w:kern w:val="2"/>
                      <w:sz w:val="21"/>
                      <w:szCs w:val="21"/>
                      <w:lang w:val="en-US" w:eastAsia="zh-CN" w:bidi="ar-SA"/>
                    </w:rPr>
                    <w:t>氢</w:t>
                  </w:r>
                  <w:r>
                    <w:rPr>
                      <w:rFonts w:hint="eastAsia" w:eastAsia="宋体" w:cs="Times New Roman"/>
                      <w:snapToGrid w:val="0"/>
                      <w:kern w:val="2"/>
                      <w:sz w:val="21"/>
                      <w:szCs w:val="21"/>
                      <w:lang w:val="en-US" w:eastAsia="zh-CN" w:bidi="ar-SA"/>
                    </w:rPr>
                    <w:t>能源混合动力系统进行</w:t>
                  </w:r>
                  <w:r>
                    <w:rPr>
                      <w:rFonts w:hint="eastAsia" w:ascii="Times New Roman" w:hAnsi="Times New Roman" w:eastAsia="宋体" w:cs="Times New Roman"/>
                      <w:snapToGrid w:val="0"/>
                      <w:kern w:val="2"/>
                      <w:sz w:val="21"/>
                      <w:szCs w:val="21"/>
                      <w:lang w:val="en-US" w:eastAsia="zh-CN" w:bidi="ar-SA"/>
                    </w:rPr>
                    <w:t>系统装配。面积为</w:t>
                  </w:r>
                  <w:r>
                    <w:rPr>
                      <w:rFonts w:hint="eastAsia" w:cs="Times New Roman"/>
                      <w:snapToGrid w:val="0"/>
                      <w:kern w:val="2"/>
                      <w:sz w:val="21"/>
                      <w:szCs w:val="21"/>
                      <w:lang w:val="en-US" w:eastAsia="zh-CN" w:bidi="ar-SA"/>
                    </w:rPr>
                    <w:t>580</w:t>
                  </w:r>
                  <w:r>
                    <w:rPr>
                      <w:rFonts w:hint="eastAsia" w:ascii="Times New Roman" w:hAnsi="Times New Roman" w:eastAsia="宋体" w:cs="Times New Roman"/>
                      <w:snapToGrid w:val="0"/>
                      <w:kern w:val="2"/>
                      <w:sz w:val="21"/>
                      <w:szCs w:val="21"/>
                      <w:lang w:val="en-US" w:eastAsia="zh-CN" w:bidi="ar-SA"/>
                    </w:rPr>
                    <w:t>m</w:t>
                  </w:r>
                  <w:r>
                    <w:rPr>
                      <w:rFonts w:hint="eastAsia" w:ascii="Times New Roman" w:hAnsi="Times New Roman" w:eastAsia="宋体" w:cs="Times New Roman"/>
                      <w:snapToGrid w:val="0"/>
                      <w:kern w:val="2"/>
                      <w:sz w:val="21"/>
                      <w:szCs w:val="21"/>
                      <w:vertAlign w:val="superscript"/>
                      <w:lang w:val="en-US" w:eastAsia="zh-CN" w:bidi="ar-SA"/>
                    </w:rPr>
                    <w:t>2</w:t>
                  </w:r>
                  <w:r>
                    <w:rPr>
                      <w:rFonts w:hint="eastAsia" w:ascii="Times New Roman" w:hAnsi="Times New Roman" w:eastAsia="宋体" w:cs="Times New Roman"/>
                      <w:snapToGrid w:val="0"/>
                      <w:kern w:val="2"/>
                      <w:sz w:val="21"/>
                      <w:szCs w:val="21"/>
                      <w:lang w:val="en-US" w:eastAsia="zh-CN" w:bidi="ar-SA"/>
                    </w:rPr>
                    <w:t>。</w:t>
                  </w:r>
                </w:p>
                <w:p w14:paraId="6A7D9ED6">
                  <w:pPr>
                    <w:pStyle w:val="5"/>
                    <w:bidi w:val="0"/>
                    <w:jc w:val="both"/>
                    <w:rPr>
                      <w:rFonts w:hint="eastAsia"/>
                      <w:lang w:val="en-US" w:eastAsia="zh-CN"/>
                    </w:rPr>
                  </w:pPr>
                  <w:r>
                    <w:rPr>
                      <w:rFonts w:hint="eastAsia" w:ascii="Times New Roman" w:hAnsi="Times New Roman" w:eastAsia="宋体" w:cs="Times New Roman"/>
                      <w:snapToGrid w:val="0"/>
                      <w:kern w:val="2"/>
                      <w:sz w:val="21"/>
                      <w:szCs w:val="21"/>
                      <w:lang w:val="en-US" w:eastAsia="zh-CN" w:bidi="ar-SA"/>
                    </w:rPr>
                    <w:t>四层设置三</w:t>
                  </w:r>
                  <w:r>
                    <w:rPr>
                      <w:rFonts w:hint="eastAsia" w:cs="Times New Roman"/>
                      <w:snapToGrid w:val="0"/>
                      <w:kern w:val="2"/>
                      <w:sz w:val="21"/>
                      <w:szCs w:val="21"/>
                      <w:lang w:val="en-US" w:eastAsia="zh-CN" w:bidi="ar-SA"/>
                    </w:rPr>
                    <w:t>间</w:t>
                  </w:r>
                  <w:r>
                    <w:rPr>
                      <w:rFonts w:hint="eastAsia" w:ascii="Times New Roman" w:hAnsi="Times New Roman" w:eastAsia="宋体" w:cs="Times New Roman"/>
                      <w:snapToGrid w:val="0"/>
                      <w:kern w:val="2"/>
                      <w:sz w:val="21"/>
                      <w:szCs w:val="21"/>
                      <w:lang w:val="en-US" w:eastAsia="zh-CN" w:bidi="ar-SA"/>
                    </w:rPr>
                    <w:t>实验室，进行氢能源两轮车的后续研发。面积为</w:t>
                  </w:r>
                  <w:r>
                    <w:rPr>
                      <w:rFonts w:hint="eastAsia" w:cs="Times New Roman"/>
                      <w:snapToGrid w:val="0"/>
                      <w:kern w:val="2"/>
                      <w:sz w:val="21"/>
                      <w:szCs w:val="21"/>
                      <w:lang w:val="en-US" w:eastAsia="zh-CN" w:bidi="ar-SA"/>
                    </w:rPr>
                    <w:t>310</w:t>
                  </w:r>
                  <w:r>
                    <w:rPr>
                      <w:rFonts w:hint="eastAsia" w:ascii="Times New Roman" w:hAnsi="Times New Roman" w:eastAsia="宋体" w:cs="Times New Roman"/>
                      <w:snapToGrid w:val="0"/>
                      <w:kern w:val="2"/>
                      <w:sz w:val="21"/>
                      <w:szCs w:val="21"/>
                      <w:lang w:val="en-US" w:eastAsia="zh-CN" w:bidi="ar-SA"/>
                    </w:rPr>
                    <w:t>m</w:t>
                  </w:r>
                  <w:r>
                    <w:rPr>
                      <w:rFonts w:hint="eastAsia" w:ascii="Times New Roman" w:hAnsi="Times New Roman" w:eastAsia="宋体" w:cs="Times New Roman"/>
                      <w:snapToGrid w:val="0"/>
                      <w:kern w:val="2"/>
                      <w:sz w:val="21"/>
                      <w:szCs w:val="21"/>
                      <w:vertAlign w:val="superscript"/>
                      <w:lang w:val="en-US" w:eastAsia="zh-CN" w:bidi="ar-SA"/>
                    </w:rPr>
                    <w:t>2</w:t>
                  </w:r>
                  <w:r>
                    <w:rPr>
                      <w:rFonts w:hint="eastAsia" w:ascii="Times New Roman" w:hAnsi="Times New Roman" w:eastAsia="宋体" w:cs="Times New Roman"/>
                      <w:snapToGrid w:val="0"/>
                      <w:kern w:val="2"/>
                      <w:sz w:val="21"/>
                      <w:szCs w:val="21"/>
                      <w:lang w:val="en-US" w:eastAsia="zh-CN" w:bidi="ar-SA"/>
                    </w:rPr>
                    <w:t>。</w:t>
                  </w:r>
                </w:p>
              </w:tc>
              <w:tc>
                <w:tcPr>
                  <w:tcW w:w="3122" w:type="dxa"/>
                  <w:gridSpan w:val="2"/>
                  <w:tcBorders>
                    <w:tl2br w:val="nil"/>
                    <w:tr2bl w:val="nil"/>
                  </w:tcBorders>
                  <w:noWrap w:val="0"/>
                  <w:vAlign w:val="center"/>
                </w:tcPr>
                <w:p w14:paraId="1DF66970">
                  <w:pPr>
                    <w:pStyle w:val="5"/>
                    <w:bidi w:val="0"/>
                    <w:jc w:val="both"/>
                    <w:rPr>
                      <w:rFonts w:hint="eastAsia"/>
                      <w:lang w:val="en-US" w:eastAsia="zh-CN"/>
                    </w:rPr>
                  </w:pPr>
                  <w:r>
                    <w:rPr>
                      <w:rFonts w:hint="default" w:ascii="Times New Roman" w:hAnsi="Times New Roman" w:eastAsia="宋体" w:cs="Times New Roman"/>
                      <w:color w:val="auto"/>
                      <w:szCs w:val="21"/>
                      <w:highlight w:val="none"/>
                      <w:lang w:val="en-US" w:eastAsia="zh-CN"/>
                    </w:rPr>
                    <w:t>在现有租赁厂房内，</w:t>
                  </w:r>
                  <w:r>
                    <w:rPr>
                      <w:rFonts w:hint="eastAsia" w:eastAsia="宋体" w:cs="Times New Roman"/>
                      <w:color w:val="auto"/>
                      <w:szCs w:val="21"/>
                      <w:highlight w:val="none"/>
                      <w:lang w:val="en-US" w:eastAsia="zh-CN"/>
                    </w:rPr>
                    <w:t>利用三楼双极板组装车间的空余区域</w:t>
                  </w:r>
                  <w:r>
                    <w:rPr>
                      <w:rFonts w:hint="default" w:ascii="Times New Roman" w:hAnsi="Times New Roman" w:eastAsia="宋体" w:cs="Times New Roman"/>
                      <w:color w:val="auto"/>
                      <w:szCs w:val="21"/>
                      <w:highlight w:val="none"/>
                      <w:lang w:val="en-US" w:eastAsia="zh-CN"/>
                    </w:rPr>
                    <w:t>，</w:t>
                  </w:r>
                  <w:r>
                    <w:rPr>
                      <w:rFonts w:hint="eastAsia" w:eastAsia="宋体" w:cs="Times New Roman"/>
                      <w:color w:val="auto"/>
                      <w:szCs w:val="21"/>
                      <w:highlight w:val="none"/>
                      <w:lang w:val="en-US" w:eastAsia="zh-CN"/>
                    </w:rPr>
                    <w:t>安装点胶机、固化箱和影像</w:t>
                  </w:r>
                  <w:r>
                    <w:rPr>
                      <w:rFonts w:hint="eastAsia" w:cs="Times New Roman"/>
                      <w:color w:val="auto"/>
                      <w:szCs w:val="21"/>
                      <w:highlight w:val="none"/>
                      <w:lang w:val="en-US" w:eastAsia="zh-CN"/>
                    </w:rPr>
                    <w:t>测量</w:t>
                  </w:r>
                  <w:r>
                    <w:rPr>
                      <w:rFonts w:hint="eastAsia" w:eastAsia="宋体" w:cs="Times New Roman"/>
                      <w:color w:val="auto"/>
                      <w:szCs w:val="21"/>
                      <w:highlight w:val="none"/>
                      <w:lang w:val="en-US" w:eastAsia="zh-CN"/>
                    </w:rPr>
                    <w:t>仪等设备，</w:t>
                  </w:r>
                  <w:r>
                    <w:rPr>
                      <w:rFonts w:hint="default" w:ascii="Times New Roman" w:hAnsi="Times New Roman" w:eastAsia="宋体" w:cs="Times New Roman"/>
                      <w:color w:val="auto"/>
                      <w:szCs w:val="21"/>
                      <w:highlight w:val="none"/>
                      <w:lang w:val="en-US" w:eastAsia="zh-CN"/>
                    </w:rPr>
                    <w:t>改造区</w:t>
                  </w:r>
                  <w:r>
                    <w:rPr>
                      <w:rFonts w:hint="default" w:ascii="Times New Roman" w:hAnsi="Times New Roman" w:eastAsia="宋体" w:cs="Times New Roman"/>
                      <w:color w:val="auto"/>
                      <w:szCs w:val="21"/>
                      <w:highlight w:val="none"/>
                    </w:rPr>
                    <w:t>建筑面积约</w:t>
                  </w:r>
                  <w:r>
                    <w:rPr>
                      <w:rFonts w:hint="eastAsia" w:eastAsia="宋体" w:cs="Times New Roman"/>
                      <w:color w:val="auto"/>
                      <w:szCs w:val="21"/>
                      <w:highlight w:val="none"/>
                      <w:lang w:val="en-US" w:eastAsia="zh-CN"/>
                    </w:rPr>
                    <w:t>490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其余区域不变。</w:t>
                  </w:r>
                </w:p>
              </w:tc>
              <w:tc>
                <w:tcPr>
                  <w:tcW w:w="1034" w:type="dxa"/>
                  <w:vMerge w:val="continue"/>
                  <w:tcBorders>
                    <w:tl2br w:val="nil"/>
                    <w:tr2bl w:val="nil"/>
                  </w:tcBorders>
                  <w:noWrap w:val="0"/>
                  <w:vAlign w:val="center"/>
                </w:tcPr>
                <w:p w14:paraId="45634CEA">
                  <w:pPr>
                    <w:pStyle w:val="5"/>
                    <w:bidi w:val="0"/>
                    <w:jc w:val="both"/>
                  </w:pPr>
                </w:p>
              </w:tc>
              <w:tc>
                <w:tcPr>
                  <w:tcW w:w="753" w:type="dxa"/>
                  <w:vMerge w:val="continue"/>
                  <w:tcBorders>
                    <w:tl2br w:val="nil"/>
                    <w:tr2bl w:val="nil"/>
                  </w:tcBorders>
                  <w:noWrap w:val="0"/>
                  <w:vAlign w:val="center"/>
                </w:tcPr>
                <w:p w14:paraId="0F6E26D7">
                  <w:pPr>
                    <w:pStyle w:val="5"/>
                    <w:bidi w:val="0"/>
                    <w:jc w:val="both"/>
                    <w:rPr>
                      <w:rFonts w:hint="eastAsia"/>
                    </w:rPr>
                  </w:pPr>
                </w:p>
              </w:tc>
              <w:tc>
                <w:tcPr>
                  <w:tcW w:w="781" w:type="dxa"/>
                  <w:vMerge w:val="continue"/>
                  <w:tcBorders>
                    <w:tl2br w:val="nil"/>
                    <w:tr2bl w:val="nil"/>
                  </w:tcBorders>
                  <w:noWrap w:val="0"/>
                  <w:vAlign w:val="center"/>
                </w:tcPr>
                <w:p w14:paraId="7DB13285">
                  <w:pPr>
                    <w:pStyle w:val="5"/>
                    <w:bidi w:val="0"/>
                    <w:rPr>
                      <w:rFonts w:hint="eastAsia"/>
                      <w:lang w:val="en-US" w:eastAsia="zh-CN"/>
                    </w:rPr>
                  </w:pPr>
                </w:p>
              </w:tc>
            </w:tr>
            <w:tr w14:paraId="60016F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80" w:type="dxa"/>
                  <w:vMerge w:val="restart"/>
                  <w:tcBorders>
                    <w:tl2br w:val="nil"/>
                    <w:tr2bl w:val="nil"/>
                  </w:tcBorders>
                  <w:noWrap w:val="0"/>
                  <w:vAlign w:val="center"/>
                </w:tcPr>
                <w:p w14:paraId="01784BC1">
                  <w:pPr>
                    <w:pStyle w:val="5"/>
                    <w:bidi w:val="0"/>
                  </w:pPr>
                  <w:r>
                    <w:t>辅助</w:t>
                  </w:r>
                </w:p>
                <w:p w14:paraId="4D911ED3">
                  <w:pPr>
                    <w:pStyle w:val="5"/>
                    <w:bidi w:val="0"/>
                  </w:pPr>
                  <w:r>
                    <w:t>工程</w:t>
                  </w:r>
                </w:p>
              </w:tc>
              <w:tc>
                <w:tcPr>
                  <w:tcW w:w="553" w:type="dxa"/>
                  <w:tcBorders>
                    <w:tl2br w:val="nil"/>
                    <w:tr2bl w:val="nil"/>
                  </w:tcBorders>
                  <w:noWrap w:val="0"/>
                  <w:vAlign w:val="center"/>
                </w:tcPr>
                <w:p w14:paraId="1A2C1A98">
                  <w:pPr>
                    <w:pStyle w:val="5"/>
                    <w:bidi w:val="0"/>
                    <w:rPr>
                      <w:rFonts w:hint="default"/>
                      <w:lang w:val="en-US" w:eastAsia="zh-CN"/>
                    </w:rPr>
                  </w:pPr>
                  <w:r>
                    <w:rPr>
                      <w:rFonts w:hint="eastAsia"/>
                      <w:lang w:val="en-US" w:eastAsia="zh-CN"/>
                    </w:rPr>
                    <w:t>仓库</w:t>
                  </w:r>
                </w:p>
              </w:tc>
              <w:tc>
                <w:tcPr>
                  <w:tcW w:w="5230" w:type="dxa"/>
                  <w:gridSpan w:val="3"/>
                  <w:tcBorders>
                    <w:tl2br w:val="nil"/>
                    <w:tr2bl w:val="nil"/>
                  </w:tcBorders>
                  <w:noWrap w:val="0"/>
                  <w:vAlign w:val="center"/>
                </w:tcPr>
                <w:p w14:paraId="50D0FDA7">
                  <w:pPr>
                    <w:pStyle w:val="5"/>
                    <w:bidi w:val="0"/>
                    <w:jc w:val="both"/>
                    <w:rPr>
                      <w:rFonts w:hint="eastAsia"/>
                      <w:lang w:val="en-US" w:eastAsia="zh-CN"/>
                    </w:rPr>
                  </w:pPr>
                  <w:r>
                    <w:rPr>
                      <w:rFonts w:hint="eastAsia"/>
                      <w:lang w:val="en-US" w:eastAsia="zh-CN"/>
                    </w:rPr>
                    <w:t>一层设置原材料仓库、半成品膜电极仓库，面积约为130m</w:t>
                  </w:r>
                  <w:r>
                    <w:rPr>
                      <w:rFonts w:hint="eastAsia"/>
                      <w:vertAlign w:val="superscript"/>
                      <w:lang w:val="en-US" w:eastAsia="zh-CN"/>
                    </w:rPr>
                    <w:t>2</w:t>
                  </w:r>
                  <w:r>
                    <w:rPr>
                      <w:rFonts w:hint="eastAsia"/>
                      <w:lang w:val="en-US" w:eastAsia="zh-CN"/>
                    </w:rPr>
                    <w:t>；二层设置原物料仓库，面积约为1120m</w:t>
                  </w:r>
                  <w:r>
                    <w:rPr>
                      <w:rFonts w:hint="eastAsia"/>
                      <w:vertAlign w:val="superscript"/>
                      <w:lang w:val="en-US" w:eastAsia="zh-CN"/>
                    </w:rPr>
                    <w:t>2</w:t>
                  </w:r>
                  <w:r>
                    <w:rPr>
                      <w:rFonts w:hint="eastAsia"/>
                      <w:lang w:val="en-US" w:eastAsia="zh-CN"/>
                    </w:rPr>
                    <w:t>；三层设置备品、备件、耗材仓库、极板原材料仓库、双极板成品仓库、半成品电堆仓库、电堆成品仓库，面积约为450m</w:t>
                  </w:r>
                  <w:r>
                    <w:rPr>
                      <w:rFonts w:hint="eastAsia"/>
                      <w:vertAlign w:val="superscript"/>
                      <w:lang w:val="en-US" w:eastAsia="zh-CN"/>
                    </w:rPr>
                    <w:t>2</w:t>
                  </w:r>
                  <w:r>
                    <w:rPr>
                      <w:rFonts w:hint="eastAsia"/>
                      <w:lang w:val="en-US" w:eastAsia="zh-CN"/>
                    </w:rPr>
                    <w:t>；四层设置样品间、成品库，面积约为600m</w:t>
                  </w:r>
                  <w:r>
                    <w:rPr>
                      <w:rFonts w:hint="eastAsia"/>
                      <w:vertAlign w:val="superscript"/>
                      <w:lang w:val="en-US" w:eastAsia="zh-CN"/>
                    </w:rPr>
                    <w:t>2</w:t>
                  </w:r>
                  <w:r>
                    <w:rPr>
                      <w:rFonts w:hint="eastAsia"/>
                      <w:lang w:val="en-US" w:eastAsia="zh-CN"/>
                    </w:rPr>
                    <w:t>。</w:t>
                  </w:r>
                </w:p>
              </w:tc>
              <w:tc>
                <w:tcPr>
                  <w:tcW w:w="1034" w:type="dxa"/>
                  <w:vMerge w:val="restart"/>
                  <w:tcBorders>
                    <w:tl2br w:val="nil"/>
                    <w:tr2bl w:val="nil"/>
                  </w:tcBorders>
                  <w:noWrap w:val="0"/>
                  <w:vAlign w:val="center"/>
                </w:tcPr>
                <w:p w14:paraId="2FB5CBDE">
                  <w:pPr>
                    <w:pStyle w:val="5"/>
                    <w:bidi w:val="0"/>
                    <w:rPr>
                      <w:rFonts w:hint="default"/>
                      <w:lang w:val="en-US" w:eastAsia="zh-CN"/>
                    </w:rPr>
                  </w:pPr>
                  <w:r>
                    <w:rPr>
                      <w:rFonts w:hint="eastAsia"/>
                      <w:lang w:val="en-US" w:eastAsia="zh-CN"/>
                    </w:rPr>
                    <w:t>/</w:t>
                  </w:r>
                </w:p>
              </w:tc>
              <w:tc>
                <w:tcPr>
                  <w:tcW w:w="753" w:type="dxa"/>
                  <w:tcBorders>
                    <w:tl2br w:val="nil"/>
                    <w:tr2bl w:val="nil"/>
                  </w:tcBorders>
                  <w:noWrap w:val="0"/>
                  <w:vAlign w:val="center"/>
                </w:tcPr>
                <w:p w14:paraId="646F5580">
                  <w:pPr>
                    <w:pStyle w:val="5"/>
                    <w:bidi w:val="0"/>
                    <w:jc w:val="center"/>
                    <w:rPr>
                      <w:lang w:val="en-US" w:eastAsia="zh-CN"/>
                    </w:rPr>
                  </w:pPr>
                  <w:r>
                    <w:rPr>
                      <w:rFonts w:hint="eastAsia"/>
                      <w:lang w:val="en-US" w:eastAsia="zh-CN"/>
                    </w:rPr>
                    <w:t>/</w:t>
                  </w:r>
                </w:p>
              </w:tc>
              <w:tc>
                <w:tcPr>
                  <w:tcW w:w="781" w:type="dxa"/>
                  <w:tcBorders>
                    <w:tl2br w:val="nil"/>
                    <w:tr2bl w:val="nil"/>
                  </w:tcBorders>
                  <w:noWrap w:val="0"/>
                  <w:vAlign w:val="center"/>
                </w:tcPr>
                <w:p w14:paraId="0FCFBC20">
                  <w:pPr>
                    <w:pStyle w:val="5"/>
                    <w:bidi w:val="0"/>
                    <w:rPr>
                      <w:rFonts w:hint="default"/>
                      <w:lang w:val="en-US" w:eastAsia="zh-CN"/>
                    </w:rPr>
                  </w:pPr>
                  <w:r>
                    <w:rPr>
                      <w:rFonts w:hint="eastAsia"/>
                      <w:lang w:val="en-US" w:eastAsia="zh-CN"/>
                    </w:rPr>
                    <w:t>依托</w:t>
                  </w:r>
                </w:p>
              </w:tc>
            </w:tr>
            <w:tr w14:paraId="0FCBBB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noWrap w:val="0"/>
                  <w:vAlign w:val="center"/>
                </w:tcPr>
                <w:p w14:paraId="10BECD10">
                  <w:pPr>
                    <w:pStyle w:val="5"/>
                    <w:bidi w:val="0"/>
                  </w:pPr>
                </w:p>
              </w:tc>
              <w:tc>
                <w:tcPr>
                  <w:tcW w:w="553" w:type="dxa"/>
                  <w:tcBorders>
                    <w:tl2br w:val="nil"/>
                    <w:tr2bl w:val="nil"/>
                  </w:tcBorders>
                  <w:noWrap w:val="0"/>
                  <w:vAlign w:val="center"/>
                </w:tcPr>
                <w:p w14:paraId="5A809EE3">
                  <w:pPr>
                    <w:pStyle w:val="5"/>
                    <w:bidi w:val="0"/>
                    <w:rPr>
                      <w:rFonts w:hint="default"/>
                      <w:lang w:val="en-US" w:eastAsia="zh-CN"/>
                    </w:rPr>
                  </w:pPr>
                  <w:r>
                    <w:rPr>
                      <w:rFonts w:hint="eastAsia"/>
                      <w:lang w:eastAsia="zh-CN"/>
                    </w:rPr>
                    <w:t>空气制备</w:t>
                  </w:r>
                </w:p>
              </w:tc>
              <w:tc>
                <w:tcPr>
                  <w:tcW w:w="5230" w:type="dxa"/>
                  <w:gridSpan w:val="3"/>
                  <w:tcBorders>
                    <w:tl2br w:val="nil"/>
                    <w:tr2bl w:val="nil"/>
                  </w:tcBorders>
                  <w:noWrap w:val="0"/>
                  <w:vAlign w:val="center"/>
                </w:tcPr>
                <w:p w14:paraId="0142CC4F">
                  <w:pPr>
                    <w:pStyle w:val="5"/>
                    <w:bidi w:val="0"/>
                    <w:jc w:val="both"/>
                    <w:rPr>
                      <w:rFonts w:hint="eastAsia"/>
                      <w:lang w:eastAsia="zh-CN"/>
                    </w:rPr>
                  </w:pPr>
                  <w:r>
                    <w:rPr>
                      <w:rFonts w:hint="eastAsia"/>
                      <w:lang w:eastAsia="zh-CN"/>
                    </w:rPr>
                    <w:t>一层设置</w:t>
                  </w:r>
                  <w:r>
                    <w:rPr>
                      <w:rFonts w:hint="eastAsia"/>
                      <w:lang w:val="en-US" w:eastAsia="zh-CN"/>
                    </w:rPr>
                    <w:t>一</w:t>
                  </w:r>
                  <w:r>
                    <w:rPr>
                      <w:rFonts w:hint="eastAsia"/>
                      <w:lang w:eastAsia="zh-CN"/>
                    </w:rPr>
                    <w:t>间空压机房，占地约</w:t>
                  </w:r>
                  <w:r>
                    <w:rPr>
                      <w:rFonts w:hint="eastAsia"/>
                      <w:lang w:val="en-US" w:eastAsia="zh-CN"/>
                    </w:rPr>
                    <w:t>10m</w:t>
                  </w:r>
                  <w:r>
                    <w:rPr>
                      <w:rFonts w:hint="eastAsia"/>
                      <w:vertAlign w:val="superscript"/>
                      <w:lang w:val="en-US" w:eastAsia="zh-CN"/>
                    </w:rPr>
                    <w:t>2</w:t>
                  </w:r>
                  <w:r>
                    <w:rPr>
                      <w:rFonts w:hint="eastAsia"/>
                      <w:lang w:eastAsia="zh-CN"/>
                    </w:rPr>
                    <w:t>，进行空气干燥、空气压缩，供检测设备使用。</w:t>
                  </w:r>
                </w:p>
              </w:tc>
              <w:tc>
                <w:tcPr>
                  <w:tcW w:w="1034" w:type="dxa"/>
                  <w:vMerge w:val="continue"/>
                  <w:tcBorders>
                    <w:tl2br w:val="nil"/>
                    <w:tr2bl w:val="nil"/>
                  </w:tcBorders>
                  <w:noWrap w:val="0"/>
                  <w:vAlign w:val="center"/>
                </w:tcPr>
                <w:p w14:paraId="755D2B35">
                  <w:pPr>
                    <w:pStyle w:val="5"/>
                    <w:bidi w:val="0"/>
                    <w:rPr>
                      <w:lang w:val="en-US" w:eastAsia="zh-CN"/>
                    </w:rPr>
                  </w:pPr>
                </w:p>
              </w:tc>
              <w:tc>
                <w:tcPr>
                  <w:tcW w:w="753" w:type="dxa"/>
                  <w:tcBorders>
                    <w:tl2br w:val="nil"/>
                    <w:tr2bl w:val="nil"/>
                  </w:tcBorders>
                  <w:noWrap w:val="0"/>
                  <w:vAlign w:val="center"/>
                </w:tcPr>
                <w:p w14:paraId="0942D94C">
                  <w:pPr>
                    <w:pStyle w:val="5"/>
                    <w:bidi w:val="0"/>
                    <w:jc w:val="center"/>
                    <w:rPr>
                      <w:rFonts w:hint="eastAsia"/>
                      <w:lang w:val="en-US" w:eastAsia="zh-CN"/>
                    </w:rPr>
                  </w:pPr>
                  <w:r>
                    <w:rPr>
                      <w:rFonts w:hint="eastAsia"/>
                      <w:lang w:val="en-US" w:eastAsia="zh-CN"/>
                    </w:rPr>
                    <w:t>噪声</w:t>
                  </w:r>
                </w:p>
              </w:tc>
              <w:tc>
                <w:tcPr>
                  <w:tcW w:w="781" w:type="dxa"/>
                  <w:tcBorders>
                    <w:tl2br w:val="nil"/>
                    <w:tr2bl w:val="nil"/>
                  </w:tcBorders>
                  <w:noWrap w:val="0"/>
                  <w:vAlign w:val="center"/>
                </w:tcPr>
                <w:p w14:paraId="1115561B">
                  <w:pPr>
                    <w:pStyle w:val="5"/>
                    <w:bidi w:val="0"/>
                    <w:rPr>
                      <w:rFonts w:hint="eastAsia"/>
                      <w:lang w:val="en-US" w:eastAsia="zh-CN"/>
                    </w:rPr>
                  </w:pPr>
                  <w:r>
                    <w:rPr>
                      <w:rFonts w:hint="eastAsia"/>
                      <w:lang w:val="en-US" w:eastAsia="zh-CN"/>
                    </w:rPr>
                    <w:t>依托</w:t>
                  </w:r>
                </w:p>
              </w:tc>
            </w:tr>
            <w:tr w14:paraId="19129B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restart"/>
                  <w:tcBorders>
                    <w:tl2br w:val="nil"/>
                    <w:tr2bl w:val="nil"/>
                  </w:tcBorders>
                  <w:noWrap w:val="0"/>
                  <w:vAlign w:val="center"/>
                </w:tcPr>
                <w:p w14:paraId="325C8901">
                  <w:pPr>
                    <w:pStyle w:val="5"/>
                    <w:bidi w:val="0"/>
                    <w:rPr>
                      <w:rFonts w:hint="default" w:eastAsia="宋体"/>
                      <w:lang w:val="en-US" w:eastAsia="zh-CN"/>
                    </w:rPr>
                  </w:pPr>
                  <w:r>
                    <w:rPr>
                      <w:rFonts w:hint="eastAsia"/>
                      <w:lang w:val="en-US" w:eastAsia="zh-CN"/>
                    </w:rPr>
                    <w:t>办公设施</w:t>
                  </w:r>
                </w:p>
              </w:tc>
              <w:tc>
                <w:tcPr>
                  <w:tcW w:w="553" w:type="dxa"/>
                  <w:tcBorders>
                    <w:tl2br w:val="nil"/>
                    <w:tr2bl w:val="nil"/>
                  </w:tcBorders>
                  <w:shd w:val="clear" w:color="auto" w:fill="auto"/>
                  <w:noWrap w:val="0"/>
                  <w:vAlign w:val="center"/>
                </w:tcPr>
                <w:p w14:paraId="6B6F0637">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办公用房</w:t>
                  </w:r>
                </w:p>
              </w:tc>
              <w:tc>
                <w:tcPr>
                  <w:tcW w:w="5230" w:type="dxa"/>
                  <w:gridSpan w:val="3"/>
                  <w:tcBorders>
                    <w:tl2br w:val="nil"/>
                    <w:tr2bl w:val="nil"/>
                  </w:tcBorders>
                  <w:shd w:val="clear" w:color="auto" w:fill="auto"/>
                  <w:noWrap w:val="0"/>
                  <w:vAlign w:val="center"/>
                </w:tcPr>
                <w:p w14:paraId="1BE1E1E8">
                  <w:pPr>
                    <w:pStyle w:val="5"/>
                    <w:bidi w:val="0"/>
                    <w:ind w:firstLine="0" w:firstLineChars="0"/>
                    <w:jc w:val="both"/>
                    <w:rPr>
                      <w:rFonts w:hint="default" w:ascii="Times New Roman" w:hAnsi="Times New Roman" w:eastAsia="宋体" w:cs="Times New Roman"/>
                      <w:kern w:val="2"/>
                      <w:sz w:val="21"/>
                      <w:lang w:val="en-US" w:eastAsia="zh-CN" w:bidi="ar-SA"/>
                    </w:rPr>
                  </w:pPr>
                  <w:r>
                    <w:rPr>
                      <w:rFonts w:hint="eastAsia"/>
                      <w:lang w:val="en-US" w:eastAsia="zh-CN"/>
                    </w:rPr>
                    <w:t>三层设置大会议室、会客厅、生产办公室、综合办公厅，占地面积约900m</w:t>
                  </w:r>
                  <w:r>
                    <w:rPr>
                      <w:rFonts w:hint="eastAsia"/>
                      <w:vertAlign w:val="superscript"/>
                      <w:lang w:val="en-US" w:eastAsia="zh-CN"/>
                    </w:rPr>
                    <w:t>2</w:t>
                  </w:r>
                  <w:r>
                    <w:rPr>
                      <w:rFonts w:hint="eastAsia"/>
                      <w:lang w:val="en-US" w:eastAsia="zh-CN"/>
                    </w:rPr>
                    <w:t>。</w:t>
                  </w:r>
                </w:p>
              </w:tc>
              <w:tc>
                <w:tcPr>
                  <w:tcW w:w="1034" w:type="dxa"/>
                  <w:vMerge w:val="continue"/>
                  <w:tcBorders>
                    <w:tl2br w:val="nil"/>
                    <w:tr2bl w:val="nil"/>
                  </w:tcBorders>
                  <w:noWrap w:val="0"/>
                  <w:vAlign w:val="center"/>
                </w:tcPr>
                <w:p w14:paraId="3BA1EDB4">
                  <w:pPr>
                    <w:pStyle w:val="5"/>
                    <w:bidi w:val="0"/>
                    <w:rPr>
                      <w:lang w:val="en-US" w:eastAsia="zh-CN"/>
                    </w:rPr>
                  </w:pPr>
                </w:p>
              </w:tc>
              <w:tc>
                <w:tcPr>
                  <w:tcW w:w="753" w:type="dxa"/>
                  <w:tcBorders>
                    <w:tl2br w:val="nil"/>
                    <w:tr2bl w:val="nil"/>
                  </w:tcBorders>
                  <w:noWrap w:val="0"/>
                  <w:vAlign w:val="center"/>
                </w:tcPr>
                <w:p w14:paraId="07D3C671">
                  <w:pPr>
                    <w:pStyle w:val="5"/>
                    <w:bidi w:val="0"/>
                    <w:jc w:val="center"/>
                    <w:rPr>
                      <w:rFonts w:hint="default"/>
                      <w:lang w:val="en-US" w:eastAsia="zh-CN"/>
                    </w:rPr>
                  </w:pPr>
                  <w:r>
                    <w:rPr>
                      <w:rFonts w:hint="eastAsia"/>
                      <w:lang w:val="en-US" w:eastAsia="zh-CN"/>
                    </w:rPr>
                    <w:t>/</w:t>
                  </w:r>
                </w:p>
              </w:tc>
              <w:tc>
                <w:tcPr>
                  <w:tcW w:w="781" w:type="dxa"/>
                  <w:tcBorders>
                    <w:tl2br w:val="nil"/>
                    <w:tr2bl w:val="nil"/>
                  </w:tcBorders>
                  <w:noWrap w:val="0"/>
                  <w:vAlign w:val="center"/>
                </w:tcPr>
                <w:p w14:paraId="227B5E1E">
                  <w:pPr>
                    <w:pStyle w:val="5"/>
                    <w:bidi w:val="0"/>
                    <w:rPr>
                      <w:rFonts w:hint="default"/>
                      <w:lang w:val="en-US" w:eastAsia="zh-CN"/>
                    </w:rPr>
                  </w:pPr>
                  <w:r>
                    <w:rPr>
                      <w:rFonts w:hint="eastAsia"/>
                      <w:lang w:val="en-US" w:eastAsia="zh-CN"/>
                    </w:rPr>
                    <w:t>依托</w:t>
                  </w:r>
                </w:p>
              </w:tc>
            </w:tr>
            <w:tr w14:paraId="4AEB98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noWrap w:val="0"/>
                  <w:vAlign w:val="center"/>
                </w:tcPr>
                <w:p w14:paraId="49557975">
                  <w:pPr>
                    <w:pStyle w:val="5"/>
                    <w:bidi w:val="0"/>
                    <w:rPr>
                      <w:rFonts w:hint="eastAsia"/>
                      <w:lang w:val="en-US" w:eastAsia="zh-CN"/>
                    </w:rPr>
                  </w:pPr>
                </w:p>
              </w:tc>
              <w:tc>
                <w:tcPr>
                  <w:tcW w:w="553" w:type="dxa"/>
                  <w:tcBorders>
                    <w:tl2br w:val="nil"/>
                    <w:tr2bl w:val="nil"/>
                  </w:tcBorders>
                  <w:shd w:val="clear" w:color="auto" w:fill="auto"/>
                  <w:noWrap w:val="0"/>
                  <w:vAlign w:val="center"/>
                </w:tcPr>
                <w:p w14:paraId="40EC9DFD">
                  <w:pPr>
                    <w:pStyle w:val="5"/>
                    <w:bidi w:val="0"/>
                    <w:ind w:firstLine="0" w:firstLineChars="0"/>
                    <w:rPr>
                      <w:rFonts w:hint="default"/>
                      <w:lang w:val="en-US" w:eastAsia="zh-CN"/>
                    </w:rPr>
                  </w:pPr>
                  <w:r>
                    <w:rPr>
                      <w:rFonts w:hint="eastAsia"/>
                      <w:lang w:val="en-US" w:eastAsia="zh-CN"/>
                    </w:rPr>
                    <w:t>食堂餐厅</w:t>
                  </w:r>
                </w:p>
              </w:tc>
              <w:tc>
                <w:tcPr>
                  <w:tcW w:w="5230" w:type="dxa"/>
                  <w:gridSpan w:val="3"/>
                  <w:tcBorders>
                    <w:tl2br w:val="nil"/>
                    <w:tr2bl w:val="nil"/>
                  </w:tcBorders>
                  <w:shd w:val="clear" w:color="auto" w:fill="auto"/>
                  <w:noWrap w:val="0"/>
                  <w:vAlign w:val="center"/>
                </w:tcPr>
                <w:p w14:paraId="1A78EEDF">
                  <w:pPr>
                    <w:pStyle w:val="5"/>
                    <w:bidi w:val="0"/>
                    <w:ind w:firstLine="0" w:firstLineChars="0"/>
                    <w:jc w:val="both"/>
                    <w:rPr>
                      <w:rFonts w:hint="default"/>
                      <w:lang w:val="en-US" w:eastAsia="zh-CN"/>
                    </w:rPr>
                  </w:pPr>
                  <w:r>
                    <w:rPr>
                      <w:rFonts w:hint="eastAsia"/>
                      <w:lang w:val="en-US" w:eastAsia="zh-CN"/>
                    </w:rPr>
                    <w:t>厂区内不设置食堂，员工依托园区食堂就餐。食堂面积约770m</w:t>
                  </w:r>
                  <w:r>
                    <w:rPr>
                      <w:rFonts w:hint="eastAsia"/>
                      <w:vertAlign w:val="superscript"/>
                      <w:lang w:val="en-US" w:eastAsia="zh-CN"/>
                    </w:rPr>
                    <w:t>2</w:t>
                  </w:r>
                  <w:r>
                    <w:rPr>
                      <w:rFonts w:hint="eastAsia"/>
                      <w:vertAlign w:val="baseline"/>
                      <w:lang w:val="en-US" w:eastAsia="zh-CN"/>
                    </w:rPr>
                    <w:t>，可容纳约400人用餐。</w:t>
                  </w:r>
                </w:p>
              </w:tc>
              <w:tc>
                <w:tcPr>
                  <w:tcW w:w="1034" w:type="dxa"/>
                  <w:vMerge w:val="continue"/>
                  <w:tcBorders>
                    <w:tl2br w:val="nil"/>
                    <w:tr2bl w:val="nil"/>
                  </w:tcBorders>
                  <w:noWrap w:val="0"/>
                  <w:vAlign w:val="center"/>
                </w:tcPr>
                <w:p w14:paraId="510EEC3B">
                  <w:pPr>
                    <w:pStyle w:val="5"/>
                    <w:bidi w:val="0"/>
                    <w:rPr>
                      <w:lang w:val="en-US" w:eastAsia="zh-CN"/>
                    </w:rPr>
                  </w:pPr>
                </w:p>
              </w:tc>
              <w:tc>
                <w:tcPr>
                  <w:tcW w:w="753" w:type="dxa"/>
                  <w:tcBorders>
                    <w:tl2br w:val="nil"/>
                    <w:tr2bl w:val="nil"/>
                  </w:tcBorders>
                  <w:shd w:val="clear" w:color="auto" w:fill="auto"/>
                  <w:noWrap w:val="0"/>
                  <w:vAlign w:val="center"/>
                </w:tcPr>
                <w:p w14:paraId="290A9291">
                  <w:pPr>
                    <w:pStyle w:val="5"/>
                    <w:bidi w:val="0"/>
                    <w:ind w:firstLine="0" w:firstLineChars="0"/>
                    <w:jc w:val="center"/>
                    <w:rPr>
                      <w:rFonts w:hint="eastAsia" w:ascii="Times New Roman" w:hAnsi="Times New Roman" w:eastAsia="宋体" w:cs="Times New Roman"/>
                      <w:kern w:val="2"/>
                      <w:sz w:val="21"/>
                      <w:lang w:val="en-US" w:eastAsia="zh-CN" w:bidi="ar-SA"/>
                    </w:rPr>
                  </w:pPr>
                  <w:r>
                    <w:rPr>
                      <w:rFonts w:hint="eastAsia"/>
                      <w:lang w:val="en-US" w:eastAsia="zh-CN"/>
                    </w:rPr>
                    <w:t>/</w:t>
                  </w:r>
                </w:p>
              </w:tc>
              <w:tc>
                <w:tcPr>
                  <w:tcW w:w="781" w:type="dxa"/>
                  <w:tcBorders>
                    <w:tl2br w:val="nil"/>
                    <w:tr2bl w:val="nil"/>
                  </w:tcBorders>
                  <w:shd w:val="clear" w:color="auto" w:fill="auto"/>
                  <w:noWrap w:val="0"/>
                  <w:vAlign w:val="center"/>
                </w:tcPr>
                <w:p w14:paraId="745ACA45">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依托</w:t>
                  </w:r>
                </w:p>
              </w:tc>
            </w:tr>
            <w:tr w14:paraId="22F49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80" w:type="dxa"/>
                  <w:vMerge w:val="restart"/>
                  <w:tcBorders>
                    <w:tl2br w:val="nil"/>
                    <w:tr2bl w:val="nil"/>
                  </w:tcBorders>
                  <w:noWrap w:val="0"/>
                  <w:vAlign w:val="center"/>
                </w:tcPr>
                <w:p w14:paraId="6E48D581">
                  <w:pPr>
                    <w:pStyle w:val="5"/>
                    <w:bidi w:val="0"/>
                  </w:pPr>
                  <w:r>
                    <w:t>公用</w:t>
                  </w:r>
                </w:p>
                <w:p w14:paraId="7F1A34C2">
                  <w:pPr>
                    <w:pStyle w:val="5"/>
                    <w:bidi w:val="0"/>
                  </w:pPr>
                  <w:r>
                    <w:t>工程</w:t>
                  </w:r>
                </w:p>
              </w:tc>
              <w:tc>
                <w:tcPr>
                  <w:tcW w:w="553" w:type="dxa"/>
                  <w:tcBorders>
                    <w:tl2br w:val="nil"/>
                    <w:tr2bl w:val="nil"/>
                  </w:tcBorders>
                  <w:shd w:val="clear" w:color="auto" w:fill="auto"/>
                  <w:noWrap w:val="0"/>
                  <w:vAlign w:val="center"/>
                </w:tcPr>
                <w:p w14:paraId="2951B9E3">
                  <w:pPr>
                    <w:pStyle w:val="5"/>
                    <w:bidi w:val="0"/>
                    <w:rPr>
                      <w:rFonts w:hint="eastAsia"/>
                      <w:lang w:val="en-US" w:eastAsia="zh-CN"/>
                    </w:rPr>
                  </w:pPr>
                  <w:r>
                    <w:rPr>
                      <w:lang w:val="en-US" w:eastAsia="zh-CN"/>
                    </w:rPr>
                    <w:t>供水</w:t>
                  </w:r>
                </w:p>
              </w:tc>
              <w:tc>
                <w:tcPr>
                  <w:tcW w:w="5230" w:type="dxa"/>
                  <w:gridSpan w:val="3"/>
                  <w:tcBorders>
                    <w:tl2br w:val="nil"/>
                    <w:tr2bl w:val="nil"/>
                  </w:tcBorders>
                  <w:shd w:val="clear" w:color="auto" w:fill="auto"/>
                  <w:noWrap w:val="0"/>
                  <w:vAlign w:val="center"/>
                </w:tcPr>
                <w:p w14:paraId="4207F7ED">
                  <w:pPr>
                    <w:pStyle w:val="5"/>
                    <w:bidi w:val="0"/>
                    <w:jc w:val="both"/>
                    <w:rPr>
                      <w:rFonts w:hint="eastAsia"/>
                      <w:lang w:val="en-US" w:eastAsia="zh-CN"/>
                    </w:rPr>
                  </w:pPr>
                  <w:r>
                    <w:rPr>
                      <w:rFonts w:hint="eastAsia"/>
                      <w:lang w:val="en-US" w:eastAsia="zh-CN"/>
                    </w:rPr>
                    <w:t>市政</w:t>
                  </w:r>
                  <w:r>
                    <w:rPr>
                      <w:lang w:val="en-US" w:eastAsia="zh-CN"/>
                    </w:rPr>
                    <w:t>给水管网供水。</w:t>
                  </w:r>
                </w:p>
              </w:tc>
              <w:tc>
                <w:tcPr>
                  <w:tcW w:w="1034" w:type="dxa"/>
                  <w:vMerge w:val="continue"/>
                  <w:tcBorders>
                    <w:tl2br w:val="nil"/>
                    <w:tr2bl w:val="nil"/>
                  </w:tcBorders>
                  <w:noWrap w:val="0"/>
                  <w:vAlign w:val="center"/>
                </w:tcPr>
                <w:p w14:paraId="47223F8D">
                  <w:pPr>
                    <w:pStyle w:val="5"/>
                    <w:bidi w:val="0"/>
                  </w:pPr>
                </w:p>
              </w:tc>
              <w:tc>
                <w:tcPr>
                  <w:tcW w:w="753" w:type="dxa"/>
                  <w:tcBorders>
                    <w:tl2br w:val="nil"/>
                    <w:tr2bl w:val="nil"/>
                  </w:tcBorders>
                  <w:noWrap w:val="0"/>
                  <w:vAlign w:val="center"/>
                </w:tcPr>
                <w:p w14:paraId="48D4486F">
                  <w:pPr>
                    <w:pStyle w:val="5"/>
                    <w:bidi w:val="0"/>
                    <w:jc w:val="center"/>
                    <w:rPr>
                      <w:lang w:val="en-US" w:eastAsia="zh-CN"/>
                    </w:rPr>
                  </w:pPr>
                  <w:r>
                    <w:rPr>
                      <w:rFonts w:hint="eastAsia"/>
                      <w:lang w:val="en-US" w:eastAsia="zh-CN"/>
                    </w:rPr>
                    <w:t>/</w:t>
                  </w:r>
                </w:p>
              </w:tc>
              <w:tc>
                <w:tcPr>
                  <w:tcW w:w="781" w:type="dxa"/>
                  <w:tcBorders>
                    <w:tl2br w:val="nil"/>
                    <w:tr2bl w:val="nil"/>
                  </w:tcBorders>
                  <w:noWrap w:val="0"/>
                  <w:vAlign w:val="center"/>
                </w:tcPr>
                <w:p w14:paraId="7F1E5A33">
                  <w:pPr>
                    <w:pStyle w:val="5"/>
                    <w:bidi w:val="0"/>
                    <w:rPr>
                      <w:rFonts w:hint="eastAsia"/>
                      <w:lang w:val="en-US" w:eastAsia="zh-CN"/>
                    </w:rPr>
                  </w:pPr>
                  <w:r>
                    <w:rPr>
                      <w:rFonts w:hint="eastAsia"/>
                      <w:lang w:val="en-US" w:eastAsia="zh-CN"/>
                    </w:rPr>
                    <w:t>依托</w:t>
                  </w:r>
                </w:p>
              </w:tc>
            </w:tr>
            <w:tr w14:paraId="587CE6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noWrap w:val="0"/>
                  <w:vAlign w:val="center"/>
                </w:tcPr>
                <w:p w14:paraId="2EE2D484">
                  <w:pPr>
                    <w:pStyle w:val="5"/>
                    <w:bidi w:val="0"/>
                  </w:pPr>
                </w:p>
              </w:tc>
              <w:tc>
                <w:tcPr>
                  <w:tcW w:w="553" w:type="dxa"/>
                  <w:tcBorders>
                    <w:tl2br w:val="nil"/>
                    <w:tr2bl w:val="nil"/>
                  </w:tcBorders>
                  <w:shd w:val="clear" w:color="auto" w:fill="auto"/>
                  <w:noWrap w:val="0"/>
                  <w:vAlign w:val="center"/>
                </w:tcPr>
                <w:p w14:paraId="54E0257C">
                  <w:pPr>
                    <w:pStyle w:val="5"/>
                    <w:bidi w:val="0"/>
                    <w:rPr>
                      <w:rFonts w:hint="eastAsia"/>
                      <w:lang w:val="en-US" w:eastAsia="zh-CN"/>
                    </w:rPr>
                  </w:pPr>
                  <w:r>
                    <w:rPr>
                      <w:lang w:val="en-US" w:eastAsia="zh-CN"/>
                    </w:rPr>
                    <w:t>供电</w:t>
                  </w:r>
                </w:p>
              </w:tc>
              <w:tc>
                <w:tcPr>
                  <w:tcW w:w="5230" w:type="dxa"/>
                  <w:gridSpan w:val="3"/>
                  <w:tcBorders>
                    <w:tl2br w:val="nil"/>
                    <w:tr2bl w:val="nil"/>
                  </w:tcBorders>
                  <w:shd w:val="clear" w:color="auto" w:fill="auto"/>
                  <w:noWrap w:val="0"/>
                  <w:vAlign w:val="center"/>
                </w:tcPr>
                <w:p w14:paraId="3B556969">
                  <w:pPr>
                    <w:pStyle w:val="5"/>
                    <w:bidi w:val="0"/>
                    <w:jc w:val="both"/>
                    <w:rPr>
                      <w:rFonts w:hint="eastAsia"/>
                      <w:lang w:val="en-US" w:eastAsia="zh-CN"/>
                    </w:rPr>
                  </w:pPr>
                  <w:r>
                    <w:rPr>
                      <w:rFonts w:hint="eastAsia"/>
                      <w:lang w:val="en-US" w:eastAsia="zh-CN"/>
                    </w:rPr>
                    <w:t>市政</w:t>
                  </w:r>
                  <w:r>
                    <w:rPr>
                      <w:lang w:val="en-US" w:eastAsia="zh-CN"/>
                    </w:rPr>
                    <w:t>电网供给。</w:t>
                  </w:r>
                </w:p>
              </w:tc>
              <w:tc>
                <w:tcPr>
                  <w:tcW w:w="1034" w:type="dxa"/>
                  <w:vMerge w:val="continue"/>
                  <w:tcBorders>
                    <w:tl2br w:val="nil"/>
                    <w:tr2bl w:val="nil"/>
                  </w:tcBorders>
                  <w:noWrap w:val="0"/>
                  <w:vAlign w:val="center"/>
                </w:tcPr>
                <w:p w14:paraId="07F12D03">
                  <w:pPr>
                    <w:pStyle w:val="5"/>
                    <w:bidi w:val="0"/>
                  </w:pPr>
                </w:p>
              </w:tc>
              <w:tc>
                <w:tcPr>
                  <w:tcW w:w="753" w:type="dxa"/>
                  <w:tcBorders>
                    <w:tl2br w:val="nil"/>
                    <w:tr2bl w:val="nil"/>
                  </w:tcBorders>
                  <w:noWrap w:val="0"/>
                  <w:vAlign w:val="center"/>
                </w:tcPr>
                <w:p w14:paraId="3151479F">
                  <w:pPr>
                    <w:pStyle w:val="5"/>
                    <w:bidi w:val="0"/>
                    <w:jc w:val="center"/>
                    <w:rPr>
                      <w:rFonts w:hint="eastAsia"/>
                      <w:lang w:val="en-US" w:eastAsia="zh-CN"/>
                    </w:rPr>
                  </w:pPr>
                  <w:r>
                    <w:rPr>
                      <w:rFonts w:hint="eastAsia"/>
                      <w:lang w:val="en-US" w:eastAsia="zh-CN"/>
                    </w:rPr>
                    <w:t>/</w:t>
                  </w:r>
                </w:p>
              </w:tc>
              <w:tc>
                <w:tcPr>
                  <w:tcW w:w="781" w:type="dxa"/>
                  <w:tcBorders>
                    <w:tl2br w:val="nil"/>
                    <w:tr2bl w:val="nil"/>
                  </w:tcBorders>
                  <w:noWrap w:val="0"/>
                  <w:vAlign w:val="center"/>
                </w:tcPr>
                <w:p w14:paraId="1DA7D256">
                  <w:pPr>
                    <w:pStyle w:val="5"/>
                    <w:bidi w:val="0"/>
                    <w:rPr>
                      <w:rFonts w:hint="eastAsia"/>
                      <w:lang w:val="en-US" w:eastAsia="zh-CN"/>
                    </w:rPr>
                  </w:pPr>
                  <w:r>
                    <w:rPr>
                      <w:rFonts w:hint="eastAsia"/>
                      <w:lang w:val="en-US" w:eastAsia="zh-CN"/>
                    </w:rPr>
                    <w:t>依托</w:t>
                  </w:r>
                </w:p>
              </w:tc>
            </w:tr>
            <w:tr w14:paraId="34688F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80" w:type="dxa"/>
                  <w:vMerge w:val="continue"/>
                  <w:tcBorders>
                    <w:tl2br w:val="nil"/>
                    <w:tr2bl w:val="nil"/>
                  </w:tcBorders>
                  <w:noWrap w:val="0"/>
                  <w:vAlign w:val="center"/>
                </w:tcPr>
                <w:p w14:paraId="0D5C2E8C">
                  <w:pPr>
                    <w:pStyle w:val="5"/>
                    <w:bidi w:val="0"/>
                  </w:pPr>
                </w:p>
              </w:tc>
              <w:tc>
                <w:tcPr>
                  <w:tcW w:w="553" w:type="dxa"/>
                  <w:tcBorders>
                    <w:tl2br w:val="nil"/>
                    <w:tr2bl w:val="nil"/>
                  </w:tcBorders>
                  <w:shd w:val="clear" w:color="auto" w:fill="auto"/>
                  <w:noWrap w:val="0"/>
                  <w:vAlign w:val="center"/>
                </w:tcPr>
                <w:p w14:paraId="250B2748">
                  <w:pPr>
                    <w:pStyle w:val="5"/>
                    <w:bidi w:val="0"/>
                    <w:rPr>
                      <w:lang w:val="en-US" w:eastAsia="zh-CN"/>
                    </w:rPr>
                  </w:pPr>
                  <w:r>
                    <w:rPr>
                      <w:rFonts w:hint="eastAsia"/>
                      <w:lang w:val="en-US" w:eastAsia="zh-CN"/>
                    </w:rPr>
                    <w:t>供气</w:t>
                  </w:r>
                </w:p>
              </w:tc>
              <w:tc>
                <w:tcPr>
                  <w:tcW w:w="5230" w:type="dxa"/>
                  <w:gridSpan w:val="3"/>
                  <w:tcBorders>
                    <w:tl2br w:val="nil"/>
                    <w:tr2bl w:val="nil"/>
                  </w:tcBorders>
                  <w:shd w:val="clear" w:color="auto" w:fill="auto"/>
                  <w:noWrap w:val="0"/>
                  <w:vAlign w:val="center"/>
                </w:tcPr>
                <w:p w14:paraId="6085D907">
                  <w:pPr>
                    <w:pStyle w:val="5"/>
                    <w:bidi w:val="0"/>
                    <w:jc w:val="both"/>
                    <w:rPr>
                      <w:rFonts w:hint="eastAsia"/>
                      <w:lang w:val="en-US" w:eastAsia="zh-CN"/>
                    </w:rPr>
                  </w:pPr>
                  <w:r>
                    <w:rPr>
                      <w:rFonts w:hint="eastAsia"/>
                      <w:lang w:val="en-US" w:eastAsia="zh-CN"/>
                    </w:rPr>
                    <w:t>市政供气管网。</w:t>
                  </w:r>
                </w:p>
              </w:tc>
              <w:tc>
                <w:tcPr>
                  <w:tcW w:w="1034" w:type="dxa"/>
                  <w:vMerge w:val="continue"/>
                  <w:tcBorders>
                    <w:tl2br w:val="nil"/>
                    <w:tr2bl w:val="nil"/>
                  </w:tcBorders>
                  <w:noWrap w:val="0"/>
                  <w:vAlign w:val="center"/>
                </w:tcPr>
                <w:p w14:paraId="2315BE47">
                  <w:pPr>
                    <w:pStyle w:val="5"/>
                    <w:bidi w:val="0"/>
                  </w:pPr>
                </w:p>
              </w:tc>
              <w:tc>
                <w:tcPr>
                  <w:tcW w:w="753" w:type="dxa"/>
                  <w:tcBorders>
                    <w:tl2br w:val="nil"/>
                    <w:tr2bl w:val="nil"/>
                  </w:tcBorders>
                  <w:noWrap w:val="0"/>
                  <w:vAlign w:val="center"/>
                </w:tcPr>
                <w:p w14:paraId="45F67606">
                  <w:pPr>
                    <w:pStyle w:val="5"/>
                    <w:bidi w:val="0"/>
                    <w:jc w:val="center"/>
                    <w:rPr>
                      <w:rFonts w:hint="default"/>
                      <w:lang w:val="en-US" w:eastAsia="zh-CN"/>
                    </w:rPr>
                  </w:pPr>
                  <w:r>
                    <w:rPr>
                      <w:rFonts w:hint="eastAsia"/>
                      <w:lang w:val="en-US" w:eastAsia="zh-CN"/>
                    </w:rPr>
                    <w:t>/</w:t>
                  </w:r>
                </w:p>
              </w:tc>
              <w:tc>
                <w:tcPr>
                  <w:tcW w:w="781" w:type="dxa"/>
                  <w:tcBorders>
                    <w:tl2br w:val="nil"/>
                    <w:tr2bl w:val="nil"/>
                  </w:tcBorders>
                  <w:noWrap w:val="0"/>
                  <w:vAlign w:val="center"/>
                </w:tcPr>
                <w:p w14:paraId="38684313">
                  <w:pPr>
                    <w:pStyle w:val="5"/>
                    <w:bidi w:val="0"/>
                    <w:rPr>
                      <w:rFonts w:hint="eastAsia"/>
                      <w:lang w:val="en-US" w:eastAsia="zh-CN"/>
                    </w:rPr>
                  </w:pPr>
                  <w:r>
                    <w:rPr>
                      <w:rFonts w:hint="eastAsia"/>
                      <w:lang w:val="en-US" w:eastAsia="zh-CN"/>
                    </w:rPr>
                    <w:t>依托</w:t>
                  </w:r>
                </w:p>
              </w:tc>
            </w:tr>
            <w:tr w14:paraId="7671D0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0" w:type="dxa"/>
                  <w:vMerge w:val="restart"/>
                  <w:tcBorders>
                    <w:tl2br w:val="nil"/>
                    <w:tr2bl w:val="nil"/>
                  </w:tcBorders>
                  <w:noWrap w:val="0"/>
                  <w:vAlign w:val="center"/>
                </w:tcPr>
                <w:p w14:paraId="49A0DC63">
                  <w:pPr>
                    <w:pStyle w:val="5"/>
                    <w:bidi w:val="0"/>
                  </w:pPr>
                  <w:r>
                    <w:rPr>
                      <w:rFonts w:hint="eastAsia"/>
                    </w:rPr>
                    <w:t>环保工程</w:t>
                  </w:r>
                </w:p>
              </w:tc>
              <w:tc>
                <w:tcPr>
                  <w:tcW w:w="553" w:type="dxa"/>
                  <w:vMerge w:val="restart"/>
                  <w:tcBorders>
                    <w:tl2br w:val="nil"/>
                    <w:tr2bl w:val="nil"/>
                  </w:tcBorders>
                  <w:shd w:val="clear" w:color="auto" w:fill="auto"/>
                  <w:noWrap w:val="0"/>
                  <w:vAlign w:val="center"/>
                </w:tcPr>
                <w:p w14:paraId="406D539D">
                  <w:pPr>
                    <w:pStyle w:val="5"/>
                    <w:bidi w:val="0"/>
                    <w:ind w:firstLine="0" w:firstLineChars="0"/>
                    <w:jc w:val="center"/>
                    <w:rPr>
                      <w:rFonts w:hint="eastAsia" w:ascii="Times New Roman" w:hAnsi="Times New Roman" w:eastAsia="宋体" w:cs="Times New Roman"/>
                      <w:kern w:val="2"/>
                      <w:sz w:val="21"/>
                      <w:lang w:val="en-US" w:eastAsia="zh-CN" w:bidi="ar-SA"/>
                    </w:rPr>
                  </w:pPr>
                  <w:r>
                    <w:rPr>
                      <w:rFonts w:hint="eastAsia"/>
                    </w:rPr>
                    <w:t>废水治理</w:t>
                  </w:r>
                </w:p>
              </w:tc>
              <w:tc>
                <w:tcPr>
                  <w:tcW w:w="2108" w:type="dxa"/>
                  <w:vMerge w:val="restart"/>
                  <w:tcBorders>
                    <w:tl2br w:val="nil"/>
                    <w:tr2bl w:val="nil"/>
                  </w:tcBorders>
                  <w:shd w:val="clear" w:color="auto" w:fill="auto"/>
                  <w:noWrap w:val="0"/>
                  <w:vAlign w:val="center"/>
                </w:tcPr>
                <w:p w14:paraId="455DC4E3">
                  <w:pPr>
                    <w:pStyle w:val="5"/>
                    <w:bidi w:val="0"/>
                    <w:ind w:firstLine="0" w:firstLineChars="0"/>
                    <w:jc w:val="center"/>
                    <w:rPr>
                      <w:rFonts w:hint="default" w:ascii="Times New Roman" w:hAnsi="Times New Roman" w:eastAsia="宋体" w:cs="Times New Roman"/>
                      <w:kern w:val="2"/>
                      <w:sz w:val="21"/>
                      <w:lang w:val="en-US" w:eastAsia="zh-CN" w:bidi="ar-SA"/>
                    </w:rPr>
                  </w:pPr>
                  <w:r>
                    <w:rPr>
                      <w:rFonts w:hint="eastAsia"/>
                      <w:lang w:val="en-US" w:eastAsia="zh-CN"/>
                    </w:rPr>
                    <w:t>生活污水</w:t>
                  </w:r>
                  <w:bookmarkStart w:id="53" w:name="_GoBack"/>
                  <w:bookmarkEnd w:id="53"/>
                </w:p>
              </w:tc>
              <w:tc>
                <w:tcPr>
                  <w:tcW w:w="3122" w:type="dxa"/>
                  <w:gridSpan w:val="2"/>
                  <w:tcBorders>
                    <w:tl2br w:val="nil"/>
                    <w:tr2bl w:val="nil"/>
                  </w:tcBorders>
                  <w:shd w:val="clear" w:color="auto" w:fill="auto"/>
                  <w:noWrap w:val="0"/>
                  <w:vAlign w:val="center"/>
                </w:tcPr>
                <w:p w14:paraId="218C63FA">
                  <w:pPr>
                    <w:pStyle w:val="5"/>
                    <w:bidi w:val="0"/>
                    <w:ind w:firstLine="0" w:firstLineChars="0"/>
                    <w:jc w:val="both"/>
                    <w:rPr>
                      <w:rFonts w:hint="default"/>
                      <w:lang w:val="en-US" w:eastAsia="zh-CN"/>
                    </w:rPr>
                  </w:pPr>
                  <w:r>
                    <w:rPr>
                      <w:rFonts w:hint="eastAsia"/>
                      <w:lang w:val="en-US" w:eastAsia="zh-CN"/>
                    </w:rPr>
                    <w:t>本项目不新增生活污水产生，园区内已建一体化污水处理设施，设计处理规模为20m</w:t>
                  </w:r>
                  <w:r>
                    <w:rPr>
                      <w:rFonts w:hint="eastAsia"/>
                      <w:vertAlign w:val="superscript"/>
                      <w:lang w:val="en-US" w:eastAsia="zh-CN"/>
                    </w:rPr>
                    <w:t>3</w:t>
                  </w:r>
                  <w:r>
                    <w:rPr>
                      <w:rFonts w:hint="eastAsia"/>
                      <w:lang w:val="en-US" w:eastAsia="zh-CN"/>
                    </w:rPr>
                    <w:t>/d，现阶段污水实际处理量为10m</w:t>
                  </w:r>
                  <w:r>
                    <w:rPr>
                      <w:rFonts w:hint="eastAsia"/>
                      <w:vertAlign w:val="superscript"/>
                      <w:lang w:val="en-US" w:eastAsia="zh-CN"/>
                    </w:rPr>
                    <w:t>3</w:t>
                  </w:r>
                  <w:r>
                    <w:rPr>
                      <w:rFonts w:hint="eastAsia"/>
                      <w:lang w:val="en-US" w:eastAsia="zh-CN"/>
                    </w:rPr>
                    <w:t>/d，现有工程生活污水依托园区一体化污水处理设施处理后，</w:t>
                  </w:r>
                  <w:r>
                    <w:rPr>
                      <w:rFonts w:hint="eastAsia"/>
                    </w:rPr>
                    <w:t>达《污水综合排放标准》（GB 8978-1996）三级标准</w:t>
                  </w:r>
                  <w:r>
                    <w:rPr>
                      <w:rFonts w:hint="eastAsia"/>
                      <w:lang w:eastAsia="zh-CN"/>
                    </w:rPr>
                    <w:t>排入</w:t>
                  </w:r>
                  <w:r>
                    <w:rPr>
                      <w:rFonts w:hint="eastAsia"/>
                      <w:lang w:val="en-US" w:eastAsia="zh-CN"/>
                    </w:rPr>
                    <w:t>魏兴场镇污水处理厂。</w:t>
                  </w:r>
                </w:p>
              </w:tc>
              <w:tc>
                <w:tcPr>
                  <w:tcW w:w="1034" w:type="dxa"/>
                  <w:tcBorders>
                    <w:tl2br w:val="nil"/>
                    <w:tr2bl w:val="nil"/>
                  </w:tcBorders>
                  <w:shd w:val="clear" w:color="auto" w:fill="auto"/>
                  <w:noWrap w:val="0"/>
                  <w:vAlign w:val="center"/>
                </w:tcPr>
                <w:p w14:paraId="3E586C91">
                  <w:pPr>
                    <w:pStyle w:val="5"/>
                    <w:bidi w:val="0"/>
                    <w:ind w:firstLine="0" w:firstLineChars="0"/>
                    <w:rPr>
                      <w:rFonts w:hint="eastAsia" w:ascii="Times New Roman" w:hAnsi="Times New Roman" w:eastAsia="宋体" w:cs="Times New Roman"/>
                      <w:kern w:val="2"/>
                      <w:sz w:val="21"/>
                      <w:lang w:val="en-US" w:eastAsia="zh-CN" w:bidi="ar-SA"/>
                    </w:rPr>
                  </w:pPr>
                  <w:r>
                    <w:rPr>
                      <w:rFonts w:hint="eastAsia" w:cs="Times New Roman"/>
                      <w:kern w:val="2"/>
                      <w:sz w:val="21"/>
                      <w:lang w:val="en-US" w:eastAsia="zh-CN" w:bidi="ar-SA"/>
                    </w:rPr>
                    <w:t>/</w:t>
                  </w:r>
                </w:p>
              </w:tc>
              <w:tc>
                <w:tcPr>
                  <w:tcW w:w="753" w:type="dxa"/>
                  <w:tcBorders>
                    <w:tl2br w:val="nil"/>
                    <w:tr2bl w:val="nil"/>
                  </w:tcBorders>
                  <w:shd w:val="clear" w:color="auto" w:fill="auto"/>
                  <w:noWrap w:val="0"/>
                  <w:vAlign w:val="center"/>
                </w:tcPr>
                <w:p w14:paraId="0BDA165C">
                  <w:pPr>
                    <w:pStyle w:val="5"/>
                    <w:bidi w:val="0"/>
                    <w:ind w:firstLine="0" w:firstLineChars="0"/>
                    <w:jc w:val="center"/>
                    <w:rPr>
                      <w:rFonts w:hint="eastAsia" w:ascii="Times New Roman" w:hAnsi="Times New Roman" w:eastAsia="宋体" w:cs="Times New Roman"/>
                      <w:kern w:val="2"/>
                      <w:sz w:val="21"/>
                      <w:lang w:val="en-US" w:eastAsia="zh-CN" w:bidi="ar-SA"/>
                    </w:rPr>
                  </w:pPr>
                  <w:r>
                    <w:rPr>
                      <w:rFonts w:hint="eastAsia"/>
                      <w:lang w:val="en-US" w:eastAsia="zh-CN"/>
                    </w:rPr>
                    <w:t>废水</w:t>
                  </w:r>
                </w:p>
              </w:tc>
              <w:tc>
                <w:tcPr>
                  <w:tcW w:w="781" w:type="dxa"/>
                  <w:tcBorders>
                    <w:tl2br w:val="nil"/>
                    <w:tr2bl w:val="nil"/>
                  </w:tcBorders>
                  <w:shd w:val="clear" w:color="auto" w:fill="auto"/>
                  <w:noWrap w:val="0"/>
                  <w:vAlign w:val="center"/>
                </w:tcPr>
                <w:p w14:paraId="31D7105F">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依托</w:t>
                  </w:r>
                </w:p>
              </w:tc>
            </w:tr>
            <w:tr w14:paraId="27CBE4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0" w:type="dxa"/>
                  <w:vMerge w:val="continue"/>
                  <w:tcBorders>
                    <w:tl2br w:val="nil"/>
                    <w:tr2bl w:val="nil"/>
                  </w:tcBorders>
                  <w:noWrap w:val="0"/>
                  <w:vAlign w:val="center"/>
                </w:tcPr>
                <w:p w14:paraId="4811F283">
                  <w:pPr>
                    <w:pStyle w:val="5"/>
                    <w:bidi w:val="0"/>
                  </w:pPr>
                </w:p>
              </w:tc>
              <w:tc>
                <w:tcPr>
                  <w:tcW w:w="553" w:type="dxa"/>
                  <w:vMerge w:val="continue"/>
                  <w:tcBorders>
                    <w:tl2br w:val="nil"/>
                    <w:tr2bl w:val="nil"/>
                  </w:tcBorders>
                  <w:shd w:val="clear" w:color="auto" w:fill="auto"/>
                  <w:noWrap w:val="0"/>
                  <w:vAlign w:val="center"/>
                </w:tcPr>
                <w:p w14:paraId="0A79BCBF">
                  <w:pPr>
                    <w:pStyle w:val="5"/>
                    <w:bidi w:val="0"/>
                    <w:ind w:firstLine="0" w:firstLineChars="0"/>
                    <w:jc w:val="center"/>
                    <w:rPr>
                      <w:rFonts w:hint="eastAsia" w:ascii="Times New Roman" w:hAnsi="Times New Roman" w:eastAsia="宋体" w:cs="Times New Roman"/>
                      <w:kern w:val="2"/>
                      <w:sz w:val="21"/>
                      <w:lang w:val="en-US" w:eastAsia="zh-CN" w:bidi="ar-SA"/>
                    </w:rPr>
                  </w:pPr>
                </w:p>
              </w:tc>
              <w:tc>
                <w:tcPr>
                  <w:tcW w:w="2108" w:type="dxa"/>
                  <w:vMerge w:val="continue"/>
                  <w:tcBorders>
                    <w:tl2br w:val="nil"/>
                    <w:tr2bl w:val="nil"/>
                  </w:tcBorders>
                  <w:shd w:val="clear" w:color="auto" w:fill="auto"/>
                  <w:noWrap w:val="0"/>
                  <w:vAlign w:val="center"/>
                </w:tcPr>
                <w:p w14:paraId="1E3F4965">
                  <w:pPr>
                    <w:pStyle w:val="5"/>
                    <w:bidi w:val="0"/>
                    <w:ind w:firstLine="0" w:firstLineChars="0"/>
                    <w:jc w:val="center"/>
                    <w:rPr>
                      <w:rFonts w:hint="default" w:ascii="Times New Roman" w:hAnsi="Times New Roman" w:eastAsia="宋体" w:cs="Times New Roman"/>
                      <w:kern w:val="2"/>
                      <w:sz w:val="21"/>
                      <w:lang w:val="en-US" w:eastAsia="zh-CN" w:bidi="ar-SA"/>
                    </w:rPr>
                  </w:pPr>
                </w:p>
              </w:tc>
              <w:tc>
                <w:tcPr>
                  <w:tcW w:w="3122" w:type="dxa"/>
                  <w:gridSpan w:val="2"/>
                  <w:tcBorders>
                    <w:tl2br w:val="nil"/>
                    <w:tr2bl w:val="nil"/>
                  </w:tcBorders>
                  <w:shd w:val="clear" w:color="auto" w:fill="auto"/>
                  <w:noWrap w:val="0"/>
                  <w:vAlign w:val="center"/>
                </w:tcPr>
                <w:p w14:paraId="76EE18BD">
                  <w:pPr>
                    <w:pStyle w:val="5"/>
                    <w:bidi w:val="0"/>
                    <w:ind w:firstLine="0" w:firstLineChars="0"/>
                    <w:jc w:val="both"/>
                    <w:rPr>
                      <w:rFonts w:hint="default" w:ascii="Times New Roman" w:hAnsi="Times New Roman" w:eastAsia="宋体" w:cs="Times New Roman"/>
                      <w:kern w:val="2"/>
                      <w:sz w:val="21"/>
                      <w:lang w:val="en-US" w:eastAsia="zh-CN" w:bidi="ar-SA"/>
                    </w:rPr>
                  </w:pPr>
                  <w:r>
                    <w:rPr>
                      <w:rFonts w:hint="eastAsia"/>
                      <w:lang w:val="en-US" w:eastAsia="zh-CN"/>
                    </w:rPr>
                    <w:t>魏兴场镇污水处理厂处理规模为8000m</w:t>
                  </w:r>
                  <w:r>
                    <w:rPr>
                      <w:rFonts w:hint="eastAsia"/>
                      <w:vertAlign w:val="superscript"/>
                      <w:lang w:val="en-US" w:eastAsia="zh-CN"/>
                    </w:rPr>
                    <w:t>3</w:t>
                  </w:r>
                  <w:r>
                    <w:rPr>
                      <w:rFonts w:hint="eastAsia"/>
                      <w:lang w:val="en-US" w:eastAsia="zh-CN"/>
                    </w:rPr>
                    <w:t>/d，处理工艺包括水解酸化+改良Orbal氧化沟+滤布滤池+次氯酸钠、紫外消毒方式和A</w:t>
                  </w:r>
                  <w:r>
                    <w:rPr>
                      <w:rFonts w:hint="eastAsia"/>
                      <w:vertAlign w:val="superscript"/>
                      <w:lang w:val="en-US" w:eastAsia="zh-CN"/>
                    </w:rPr>
                    <w:t>2</w:t>
                  </w:r>
                  <w:r>
                    <w:rPr>
                      <w:rFonts w:hint="eastAsia"/>
                      <w:lang w:val="en-US" w:eastAsia="zh-CN"/>
                    </w:rPr>
                    <w:t>O+MBBR，处理后的污水达</w:t>
                  </w:r>
                  <w:r>
                    <w:rPr>
                      <w:rFonts w:hint="eastAsia"/>
                      <w:lang w:eastAsia="zh-CN"/>
                    </w:rPr>
                    <w:t>《城镇污水处理厂污染物排放标准》（GB18918—2002）一级A标准</w:t>
                  </w:r>
                  <w:r>
                    <w:rPr>
                      <w:rFonts w:hint="eastAsia"/>
                      <w:lang w:val="en-US" w:eastAsia="zh-CN"/>
                    </w:rPr>
                    <w:t>后，</w:t>
                  </w:r>
                  <w:r>
                    <w:rPr>
                      <w:rFonts w:hint="eastAsia"/>
                    </w:rPr>
                    <w:t>排入</w:t>
                  </w:r>
                  <w:r>
                    <w:rPr>
                      <w:rFonts w:hint="eastAsia"/>
                      <w:lang w:val="en-US" w:eastAsia="zh-CN"/>
                    </w:rPr>
                    <w:t>州河</w:t>
                  </w:r>
                  <w:r>
                    <w:rPr>
                      <w:rFonts w:hint="eastAsia"/>
                    </w:rPr>
                    <w:t>。</w:t>
                  </w:r>
                </w:p>
              </w:tc>
              <w:tc>
                <w:tcPr>
                  <w:tcW w:w="1034" w:type="dxa"/>
                  <w:tcBorders>
                    <w:tl2br w:val="nil"/>
                    <w:tr2bl w:val="nil"/>
                  </w:tcBorders>
                  <w:shd w:val="clear" w:color="auto" w:fill="auto"/>
                  <w:noWrap w:val="0"/>
                  <w:vAlign w:val="center"/>
                </w:tcPr>
                <w:p w14:paraId="1B3D7602">
                  <w:pPr>
                    <w:pStyle w:val="5"/>
                    <w:bidi w:val="0"/>
                    <w:ind w:firstLine="0" w:firstLineChars="0"/>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w:t>
                  </w:r>
                </w:p>
              </w:tc>
              <w:tc>
                <w:tcPr>
                  <w:tcW w:w="753" w:type="dxa"/>
                  <w:tcBorders>
                    <w:tl2br w:val="nil"/>
                    <w:tr2bl w:val="nil"/>
                  </w:tcBorders>
                  <w:shd w:val="clear" w:color="auto" w:fill="auto"/>
                  <w:noWrap w:val="0"/>
                  <w:vAlign w:val="center"/>
                </w:tcPr>
                <w:p w14:paraId="4772E58E">
                  <w:pPr>
                    <w:pStyle w:val="5"/>
                    <w:bidi w:val="0"/>
                    <w:ind w:firstLine="0" w:firstLineChars="0"/>
                    <w:jc w:val="center"/>
                    <w:rPr>
                      <w:rFonts w:hint="eastAsia" w:ascii="Times New Roman" w:hAnsi="Times New Roman" w:eastAsia="宋体" w:cs="Times New Roman"/>
                      <w:kern w:val="2"/>
                      <w:sz w:val="21"/>
                      <w:lang w:val="en-US" w:eastAsia="zh-CN" w:bidi="ar-SA"/>
                    </w:rPr>
                  </w:pPr>
                  <w:r>
                    <w:rPr>
                      <w:rFonts w:hint="eastAsia"/>
                      <w:lang w:val="en-US" w:eastAsia="zh-CN"/>
                    </w:rPr>
                    <w:t>废水</w:t>
                  </w:r>
                </w:p>
              </w:tc>
              <w:tc>
                <w:tcPr>
                  <w:tcW w:w="781" w:type="dxa"/>
                  <w:tcBorders>
                    <w:tl2br w:val="nil"/>
                    <w:tr2bl w:val="nil"/>
                  </w:tcBorders>
                  <w:shd w:val="clear" w:color="auto" w:fill="auto"/>
                  <w:noWrap w:val="0"/>
                  <w:vAlign w:val="center"/>
                </w:tcPr>
                <w:p w14:paraId="1F91286E">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依托</w:t>
                  </w:r>
                </w:p>
              </w:tc>
            </w:tr>
            <w:tr w14:paraId="064C9C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80" w:type="dxa"/>
                  <w:vMerge w:val="continue"/>
                  <w:tcBorders>
                    <w:tl2br w:val="nil"/>
                    <w:tr2bl w:val="nil"/>
                  </w:tcBorders>
                  <w:noWrap w:val="0"/>
                  <w:vAlign w:val="center"/>
                </w:tcPr>
                <w:p w14:paraId="008E9088">
                  <w:pPr>
                    <w:pStyle w:val="5"/>
                    <w:bidi w:val="0"/>
                  </w:pPr>
                </w:p>
              </w:tc>
              <w:tc>
                <w:tcPr>
                  <w:tcW w:w="553" w:type="dxa"/>
                  <w:vMerge w:val="restart"/>
                  <w:tcBorders>
                    <w:tl2br w:val="nil"/>
                    <w:tr2bl w:val="nil"/>
                  </w:tcBorders>
                  <w:shd w:val="clear" w:color="auto" w:fill="auto"/>
                  <w:noWrap w:val="0"/>
                  <w:vAlign w:val="center"/>
                </w:tcPr>
                <w:p w14:paraId="5F018C36">
                  <w:pPr>
                    <w:pStyle w:val="5"/>
                    <w:bidi w:val="0"/>
                    <w:jc w:val="center"/>
                    <w:rPr>
                      <w:lang w:val="en-US" w:eastAsia="zh-CN"/>
                    </w:rPr>
                  </w:pPr>
                  <w:r>
                    <w:rPr>
                      <w:rFonts w:hint="eastAsia"/>
                    </w:rPr>
                    <w:t>废气治理</w:t>
                  </w:r>
                </w:p>
              </w:tc>
              <w:tc>
                <w:tcPr>
                  <w:tcW w:w="2108" w:type="dxa"/>
                  <w:vMerge w:val="restart"/>
                  <w:tcBorders>
                    <w:tl2br w:val="nil"/>
                    <w:tr2bl w:val="nil"/>
                  </w:tcBorders>
                  <w:noWrap w:val="0"/>
                  <w:vAlign w:val="center"/>
                </w:tcPr>
                <w:p w14:paraId="5E96E669">
                  <w:pPr>
                    <w:pStyle w:val="5"/>
                    <w:bidi w:val="0"/>
                    <w:jc w:val="center"/>
                    <w:rPr>
                      <w:rFonts w:hint="default"/>
                      <w:lang w:val="en-US" w:eastAsia="zh-CN"/>
                    </w:rPr>
                  </w:pPr>
                  <w:r>
                    <w:rPr>
                      <w:rFonts w:hint="eastAsia"/>
                      <w:lang w:val="en-US" w:eastAsia="zh-CN"/>
                    </w:rPr>
                    <w:t>固化废气</w:t>
                  </w:r>
                </w:p>
              </w:tc>
              <w:tc>
                <w:tcPr>
                  <w:tcW w:w="907" w:type="dxa"/>
                  <w:tcBorders>
                    <w:tl2br w:val="nil"/>
                    <w:tr2bl w:val="nil"/>
                  </w:tcBorders>
                  <w:shd w:val="clear" w:color="auto" w:fill="auto"/>
                  <w:noWrap w:val="0"/>
                  <w:vAlign w:val="center"/>
                </w:tcPr>
                <w:p w14:paraId="4179C0A2">
                  <w:pPr>
                    <w:pStyle w:val="5"/>
                    <w:snapToGrid w:val="0"/>
                    <w:ind w:firstLineChars="0"/>
                    <w:jc w:val="center"/>
                    <w:rPr>
                      <w:rFonts w:hint="eastAsia"/>
                      <w:color w:val="auto"/>
                      <w:lang w:val="en-US" w:eastAsia="zh-CN"/>
                    </w:rPr>
                  </w:pPr>
                  <w:r>
                    <w:rPr>
                      <w:rFonts w:hint="default"/>
                      <w:color w:val="auto"/>
                      <w:lang w:val="en-US" w:eastAsia="zh-CN"/>
                    </w:rPr>
                    <w:t>现有情况</w:t>
                  </w:r>
                </w:p>
              </w:tc>
              <w:tc>
                <w:tcPr>
                  <w:tcW w:w="2215" w:type="dxa"/>
                  <w:tcBorders>
                    <w:tl2br w:val="nil"/>
                    <w:tr2bl w:val="nil"/>
                  </w:tcBorders>
                  <w:shd w:val="clear" w:color="auto" w:fill="auto"/>
                  <w:noWrap w:val="0"/>
                  <w:vAlign w:val="center"/>
                </w:tcPr>
                <w:p w14:paraId="51173C0C">
                  <w:pPr>
                    <w:pStyle w:val="5"/>
                    <w:snapToGrid w:val="0"/>
                    <w:ind w:firstLineChars="0"/>
                    <w:jc w:val="center"/>
                    <w:rPr>
                      <w:rFonts w:hint="eastAsia"/>
                      <w:color w:val="auto"/>
                      <w:lang w:val="en-US" w:eastAsia="zh-CN"/>
                    </w:rPr>
                  </w:pPr>
                  <w:r>
                    <w:rPr>
                      <w:rFonts w:hint="default"/>
                      <w:color w:val="auto"/>
                      <w:lang w:val="en-US" w:eastAsia="zh-CN"/>
                    </w:rPr>
                    <w:t>本次改建情况</w:t>
                  </w:r>
                </w:p>
              </w:tc>
              <w:tc>
                <w:tcPr>
                  <w:tcW w:w="1034" w:type="dxa"/>
                  <w:vMerge w:val="restart"/>
                  <w:tcBorders>
                    <w:tl2br w:val="nil"/>
                    <w:tr2bl w:val="nil"/>
                  </w:tcBorders>
                  <w:noWrap w:val="0"/>
                  <w:vAlign w:val="center"/>
                </w:tcPr>
                <w:p w14:paraId="1B152007">
                  <w:pPr>
                    <w:pStyle w:val="5"/>
                    <w:bidi w:val="0"/>
                    <w:jc w:val="both"/>
                  </w:pPr>
                  <w:r>
                    <w:rPr>
                      <w:rFonts w:hint="default"/>
                      <w:lang w:val="en-US" w:eastAsia="zh-CN"/>
                    </w:rPr>
                    <w:t>生活垃圾、生活</w:t>
                  </w:r>
                  <w:r>
                    <w:rPr>
                      <w:rFonts w:hint="eastAsia"/>
                      <w:lang w:val="en-US" w:eastAsia="zh-CN"/>
                    </w:rPr>
                    <w:t>污水</w:t>
                  </w:r>
                  <w:r>
                    <w:rPr>
                      <w:rFonts w:hint="default"/>
                      <w:lang w:val="en-US" w:eastAsia="zh-CN"/>
                    </w:rPr>
                    <w:t>、固废、噪声等</w:t>
                  </w:r>
                </w:p>
              </w:tc>
              <w:tc>
                <w:tcPr>
                  <w:tcW w:w="753" w:type="dxa"/>
                  <w:vMerge w:val="restart"/>
                  <w:tcBorders>
                    <w:tl2br w:val="nil"/>
                    <w:tr2bl w:val="nil"/>
                  </w:tcBorders>
                  <w:noWrap w:val="0"/>
                  <w:vAlign w:val="center"/>
                </w:tcPr>
                <w:p w14:paraId="0E709A0D">
                  <w:pPr>
                    <w:pStyle w:val="5"/>
                    <w:bidi w:val="0"/>
                    <w:jc w:val="center"/>
                    <w:rPr>
                      <w:rFonts w:hint="eastAsia"/>
                      <w:lang w:val="en-US" w:eastAsia="zh-CN"/>
                    </w:rPr>
                  </w:pPr>
                  <w:r>
                    <w:rPr>
                      <w:rFonts w:hint="eastAsia"/>
                      <w:lang w:val="en-US" w:eastAsia="zh-CN"/>
                    </w:rPr>
                    <w:t>废气</w:t>
                  </w:r>
                </w:p>
              </w:tc>
              <w:tc>
                <w:tcPr>
                  <w:tcW w:w="781" w:type="dxa"/>
                  <w:vMerge w:val="restart"/>
                  <w:tcBorders>
                    <w:tl2br w:val="nil"/>
                    <w:tr2bl w:val="nil"/>
                  </w:tcBorders>
                  <w:noWrap w:val="0"/>
                  <w:vAlign w:val="center"/>
                </w:tcPr>
                <w:p w14:paraId="54ED2B79">
                  <w:pPr>
                    <w:pStyle w:val="5"/>
                    <w:bidi w:val="0"/>
                    <w:rPr>
                      <w:rFonts w:hint="eastAsia"/>
                      <w:lang w:val="en-US" w:eastAsia="zh-CN"/>
                    </w:rPr>
                  </w:pPr>
                  <w:r>
                    <w:rPr>
                      <w:rFonts w:hint="eastAsia"/>
                      <w:lang w:val="en-US" w:eastAsia="zh-CN"/>
                    </w:rPr>
                    <w:t>新建</w:t>
                  </w:r>
                </w:p>
              </w:tc>
            </w:tr>
            <w:tr w14:paraId="0BDB75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noWrap w:val="0"/>
                  <w:vAlign w:val="center"/>
                </w:tcPr>
                <w:p w14:paraId="52CCDCFF">
                  <w:pPr>
                    <w:pStyle w:val="5"/>
                    <w:bidi w:val="0"/>
                  </w:pPr>
                </w:p>
              </w:tc>
              <w:tc>
                <w:tcPr>
                  <w:tcW w:w="553" w:type="dxa"/>
                  <w:vMerge w:val="continue"/>
                  <w:tcBorders>
                    <w:tl2br w:val="nil"/>
                    <w:tr2bl w:val="nil"/>
                  </w:tcBorders>
                  <w:shd w:val="clear" w:color="auto" w:fill="auto"/>
                  <w:noWrap w:val="0"/>
                  <w:vAlign w:val="center"/>
                </w:tcPr>
                <w:p w14:paraId="62A0A82A">
                  <w:pPr>
                    <w:pStyle w:val="5"/>
                    <w:bidi w:val="0"/>
                    <w:jc w:val="center"/>
                    <w:rPr>
                      <w:lang w:val="en-US" w:eastAsia="zh-CN"/>
                    </w:rPr>
                  </w:pPr>
                </w:p>
              </w:tc>
              <w:tc>
                <w:tcPr>
                  <w:tcW w:w="2108" w:type="dxa"/>
                  <w:vMerge w:val="continue"/>
                  <w:tcBorders>
                    <w:tl2br w:val="nil"/>
                    <w:tr2bl w:val="nil"/>
                  </w:tcBorders>
                  <w:noWrap w:val="0"/>
                  <w:vAlign w:val="center"/>
                </w:tcPr>
                <w:p w14:paraId="4D708E07">
                  <w:pPr>
                    <w:pStyle w:val="5"/>
                    <w:bidi w:val="0"/>
                    <w:jc w:val="center"/>
                    <w:rPr>
                      <w:rFonts w:hint="default"/>
                      <w:lang w:val="en-US" w:eastAsia="zh-CN"/>
                    </w:rPr>
                  </w:pPr>
                </w:p>
              </w:tc>
              <w:tc>
                <w:tcPr>
                  <w:tcW w:w="907" w:type="dxa"/>
                  <w:tcBorders>
                    <w:tl2br w:val="nil"/>
                    <w:tr2bl w:val="nil"/>
                  </w:tcBorders>
                  <w:noWrap w:val="0"/>
                  <w:vAlign w:val="center"/>
                </w:tcPr>
                <w:p w14:paraId="55C73A7D">
                  <w:pPr>
                    <w:pStyle w:val="5"/>
                    <w:bidi w:val="0"/>
                    <w:jc w:val="both"/>
                    <w:rPr>
                      <w:rFonts w:hint="eastAsia"/>
                      <w:color w:val="auto"/>
                    </w:rPr>
                  </w:pPr>
                  <w:r>
                    <w:rPr>
                      <w:rFonts w:hint="eastAsia"/>
                      <w:color w:val="auto"/>
                      <w:lang w:val="en-US" w:eastAsia="zh-CN"/>
                    </w:rPr>
                    <w:t>技改前不产生废气，无废气处理措施。</w:t>
                  </w:r>
                </w:p>
              </w:tc>
              <w:tc>
                <w:tcPr>
                  <w:tcW w:w="2215" w:type="dxa"/>
                  <w:tcBorders>
                    <w:tl2br w:val="nil"/>
                    <w:tr2bl w:val="nil"/>
                  </w:tcBorders>
                  <w:shd w:val="clear" w:color="auto" w:fill="auto"/>
                  <w:noWrap w:val="0"/>
                  <w:vAlign w:val="center"/>
                </w:tcPr>
                <w:p w14:paraId="61BF85D4">
                  <w:pPr>
                    <w:pStyle w:val="5"/>
                    <w:bidi w:val="0"/>
                    <w:ind w:firstLine="0" w:firstLineChars="0"/>
                    <w:jc w:val="both"/>
                    <w:rPr>
                      <w:rFonts w:hint="eastAsia" w:ascii="Times New Roman" w:hAnsi="Times New Roman" w:eastAsia="宋体" w:cs="Times New Roman"/>
                      <w:color w:val="auto"/>
                      <w:kern w:val="2"/>
                      <w:sz w:val="21"/>
                      <w:lang w:val="en-US" w:eastAsia="zh-CN" w:bidi="ar-SA"/>
                    </w:rPr>
                  </w:pPr>
                  <w:r>
                    <w:rPr>
                      <w:rFonts w:hint="eastAsia"/>
                      <w:color w:val="auto"/>
                      <w:lang w:val="en-US" w:eastAsia="zh-CN"/>
                    </w:rPr>
                    <w:t>固化废气：安装密闭管道</w:t>
                  </w:r>
                  <w:r>
                    <w:rPr>
                      <w:rFonts w:hint="eastAsia"/>
                      <w:color w:val="auto"/>
                    </w:rPr>
                    <w:t>收集</w:t>
                  </w:r>
                  <w:r>
                    <w:rPr>
                      <w:rFonts w:hint="eastAsia"/>
                      <w:color w:val="auto"/>
                      <w:lang w:val="en-US" w:eastAsia="zh-CN"/>
                    </w:rPr>
                    <w:t>措施</w:t>
                  </w:r>
                  <w:r>
                    <w:rPr>
                      <w:rFonts w:hint="eastAsia"/>
                      <w:color w:val="auto"/>
                    </w:rPr>
                    <w:t>，</w:t>
                  </w:r>
                  <w:r>
                    <w:rPr>
                      <w:rFonts w:hint="eastAsia"/>
                      <w:color w:val="auto"/>
                      <w:lang w:val="en-US" w:eastAsia="zh-CN"/>
                    </w:rPr>
                    <w:t>经</w:t>
                  </w:r>
                  <w:r>
                    <w:rPr>
                      <w:rFonts w:hint="eastAsia"/>
                      <w:color w:val="auto"/>
                    </w:rPr>
                    <w:t>二级活性炭处理装置</w:t>
                  </w:r>
                  <w:r>
                    <w:rPr>
                      <w:rFonts w:hint="eastAsia"/>
                      <w:color w:val="auto"/>
                      <w:lang w:eastAsia="zh-CN"/>
                    </w:rPr>
                    <w:t>（</w:t>
                  </w:r>
                  <w:r>
                    <w:rPr>
                      <w:rFonts w:hint="eastAsia"/>
                      <w:color w:val="auto"/>
                      <w:lang w:val="en-US" w:eastAsia="zh-CN"/>
                    </w:rPr>
                    <w:t>TA001</w:t>
                  </w:r>
                  <w:r>
                    <w:rPr>
                      <w:rFonts w:hint="eastAsia"/>
                      <w:color w:val="auto"/>
                      <w:lang w:eastAsia="zh-CN"/>
                    </w:rPr>
                    <w:t>）。</w:t>
                  </w:r>
                  <w:r>
                    <w:rPr>
                      <w:rFonts w:hint="eastAsia"/>
                      <w:color w:val="auto"/>
                      <w:lang w:val="en-US" w:eastAsia="zh-CN"/>
                    </w:rPr>
                    <w:t>处理后由25m排气筒（DA001）</w:t>
                  </w:r>
                  <w:r>
                    <w:rPr>
                      <w:rFonts w:hint="eastAsia"/>
                      <w:color w:val="auto"/>
                    </w:rPr>
                    <w:t>满足《四川省固定污染源大气挥发性有机物排放标准》（DB51/2377-2017）</w:t>
                  </w:r>
                  <w:r>
                    <w:rPr>
                      <w:rFonts w:hint="eastAsia"/>
                      <w:color w:val="auto"/>
                      <w:lang w:val="en-US" w:eastAsia="zh-CN"/>
                    </w:rPr>
                    <w:t>限值排放</w:t>
                  </w:r>
                  <w:r>
                    <w:rPr>
                      <w:rFonts w:hint="eastAsia"/>
                      <w:color w:val="auto"/>
                    </w:rPr>
                    <w:t>。</w:t>
                  </w:r>
                </w:p>
              </w:tc>
              <w:tc>
                <w:tcPr>
                  <w:tcW w:w="1034" w:type="dxa"/>
                  <w:vMerge w:val="continue"/>
                  <w:tcBorders>
                    <w:tl2br w:val="nil"/>
                    <w:tr2bl w:val="nil"/>
                  </w:tcBorders>
                  <w:noWrap w:val="0"/>
                  <w:vAlign w:val="center"/>
                </w:tcPr>
                <w:p w14:paraId="4C45D6D3">
                  <w:pPr>
                    <w:pStyle w:val="5"/>
                    <w:bidi w:val="0"/>
                  </w:pPr>
                </w:p>
              </w:tc>
              <w:tc>
                <w:tcPr>
                  <w:tcW w:w="753" w:type="dxa"/>
                  <w:vMerge w:val="continue"/>
                  <w:tcBorders>
                    <w:tl2br w:val="nil"/>
                    <w:tr2bl w:val="nil"/>
                  </w:tcBorders>
                  <w:noWrap w:val="0"/>
                  <w:vAlign w:val="center"/>
                </w:tcPr>
                <w:p w14:paraId="338A9845">
                  <w:pPr>
                    <w:pStyle w:val="5"/>
                    <w:bidi w:val="0"/>
                    <w:jc w:val="center"/>
                    <w:rPr>
                      <w:rFonts w:hint="eastAsia"/>
                      <w:lang w:val="en-US" w:eastAsia="zh-CN"/>
                    </w:rPr>
                  </w:pPr>
                </w:p>
              </w:tc>
              <w:tc>
                <w:tcPr>
                  <w:tcW w:w="781" w:type="dxa"/>
                  <w:vMerge w:val="continue"/>
                  <w:tcBorders>
                    <w:tl2br w:val="nil"/>
                    <w:tr2bl w:val="nil"/>
                  </w:tcBorders>
                  <w:noWrap w:val="0"/>
                  <w:vAlign w:val="center"/>
                </w:tcPr>
                <w:p w14:paraId="7D65D7E8">
                  <w:pPr>
                    <w:pStyle w:val="5"/>
                    <w:bidi w:val="0"/>
                    <w:rPr>
                      <w:rFonts w:hint="eastAsia"/>
                      <w:lang w:val="en-US" w:eastAsia="zh-CN"/>
                    </w:rPr>
                  </w:pPr>
                </w:p>
              </w:tc>
            </w:tr>
            <w:tr w14:paraId="414BFE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noWrap w:val="0"/>
                  <w:vAlign w:val="center"/>
                </w:tcPr>
                <w:p w14:paraId="348353B0">
                  <w:pPr>
                    <w:pStyle w:val="5"/>
                    <w:bidi w:val="0"/>
                  </w:pPr>
                </w:p>
              </w:tc>
              <w:tc>
                <w:tcPr>
                  <w:tcW w:w="553" w:type="dxa"/>
                  <w:tcBorders>
                    <w:tl2br w:val="nil"/>
                    <w:tr2bl w:val="nil"/>
                  </w:tcBorders>
                  <w:shd w:val="clear" w:color="auto" w:fill="auto"/>
                  <w:noWrap w:val="0"/>
                  <w:vAlign w:val="center"/>
                </w:tcPr>
                <w:p w14:paraId="3BD640D7">
                  <w:pPr>
                    <w:pStyle w:val="5"/>
                    <w:bidi w:val="0"/>
                    <w:rPr>
                      <w:rFonts w:hint="eastAsia"/>
                      <w:lang w:val="en-US" w:eastAsia="zh-CN"/>
                    </w:rPr>
                  </w:pPr>
                  <w:r>
                    <w:t>噪声</w:t>
                  </w:r>
                  <w:r>
                    <w:rPr>
                      <w:rFonts w:hint="eastAsia"/>
                    </w:rPr>
                    <w:t>治理</w:t>
                  </w:r>
                </w:p>
              </w:tc>
              <w:tc>
                <w:tcPr>
                  <w:tcW w:w="5230" w:type="dxa"/>
                  <w:gridSpan w:val="3"/>
                  <w:tcBorders>
                    <w:tl2br w:val="nil"/>
                    <w:tr2bl w:val="nil"/>
                  </w:tcBorders>
                  <w:noWrap w:val="0"/>
                  <w:vAlign w:val="center"/>
                </w:tcPr>
                <w:p w14:paraId="5478E351">
                  <w:pPr>
                    <w:pStyle w:val="5"/>
                    <w:bidi w:val="0"/>
                    <w:jc w:val="both"/>
                    <w:rPr>
                      <w:rFonts w:hint="eastAsia"/>
                    </w:rPr>
                  </w:pPr>
                  <w:r>
                    <w:rPr>
                      <w:rFonts w:hint="eastAsia"/>
                    </w:rPr>
                    <w:t>主要产噪设备采取合理布局、选择先进低噪设备、建筑隔声、距离衰减进行降噪；</w:t>
                  </w:r>
                  <w:r>
                    <w:rPr>
                      <w:rFonts w:hint="eastAsia"/>
                      <w:lang w:val="en-US" w:eastAsia="zh-CN"/>
                    </w:rPr>
                    <w:t>空压机单独设置在空压机房，新建隔音墙进行降噪。</w:t>
                  </w:r>
                </w:p>
              </w:tc>
              <w:tc>
                <w:tcPr>
                  <w:tcW w:w="1034" w:type="dxa"/>
                  <w:tcBorders>
                    <w:tl2br w:val="nil"/>
                    <w:tr2bl w:val="nil"/>
                  </w:tcBorders>
                  <w:noWrap w:val="0"/>
                  <w:vAlign w:val="center"/>
                </w:tcPr>
                <w:p w14:paraId="7B0EE0F3">
                  <w:pPr>
                    <w:pStyle w:val="5"/>
                    <w:bidi w:val="0"/>
                    <w:rPr>
                      <w:rFonts w:hint="eastAsia" w:eastAsia="宋体"/>
                      <w:lang w:val="en-US" w:eastAsia="zh-CN"/>
                    </w:rPr>
                  </w:pPr>
                  <w:r>
                    <w:rPr>
                      <w:rFonts w:hint="eastAsia"/>
                      <w:lang w:val="en-US" w:eastAsia="zh-CN"/>
                    </w:rPr>
                    <w:t>/</w:t>
                  </w:r>
                </w:p>
              </w:tc>
              <w:tc>
                <w:tcPr>
                  <w:tcW w:w="753" w:type="dxa"/>
                  <w:tcBorders>
                    <w:tl2br w:val="nil"/>
                    <w:tr2bl w:val="nil"/>
                  </w:tcBorders>
                  <w:noWrap w:val="0"/>
                  <w:vAlign w:val="center"/>
                </w:tcPr>
                <w:p w14:paraId="18F64961">
                  <w:pPr>
                    <w:pStyle w:val="5"/>
                    <w:bidi w:val="0"/>
                    <w:jc w:val="center"/>
                    <w:rPr>
                      <w:rFonts w:hint="eastAsia"/>
                      <w:lang w:val="en-US" w:eastAsia="zh-CN"/>
                    </w:rPr>
                  </w:pPr>
                  <w:r>
                    <w:rPr>
                      <w:rFonts w:hint="eastAsia"/>
                      <w:lang w:val="en-US" w:eastAsia="zh-CN"/>
                    </w:rPr>
                    <w:t>噪声</w:t>
                  </w:r>
                </w:p>
              </w:tc>
              <w:tc>
                <w:tcPr>
                  <w:tcW w:w="781" w:type="dxa"/>
                  <w:tcBorders>
                    <w:tl2br w:val="nil"/>
                    <w:tr2bl w:val="nil"/>
                  </w:tcBorders>
                  <w:noWrap w:val="0"/>
                  <w:vAlign w:val="center"/>
                </w:tcPr>
                <w:p w14:paraId="1FBADAB0">
                  <w:pPr>
                    <w:pStyle w:val="5"/>
                    <w:bidi w:val="0"/>
                    <w:rPr>
                      <w:rFonts w:hint="default"/>
                      <w:lang w:val="en-US" w:eastAsia="zh-CN"/>
                    </w:rPr>
                  </w:pPr>
                  <w:r>
                    <w:rPr>
                      <w:rFonts w:hint="eastAsia"/>
                      <w:lang w:val="en-US" w:eastAsia="zh-CN"/>
                    </w:rPr>
                    <w:t>依托、新增</w:t>
                  </w:r>
                </w:p>
              </w:tc>
            </w:tr>
            <w:tr w14:paraId="17344D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80" w:type="dxa"/>
                  <w:vMerge w:val="continue"/>
                  <w:tcBorders>
                    <w:tl2br w:val="nil"/>
                    <w:tr2bl w:val="nil"/>
                  </w:tcBorders>
                  <w:noWrap w:val="0"/>
                  <w:vAlign w:val="center"/>
                </w:tcPr>
                <w:p w14:paraId="7F66CECB">
                  <w:pPr>
                    <w:pStyle w:val="5"/>
                    <w:bidi w:val="0"/>
                  </w:pPr>
                </w:p>
              </w:tc>
              <w:tc>
                <w:tcPr>
                  <w:tcW w:w="553" w:type="dxa"/>
                  <w:vMerge w:val="restart"/>
                  <w:tcBorders>
                    <w:tl2br w:val="nil"/>
                    <w:tr2bl w:val="nil"/>
                  </w:tcBorders>
                  <w:shd w:val="clear" w:color="auto" w:fill="auto"/>
                  <w:noWrap w:val="0"/>
                  <w:vAlign w:val="center"/>
                </w:tcPr>
                <w:p w14:paraId="426874E0">
                  <w:pPr>
                    <w:pStyle w:val="5"/>
                    <w:bidi w:val="0"/>
                    <w:rPr>
                      <w:lang w:val="en-US" w:eastAsia="zh-CN"/>
                    </w:rPr>
                  </w:pPr>
                  <w:r>
                    <w:t>固</w:t>
                  </w:r>
                  <w:r>
                    <w:rPr>
                      <w:rFonts w:hint="eastAsia"/>
                    </w:rPr>
                    <w:t>体废物治理</w:t>
                  </w:r>
                </w:p>
              </w:tc>
              <w:tc>
                <w:tcPr>
                  <w:tcW w:w="2108" w:type="dxa"/>
                  <w:tcBorders>
                    <w:tl2br w:val="nil"/>
                    <w:tr2bl w:val="nil"/>
                  </w:tcBorders>
                  <w:noWrap w:val="0"/>
                  <w:vAlign w:val="center"/>
                </w:tcPr>
                <w:p w14:paraId="681FD3AB">
                  <w:pPr>
                    <w:pStyle w:val="5"/>
                    <w:bidi w:val="0"/>
                    <w:jc w:val="center"/>
                    <w:rPr>
                      <w:rFonts w:hint="default"/>
                      <w:lang w:val="en-US" w:eastAsia="zh-CN"/>
                    </w:rPr>
                  </w:pPr>
                  <w:r>
                    <w:rPr>
                      <w:rFonts w:hint="eastAsia"/>
                      <w:lang w:val="en-US" w:eastAsia="zh-CN"/>
                    </w:rPr>
                    <w:t>生活垃圾</w:t>
                  </w:r>
                </w:p>
              </w:tc>
              <w:tc>
                <w:tcPr>
                  <w:tcW w:w="3122" w:type="dxa"/>
                  <w:gridSpan w:val="2"/>
                  <w:tcBorders>
                    <w:tl2br w:val="nil"/>
                    <w:tr2bl w:val="nil"/>
                  </w:tcBorders>
                  <w:noWrap w:val="0"/>
                  <w:vAlign w:val="center"/>
                </w:tcPr>
                <w:p w14:paraId="574049A5">
                  <w:pPr>
                    <w:pStyle w:val="5"/>
                    <w:bidi w:val="0"/>
                    <w:jc w:val="both"/>
                    <w:rPr>
                      <w:rFonts w:hint="eastAsia"/>
                      <w:lang w:eastAsia="zh-CN"/>
                    </w:rPr>
                  </w:pPr>
                  <w:r>
                    <w:rPr>
                      <w:rFonts w:hint="eastAsia"/>
                      <w:lang w:eastAsia="zh-CN"/>
                    </w:rPr>
                    <w:t>经</w:t>
                  </w:r>
                  <w:r>
                    <w:rPr>
                      <w:rFonts w:hint="eastAsia"/>
                      <w:lang w:val="en-US" w:eastAsia="zh-CN"/>
                    </w:rPr>
                    <w:t>垃圾桶收集</w:t>
                  </w:r>
                  <w:r>
                    <w:rPr>
                      <w:rFonts w:hint="eastAsia"/>
                      <w:lang w:eastAsia="zh-CN"/>
                    </w:rPr>
                    <w:t>后，交由环卫部门统一清运处理。</w:t>
                  </w:r>
                </w:p>
              </w:tc>
              <w:tc>
                <w:tcPr>
                  <w:tcW w:w="1034" w:type="dxa"/>
                  <w:tcBorders>
                    <w:tl2br w:val="nil"/>
                    <w:tr2bl w:val="nil"/>
                  </w:tcBorders>
                  <w:noWrap w:val="0"/>
                  <w:vAlign w:val="center"/>
                </w:tcPr>
                <w:p w14:paraId="0138D9C5">
                  <w:pPr>
                    <w:pStyle w:val="5"/>
                    <w:bidi w:val="0"/>
                    <w:rPr>
                      <w:rFonts w:hint="eastAsia" w:eastAsia="宋体"/>
                      <w:lang w:val="en-US" w:eastAsia="zh-CN"/>
                    </w:rPr>
                  </w:pPr>
                  <w:r>
                    <w:rPr>
                      <w:rFonts w:hint="eastAsia"/>
                      <w:lang w:val="en-US" w:eastAsia="zh-CN"/>
                    </w:rPr>
                    <w:t>/</w:t>
                  </w:r>
                </w:p>
              </w:tc>
              <w:tc>
                <w:tcPr>
                  <w:tcW w:w="753" w:type="dxa"/>
                  <w:tcBorders>
                    <w:tl2br w:val="nil"/>
                    <w:tr2bl w:val="nil"/>
                  </w:tcBorders>
                  <w:noWrap w:val="0"/>
                  <w:vAlign w:val="center"/>
                </w:tcPr>
                <w:p w14:paraId="1C0A765F">
                  <w:pPr>
                    <w:pStyle w:val="5"/>
                    <w:bidi w:val="0"/>
                    <w:jc w:val="center"/>
                    <w:rPr>
                      <w:lang w:val="en-US" w:eastAsia="zh-CN"/>
                    </w:rPr>
                  </w:pPr>
                  <w:r>
                    <w:rPr>
                      <w:rFonts w:hint="eastAsia"/>
                      <w:lang w:val="en-US" w:eastAsia="zh-CN"/>
                    </w:rPr>
                    <w:t>固废</w:t>
                  </w:r>
                </w:p>
              </w:tc>
              <w:tc>
                <w:tcPr>
                  <w:tcW w:w="781" w:type="dxa"/>
                  <w:tcBorders>
                    <w:tl2br w:val="nil"/>
                    <w:tr2bl w:val="nil"/>
                  </w:tcBorders>
                  <w:noWrap w:val="0"/>
                  <w:vAlign w:val="center"/>
                </w:tcPr>
                <w:p w14:paraId="33704148">
                  <w:pPr>
                    <w:pStyle w:val="5"/>
                    <w:bidi w:val="0"/>
                    <w:rPr>
                      <w:rFonts w:hint="default"/>
                      <w:lang w:val="en-US" w:eastAsia="zh-CN"/>
                    </w:rPr>
                  </w:pPr>
                  <w:r>
                    <w:rPr>
                      <w:rFonts w:hint="eastAsia"/>
                      <w:lang w:val="en-US" w:eastAsia="zh-CN"/>
                    </w:rPr>
                    <w:t>依托</w:t>
                  </w:r>
                </w:p>
              </w:tc>
            </w:tr>
            <w:tr w14:paraId="20F06F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80" w:type="dxa"/>
                  <w:vMerge w:val="continue"/>
                  <w:tcBorders>
                    <w:tl2br w:val="nil"/>
                    <w:tr2bl w:val="nil"/>
                  </w:tcBorders>
                  <w:noWrap w:val="0"/>
                  <w:vAlign w:val="center"/>
                </w:tcPr>
                <w:p w14:paraId="5CF76D83">
                  <w:pPr>
                    <w:pStyle w:val="5"/>
                    <w:bidi w:val="0"/>
                  </w:pPr>
                </w:p>
              </w:tc>
              <w:tc>
                <w:tcPr>
                  <w:tcW w:w="553" w:type="dxa"/>
                  <w:vMerge w:val="continue"/>
                  <w:tcBorders>
                    <w:tl2br w:val="nil"/>
                    <w:tr2bl w:val="nil"/>
                  </w:tcBorders>
                  <w:shd w:val="clear" w:color="auto" w:fill="auto"/>
                  <w:noWrap w:val="0"/>
                  <w:vAlign w:val="center"/>
                </w:tcPr>
                <w:p w14:paraId="5998DE3C">
                  <w:pPr>
                    <w:pStyle w:val="5"/>
                    <w:bidi w:val="0"/>
                  </w:pPr>
                </w:p>
              </w:tc>
              <w:tc>
                <w:tcPr>
                  <w:tcW w:w="2108" w:type="dxa"/>
                  <w:tcBorders>
                    <w:tl2br w:val="nil"/>
                    <w:tr2bl w:val="nil"/>
                  </w:tcBorders>
                  <w:noWrap w:val="0"/>
                  <w:vAlign w:val="center"/>
                </w:tcPr>
                <w:p w14:paraId="06F0A14A">
                  <w:pPr>
                    <w:pStyle w:val="5"/>
                    <w:bidi w:val="0"/>
                    <w:jc w:val="center"/>
                    <w:rPr>
                      <w:rFonts w:hint="eastAsia"/>
                      <w:lang w:val="en-US" w:eastAsia="zh-CN"/>
                    </w:rPr>
                  </w:pPr>
                  <w:r>
                    <w:rPr>
                      <w:rFonts w:hint="eastAsia"/>
                      <w:lang w:val="en-US" w:eastAsia="zh-CN"/>
                    </w:rPr>
                    <w:t>一般固体废物</w:t>
                  </w:r>
                </w:p>
              </w:tc>
              <w:tc>
                <w:tcPr>
                  <w:tcW w:w="3122" w:type="dxa"/>
                  <w:gridSpan w:val="2"/>
                  <w:tcBorders>
                    <w:tl2br w:val="nil"/>
                    <w:tr2bl w:val="nil"/>
                  </w:tcBorders>
                  <w:noWrap w:val="0"/>
                  <w:vAlign w:val="center"/>
                </w:tcPr>
                <w:p w14:paraId="50B9BDA8">
                  <w:pPr>
                    <w:pStyle w:val="5"/>
                    <w:bidi w:val="0"/>
                    <w:jc w:val="both"/>
                    <w:rPr>
                      <w:rFonts w:hint="eastAsia"/>
                      <w:color w:val="auto"/>
                      <w:highlight w:val="none"/>
                      <w:lang w:val="en-US" w:eastAsia="zh-CN"/>
                    </w:rPr>
                  </w:pPr>
                  <w:r>
                    <w:rPr>
                      <w:rFonts w:hint="eastAsia"/>
                      <w:color w:val="auto"/>
                      <w:highlight w:val="none"/>
                      <w:lang w:val="en-US" w:eastAsia="zh-CN"/>
                    </w:rPr>
                    <w:t>设置</w:t>
                  </w:r>
                  <w:r>
                    <w:rPr>
                      <w:rFonts w:hint="eastAsia"/>
                      <w:color w:val="auto"/>
                      <w:highlight w:val="none"/>
                    </w:rPr>
                    <w:t>一般固废暂存间（</w:t>
                  </w:r>
                  <w:r>
                    <w:rPr>
                      <w:rFonts w:hint="eastAsia"/>
                      <w:color w:val="auto"/>
                      <w:highlight w:val="none"/>
                      <w:lang w:val="en-US" w:eastAsia="zh-CN"/>
                    </w:rPr>
                    <w:t>约130</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用于储存一般固体废物</w:t>
                  </w:r>
                  <w:r>
                    <w:rPr>
                      <w:rFonts w:hint="eastAsia"/>
                      <w:color w:val="auto"/>
                      <w:highlight w:val="none"/>
                    </w:rPr>
                    <w:t>。</w:t>
                  </w:r>
                </w:p>
              </w:tc>
              <w:tc>
                <w:tcPr>
                  <w:tcW w:w="1034" w:type="dxa"/>
                  <w:tcBorders>
                    <w:tl2br w:val="nil"/>
                    <w:tr2bl w:val="nil"/>
                  </w:tcBorders>
                  <w:noWrap w:val="0"/>
                  <w:vAlign w:val="center"/>
                </w:tcPr>
                <w:p w14:paraId="42FE6B50">
                  <w:pPr>
                    <w:pStyle w:val="5"/>
                    <w:bidi w:val="0"/>
                    <w:rPr>
                      <w:rFonts w:hint="eastAsia" w:eastAsia="宋体"/>
                      <w:lang w:val="en-US" w:eastAsia="zh-CN"/>
                    </w:rPr>
                  </w:pPr>
                  <w:r>
                    <w:rPr>
                      <w:rFonts w:hint="eastAsia"/>
                      <w:lang w:val="en-US" w:eastAsia="zh-CN"/>
                    </w:rPr>
                    <w:t>/</w:t>
                  </w:r>
                </w:p>
              </w:tc>
              <w:tc>
                <w:tcPr>
                  <w:tcW w:w="753" w:type="dxa"/>
                  <w:tcBorders>
                    <w:tl2br w:val="nil"/>
                    <w:tr2bl w:val="nil"/>
                  </w:tcBorders>
                  <w:shd w:val="clear" w:color="auto" w:fill="auto"/>
                  <w:noWrap w:val="0"/>
                  <w:vAlign w:val="center"/>
                </w:tcPr>
                <w:p w14:paraId="63D0A866">
                  <w:pPr>
                    <w:pStyle w:val="5"/>
                    <w:bidi w:val="0"/>
                    <w:jc w:val="center"/>
                    <w:rPr>
                      <w:rFonts w:hint="eastAsia"/>
                      <w:lang w:val="en-US" w:eastAsia="zh-CN"/>
                    </w:rPr>
                  </w:pPr>
                  <w:r>
                    <w:rPr>
                      <w:rFonts w:hint="eastAsia"/>
                      <w:lang w:val="en-US" w:eastAsia="zh-CN"/>
                    </w:rPr>
                    <w:t>固废</w:t>
                  </w:r>
                </w:p>
              </w:tc>
              <w:tc>
                <w:tcPr>
                  <w:tcW w:w="781" w:type="dxa"/>
                  <w:tcBorders>
                    <w:tl2br w:val="nil"/>
                    <w:tr2bl w:val="nil"/>
                  </w:tcBorders>
                  <w:shd w:val="clear" w:color="auto" w:fill="auto"/>
                  <w:noWrap w:val="0"/>
                  <w:vAlign w:val="center"/>
                </w:tcPr>
                <w:p w14:paraId="669439DB">
                  <w:pPr>
                    <w:pStyle w:val="5"/>
                    <w:bidi w:val="0"/>
                    <w:rPr>
                      <w:rFonts w:hint="eastAsia"/>
                      <w:lang w:val="en-US" w:eastAsia="zh-CN"/>
                    </w:rPr>
                  </w:pPr>
                  <w:r>
                    <w:rPr>
                      <w:rFonts w:hint="eastAsia"/>
                      <w:lang w:val="en-US" w:eastAsia="zh-CN"/>
                    </w:rPr>
                    <w:t>依托</w:t>
                  </w:r>
                </w:p>
              </w:tc>
            </w:tr>
            <w:tr w14:paraId="1B0547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480" w:type="dxa"/>
                  <w:vMerge w:val="continue"/>
                  <w:tcBorders>
                    <w:tl2br w:val="nil"/>
                    <w:tr2bl w:val="nil"/>
                  </w:tcBorders>
                  <w:noWrap w:val="0"/>
                  <w:vAlign w:val="center"/>
                </w:tcPr>
                <w:p w14:paraId="60744C14">
                  <w:pPr>
                    <w:pStyle w:val="5"/>
                    <w:bidi w:val="0"/>
                  </w:pPr>
                </w:p>
              </w:tc>
              <w:tc>
                <w:tcPr>
                  <w:tcW w:w="553" w:type="dxa"/>
                  <w:vMerge w:val="continue"/>
                  <w:tcBorders>
                    <w:tl2br w:val="nil"/>
                    <w:tr2bl w:val="nil"/>
                  </w:tcBorders>
                  <w:shd w:val="clear" w:color="auto" w:fill="auto"/>
                  <w:noWrap w:val="0"/>
                  <w:vAlign w:val="center"/>
                </w:tcPr>
                <w:p w14:paraId="410A6C59">
                  <w:pPr>
                    <w:pStyle w:val="5"/>
                    <w:bidi w:val="0"/>
                  </w:pPr>
                </w:p>
              </w:tc>
              <w:tc>
                <w:tcPr>
                  <w:tcW w:w="2108" w:type="dxa"/>
                  <w:tcBorders>
                    <w:tl2br w:val="nil"/>
                    <w:tr2bl w:val="nil"/>
                  </w:tcBorders>
                  <w:noWrap w:val="0"/>
                  <w:vAlign w:val="center"/>
                </w:tcPr>
                <w:p w14:paraId="52BA2439">
                  <w:pPr>
                    <w:pStyle w:val="5"/>
                    <w:bidi w:val="0"/>
                    <w:jc w:val="center"/>
                    <w:rPr>
                      <w:rFonts w:hint="eastAsia"/>
                      <w:lang w:val="en-US" w:eastAsia="zh-CN"/>
                    </w:rPr>
                  </w:pPr>
                  <w:r>
                    <w:rPr>
                      <w:rFonts w:hint="eastAsia"/>
                      <w:lang w:val="en-US" w:eastAsia="zh-CN"/>
                    </w:rPr>
                    <w:t>危险废物</w:t>
                  </w:r>
                </w:p>
              </w:tc>
              <w:tc>
                <w:tcPr>
                  <w:tcW w:w="3122" w:type="dxa"/>
                  <w:gridSpan w:val="2"/>
                  <w:tcBorders>
                    <w:tl2br w:val="nil"/>
                    <w:tr2bl w:val="nil"/>
                  </w:tcBorders>
                  <w:noWrap w:val="0"/>
                  <w:vAlign w:val="center"/>
                </w:tcPr>
                <w:p w14:paraId="01629D8D">
                  <w:pPr>
                    <w:pStyle w:val="5"/>
                    <w:bidi w:val="0"/>
                    <w:jc w:val="both"/>
                    <w:rPr>
                      <w:rFonts w:hint="eastAsia"/>
                      <w:color w:val="auto"/>
                      <w:highlight w:val="none"/>
                      <w:lang w:val="en-US" w:eastAsia="zh-CN"/>
                    </w:rPr>
                  </w:pPr>
                  <w:r>
                    <w:rPr>
                      <w:rFonts w:hint="eastAsia"/>
                      <w:color w:val="auto"/>
                      <w:highlight w:val="none"/>
                      <w:lang w:val="en-US" w:eastAsia="zh-CN"/>
                    </w:rPr>
                    <w:t>设置危废暂存间</w:t>
                  </w:r>
                  <w:r>
                    <w:rPr>
                      <w:rFonts w:hint="eastAsia"/>
                      <w:color w:val="auto"/>
                      <w:highlight w:val="none"/>
                      <w:lang w:eastAsia="zh-CN"/>
                    </w:rPr>
                    <w:t>（</w:t>
                  </w:r>
                  <w:r>
                    <w:rPr>
                      <w:rFonts w:hint="eastAsia"/>
                      <w:color w:val="auto"/>
                      <w:highlight w:val="none"/>
                      <w:lang w:val="en-US" w:eastAsia="zh-CN"/>
                    </w:rPr>
                    <w:t>约20</w:t>
                  </w:r>
                  <w:r>
                    <w:rPr>
                      <w:rFonts w:hint="eastAsia"/>
                      <w:color w:val="auto"/>
                      <w:highlight w:val="none"/>
                    </w:rPr>
                    <w:t>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用于储存危险废物</w:t>
                  </w:r>
                  <w:r>
                    <w:rPr>
                      <w:rFonts w:hint="eastAsia"/>
                      <w:color w:val="auto"/>
                      <w:highlight w:val="none"/>
                    </w:rPr>
                    <w:t>，</w:t>
                  </w:r>
                  <w:r>
                    <w:rPr>
                      <w:rFonts w:hint="eastAsia"/>
                      <w:lang w:val="en-US" w:eastAsia="zh-CN"/>
                    </w:rPr>
                    <w:t>已</w:t>
                  </w:r>
                  <w:r>
                    <w:rPr>
                      <w:rFonts w:hint="eastAsia"/>
                      <w:color w:val="auto"/>
                      <w:highlight w:val="none"/>
                      <w:lang w:val="en-US" w:eastAsia="zh-CN"/>
                    </w:rPr>
                    <w:t>进行重点防渗</w:t>
                  </w:r>
                  <w:r>
                    <w:rPr>
                      <w:rFonts w:hint="eastAsia"/>
                      <w:color w:val="auto"/>
                      <w:highlight w:val="none"/>
                    </w:rPr>
                    <w:t>。</w:t>
                  </w:r>
                </w:p>
              </w:tc>
              <w:tc>
                <w:tcPr>
                  <w:tcW w:w="1034" w:type="dxa"/>
                  <w:tcBorders>
                    <w:tl2br w:val="nil"/>
                    <w:tr2bl w:val="nil"/>
                  </w:tcBorders>
                  <w:noWrap w:val="0"/>
                  <w:vAlign w:val="center"/>
                </w:tcPr>
                <w:p w14:paraId="655A2F9A">
                  <w:pPr>
                    <w:pStyle w:val="5"/>
                    <w:bidi w:val="0"/>
                    <w:rPr>
                      <w:rFonts w:hint="eastAsia" w:eastAsia="宋体"/>
                      <w:lang w:val="en-US" w:eastAsia="zh-CN"/>
                    </w:rPr>
                  </w:pPr>
                  <w:r>
                    <w:rPr>
                      <w:rFonts w:hint="eastAsia"/>
                      <w:lang w:val="en-US" w:eastAsia="zh-CN"/>
                    </w:rPr>
                    <w:t>/</w:t>
                  </w:r>
                </w:p>
              </w:tc>
              <w:tc>
                <w:tcPr>
                  <w:tcW w:w="753" w:type="dxa"/>
                  <w:tcBorders>
                    <w:tl2br w:val="nil"/>
                    <w:tr2bl w:val="nil"/>
                  </w:tcBorders>
                  <w:shd w:val="clear" w:color="auto" w:fill="auto"/>
                  <w:noWrap w:val="0"/>
                  <w:vAlign w:val="center"/>
                </w:tcPr>
                <w:p w14:paraId="3E600B68">
                  <w:pPr>
                    <w:pStyle w:val="5"/>
                    <w:bidi w:val="0"/>
                    <w:jc w:val="center"/>
                    <w:rPr>
                      <w:rFonts w:hint="eastAsia"/>
                      <w:lang w:val="en-US" w:eastAsia="zh-CN"/>
                    </w:rPr>
                  </w:pPr>
                  <w:r>
                    <w:rPr>
                      <w:rFonts w:hint="eastAsia"/>
                      <w:lang w:val="en-US" w:eastAsia="zh-CN"/>
                    </w:rPr>
                    <w:t>固废</w:t>
                  </w:r>
                </w:p>
              </w:tc>
              <w:tc>
                <w:tcPr>
                  <w:tcW w:w="781" w:type="dxa"/>
                  <w:tcBorders>
                    <w:tl2br w:val="nil"/>
                    <w:tr2bl w:val="nil"/>
                  </w:tcBorders>
                  <w:shd w:val="clear" w:color="auto" w:fill="auto"/>
                  <w:noWrap w:val="0"/>
                  <w:vAlign w:val="center"/>
                </w:tcPr>
                <w:p w14:paraId="12162FA5">
                  <w:pPr>
                    <w:pStyle w:val="5"/>
                    <w:bidi w:val="0"/>
                    <w:rPr>
                      <w:rFonts w:hint="default"/>
                      <w:lang w:val="en-US" w:eastAsia="zh-CN"/>
                    </w:rPr>
                  </w:pPr>
                  <w:r>
                    <w:rPr>
                      <w:rFonts w:hint="eastAsia"/>
                      <w:lang w:val="en-US" w:eastAsia="zh-CN"/>
                    </w:rPr>
                    <w:t>新建</w:t>
                  </w:r>
                </w:p>
              </w:tc>
            </w:tr>
            <w:tr w14:paraId="40278E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80" w:type="dxa"/>
                  <w:vMerge w:val="continue"/>
                  <w:tcBorders>
                    <w:tl2br w:val="nil"/>
                    <w:tr2bl w:val="nil"/>
                  </w:tcBorders>
                  <w:noWrap w:val="0"/>
                  <w:vAlign w:val="center"/>
                </w:tcPr>
                <w:p w14:paraId="3D991498">
                  <w:pPr>
                    <w:pStyle w:val="5"/>
                    <w:bidi w:val="0"/>
                  </w:pPr>
                </w:p>
              </w:tc>
              <w:tc>
                <w:tcPr>
                  <w:tcW w:w="553" w:type="dxa"/>
                  <w:tcBorders>
                    <w:tl2br w:val="nil"/>
                    <w:tr2bl w:val="nil"/>
                  </w:tcBorders>
                  <w:shd w:val="clear" w:color="auto" w:fill="auto"/>
                  <w:noWrap w:val="0"/>
                  <w:vAlign w:val="center"/>
                </w:tcPr>
                <w:p w14:paraId="51E0B459">
                  <w:pPr>
                    <w:pStyle w:val="5"/>
                    <w:bidi w:val="0"/>
                    <w:rPr>
                      <w:lang w:val="en-US" w:eastAsia="zh-CN"/>
                    </w:rPr>
                  </w:pPr>
                  <w:r>
                    <w:rPr>
                      <w:rFonts w:hint="eastAsia"/>
                    </w:rPr>
                    <w:t>地下水和土壤防治</w:t>
                  </w:r>
                </w:p>
              </w:tc>
              <w:tc>
                <w:tcPr>
                  <w:tcW w:w="5230" w:type="dxa"/>
                  <w:gridSpan w:val="3"/>
                  <w:tcBorders>
                    <w:tl2br w:val="nil"/>
                    <w:tr2bl w:val="nil"/>
                  </w:tcBorders>
                  <w:noWrap w:val="0"/>
                  <w:vAlign w:val="center"/>
                </w:tcPr>
                <w:p w14:paraId="0DA95547">
                  <w:pPr>
                    <w:pStyle w:val="5"/>
                    <w:bidi w:val="0"/>
                    <w:jc w:val="both"/>
                    <w:rPr>
                      <w:rFonts w:hint="eastAsia"/>
                      <w:lang w:val="en-US" w:eastAsia="zh-CN"/>
                    </w:rPr>
                  </w:pPr>
                  <w:r>
                    <w:rPr>
                      <w:rFonts w:hint="eastAsia"/>
                      <w:lang w:val="en-US" w:eastAsia="zh-CN"/>
                    </w:rPr>
                    <w:t>厂房地面目前</w:t>
                  </w:r>
                  <w:r>
                    <w:t>采取</w:t>
                  </w:r>
                  <w:r>
                    <w:rPr>
                      <w:rFonts w:hint="eastAsia"/>
                      <w:lang w:val="en-US" w:eastAsia="zh-CN"/>
                    </w:rPr>
                    <w:t>混凝土固化，加涂刷2mm环氧树脂的防渗方式，依托原有防渗方式，不改变</w:t>
                  </w:r>
                  <w:r>
                    <w:t>。</w:t>
                  </w:r>
                </w:p>
              </w:tc>
              <w:tc>
                <w:tcPr>
                  <w:tcW w:w="1034" w:type="dxa"/>
                  <w:tcBorders>
                    <w:tl2br w:val="nil"/>
                    <w:tr2bl w:val="nil"/>
                  </w:tcBorders>
                  <w:noWrap w:val="0"/>
                  <w:vAlign w:val="center"/>
                </w:tcPr>
                <w:p w14:paraId="1337659F">
                  <w:pPr>
                    <w:pStyle w:val="5"/>
                    <w:bidi w:val="0"/>
                    <w:rPr>
                      <w:rFonts w:hint="eastAsia" w:eastAsia="宋体"/>
                      <w:lang w:val="en-US" w:eastAsia="zh-CN"/>
                    </w:rPr>
                  </w:pPr>
                  <w:r>
                    <w:rPr>
                      <w:rFonts w:hint="eastAsia"/>
                      <w:lang w:val="en-US" w:eastAsia="zh-CN"/>
                    </w:rPr>
                    <w:t>/</w:t>
                  </w:r>
                </w:p>
              </w:tc>
              <w:tc>
                <w:tcPr>
                  <w:tcW w:w="753" w:type="dxa"/>
                  <w:tcBorders>
                    <w:tl2br w:val="nil"/>
                    <w:tr2bl w:val="nil"/>
                  </w:tcBorders>
                  <w:noWrap w:val="0"/>
                  <w:vAlign w:val="center"/>
                </w:tcPr>
                <w:p w14:paraId="64C5E43C">
                  <w:pPr>
                    <w:pStyle w:val="5"/>
                    <w:bidi w:val="0"/>
                    <w:jc w:val="both"/>
                    <w:rPr>
                      <w:rFonts w:hint="eastAsia"/>
                      <w:lang w:val="en-US" w:eastAsia="zh-CN"/>
                    </w:rPr>
                  </w:pPr>
                  <w:r>
                    <w:rPr>
                      <w:rFonts w:hint="eastAsia"/>
                      <w:lang w:val="en-US" w:eastAsia="zh-CN"/>
                    </w:rPr>
                    <w:t>地下水、土壤污染</w:t>
                  </w:r>
                </w:p>
              </w:tc>
              <w:tc>
                <w:tcPr>
                  <w:tcW w:w="781" w:type="dxa"/>
                  <w:tcBorders>
                    <w:tl2br w:val="nil"/>
                    <w:tr2bl w:val="nil"/>
                  </w:tcBorders>
                  <w:noWrap w:val="0"/>
                  <w:vAlign w:val="center"/>
                </w:tcPr>
                <w:p w14:paraId="2BBD2841">
                  <w:pPr>
                    <w:pStyle w:val="5"/>
                    <w:bidi w:val="0"/>
                    <w:rPr>
                      <w:rFonts w:hint="eastAsia"/>
                      <w:lang w:val="en-US" w:eastAsia="zh-CN"/>
                    </w:rPr>
                  </w:pPr>
                  <w:r>
                    <w:rPr>
                      <w:rFonts w:hint="eastAsia"/>
                      <w:lang w:val="en-US" w:eastAsia="zh-CN"/>
                    </w:rPr>
                    <w:t>依托</w:t>
                  </w:r>
                </w:p>
              </w:tc>
            </w:tr>
            <w:tr w14:paraId="478907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80" w:type="dxa"/>
                  <w:vMerge w:val="continue"/>
                  <w:tcBorders>
                    <w:tl2br w:val="nil"/>
                    <w:tr2bl w:val="nil"/>
                  </w:tcBorders>
                  <w:noWrap w:val="0"/>
                  <w:vAlign w:val="center"/>
                </w:tcPr>
                <w:p w14:paraId="4BDF8542">
                  <w:pPr>
                    <w:pStyle w:val="5"/>
                    <w:bidi w:val="0"/>
                  </w:pPr>
                </w:p>
              </w:tc>
              <w:tc>
                <w:tcPr>
                  <w:tcW w:w="553" w:type="dxa"/>
                  <w:tcBorders>
                    <w:tl2br w:val="nil"/>
                    <w:tr2bl w:val="nil"/>
                  </w:tcBorders>
                  <w:shd w:val="clear" w:color="auto" w:fill="auto"/>
                  <w:noWrap w:val="0"/>
                  <w:vAlign w:val="center"/>
                </w:tcPr>
                <w:p w14:paraId="0C9740E4">
                  <w:pPr>
                    <w:pStyle w:val="5"/>
                    <w:bidi w:val="0"/>
                    <w:rPr>
                      <w:rFonts w:hint="eastAsia" w:eastAsia="宋体"/>
                      <w:lang w:val="en-US" w:eastAsia="zh-CN"/>
                    </w:rPr>
                  </w:pPr>
                  <w:r>
                    <w:rPr>
                      <w:rFonts w:hint="eastAsia"/>
                      <w:lang w:val="en-US" w:eastAsia="zh-CN"/>
                    </w:rPr>
                    <w:t>环境风险</w:t>
                  </w:r>
                </w:p>
              </w:tc>
              <w:tc>
                <w:tcPr>
                  <w:tcW w:w="5230" w:type="dxa"/>
                  <w:gridSpan w:val="3"/>
                  <w:tcBorders>
                    <w:tl2br w:val="nil"/>
                    <w:tr2bl w:val="nil"/>
                  </w:tcBorders>
                  <w:noWrap w:val="0"/>
                  <w:vAlign w:val="center"/>
                </w:tcPr>
                <w:p w14:paraId="723EDCC0">
                  <w:pPr>
                    <w:pStyle w:val="5"/>
                    <w:bidi w:val="0"/>
                    <w:jc w:val="both"/>
                    <w:rPr>
                      <w:rFonts w:hint="eastAsia"/>
                      <w:lang w:val="en-US" w:eastAsia="zh-CN"/>
                    </w:rPr>
                  </w:pPr>
                  <w:r>
                    <w:rPr>
                      <w:rFonts w:hint="eastAsia"/>
                      <w:lang w:val="en-US" w:eastAsia="zh-CN"/>
                    </w:rPr>
                    <w:t>根据防渗分区严格落实防渗措施；对工作员工进行上岗培训与安全防护培训。</w:t>
                  </w:r>
                </w:p>
              </w:tc>
              <w:tc>
                <w:tcPr>
                  <w:tcW w:w="1034" w:type="dxa"/>
                  <w:tcBorders>
                    <w:tl2br w:val="nil"/>
                    <w:tr2bl w:val="nil"/>
                  </w:tcBorders>
                  <w:noWrap w:val="0"/>
                  <w:vAlign w:val="center"/>
                </w:tcPr>
                <w:p w14:paraId="20980C28">
                  <w:pPr>
                    <w:pStyle w:val="5"/>
                    <w:bidi w:val="0"/>
                    <w:rPr>
                      <w:rFonts w:hint="eastAsia" w:eastAsia="宋体"/>
                      <w:lang w:val="en-US" w:eastAsia="zh-CN"/>
                    </w:rPr>
                  </w:pPr>
                  <w:r>
                    <w:rPr>
                      <w:rFonts w:hint="eastAsia"/>
                      <w:lang w:val="en-US" w:eastAsia="zh-CN"/>
                    </w:rPr>
                    <w:t>/</w:t>
                  </w:r>
                </w:p>
              </w:tc>
              <w:tc>
                <w:tcPr>
                  <w:tcW w:w="753" w:type="dxa"/>
                  <w:tcBorders>
                    <w:tl2br w:val="nil"/>
                    <w:tr2bl w:val="nil"/>
                  </w:tcBorders>
                  <w:noWrap w:val="0"/>
                  <w:vAlign w:val="center"/>
                </w:tcPr>
                <w:p w14:paraId="1E2040B0">
                  <w:pPr>
                    <w:pStyle w:val="5"/>
                    <w:bidi w:val="0"/>
                    <w:jc w:val="center"/>
                    <w:rPr>
                      <w:rFonts w:hint="eastAsia"/>
                      <w:lang w:val="en-US" w:eastAsia="zh-CN"/>
                    </w:rPr>
                  </w:pPr>
                  <w:r>
                    <w:rPr>
                      <w:rFonts w:hint="eastAsia"/>
                      <w:lang w:val="en-US" w:eastAsia="zh-CN"/>
                    </w:rPr>
                    <w:t>环境风险</w:t>
                  </w:r>
                </w:p>
              </w:tc>
              <w:tc>
                <w:tcPr>
                  <w:tcW w:w="781" w:type="dxa"/>
                  <w:tcBorders>
                    <w:tl2br w:val="nil"/>
                    <w:tr2bl w:val="nil"/>
                  </w:tcBorders>
                  <w:noWrap w:val="0"/>
                  <w:vAlign w:val="center"/>
                </w:tcPr>
                <w:p w14:paraId="0C64B60F">
                  <w:pPr>
                    <w:pStyle w:val="5"/>
                    <w:bidi w:val="0"/>
                    <w:jc w:val="both"/>
                    <w:rPr>
                      <w:rFonts w:hint="eastAsia"/>
                      <w:lang w:val="en-US" w:eastAsia="zh-CN"/>
                    </w:rPr>
                  </w:pPr>
                  <w:r>
                    <w:rPr>
                      <w:rFonts w:hint="eastAsia" w:ascii="Times New Roman" w:hAnsi="Times New Roman" w:eastAsia="宋体" w:cs="Times New Roman"/>
                      <w:lang w:val="en-US" w:eastAsia="zh-CN"/>
                    </w:rPr>
                    <w:t>依托、新</w:t>
                  </w:r>
                  <w:r>
                    <w:rPr>
                      <w:rFonts w:hint="eastAsia" w:cs="Times New Roman"/>
                      <w:lang w:val="en-US" w:eastAsia="zh-CN"/>
                    </w:rPr>
                    <w:t>增</w:t>
                  </w:r>
                </w:p>
              </w:tc>
            </w:tr>
          </w:tbl>
          <w:p w14:paraId="6F16C115">
            <w:pPr>
              <w:pStyle w:val="38"/>
              <w:ind w:firstLine="482"/>
              <w:rPr>
                <w:rFonts w:hint="eastAsia" w:eastAsia="宋体"/>
                <w:b/>
                <w:bCs/>
                <w:color w:val="auto"/>
                <w:lang w:eastAsia="zh-CN"/>
              </w:rPr>
            </w:pPr>
            <w:r>
              <w:rPr>
                <w:rFonts w:hint="eastAsia"/>
                <w:b/>
                <w:bCs/>
                <w:color w:val="auto"/>
              </w:rPr>
              <w:t>公辅工程及辅助设施</w:t>
            </w:r>
            <w:r>
              <w:rPr>
                <w:rFonts w:hint="eastAsia"/>
                <w:b/>
                <w:bCs/>
                <w:color w:val="auto"/>
                <w:lang w:eastAsia="zh-CN"/>
              </w:rPr>
              <w:t>：</w:t>
            </w:r>
          </w:p>
          <w:p w14:paraId="7525A12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（1）本项目依托达州市农产品加工集中区公辅设施及环保设施可行性</w:t>
            </w:r>
          </w:p>
          <w:p w14:paraId="4D9DC22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本项目租赁厂房位于</w:t>
            </w:r>
            <w:r>
              <w:rPr>
                <w:rFonts w:hint="eastAsia" w:eastAsia="宋体" w:cs="Times New Roman"/>
                <w:color w:val="auto"/>
                <w:sz w:val="24"/>
                <w:highlight w:val="none"/>
                <w:lang w:val="en-US" w:eastAsia="zh-CN"/>
              </w:rPr>
              <w:t>达州市通川区</w:t>
            </w:r>
            <w:r>
              <w:rPr>
                <w:rFonts w:hint="eastAsia"/>
                <w:kern w:val="2"/>
                <w:szCs w:val="32"/>
                <w:lang w:val="en-US" w:eastAsia="zh-CN"/>
              </w:rPr>
              <w:t>经济开发区魏兴大道1号</w:t>
            </w:r>
            <w:r>
              <w:rPr>
                <w:rFonts w:hint="default" w:ascii="Times New Roman" w:hAnsi="Times New Roman" w:eastAsia="宋体" w:cs="Times New Roman"/>
                <w:color w:val="auto"/>
                <w:sz w:val="24"/>
                <w:highlight w:val="none"/>
              </w:rPr>
              <w:t>，园区内道路完善，交通便利，水、电、气均已接通，能满足本项目的需要。园区雨、污管网已建成，废水通过污水管网可进入</w:t>
            </w:r>
            <w:r>
              <w:rPr>
                <w:rFonts w:hint="eastAsia" w:eastAsia="宋体" w:cs="Times New Roman"/>
                <w:color w:val="auto"/>
                <w:sz w:val="24"/>
                <w:highlight w:val="none"/>
                <w:lang w:val="en-US" w:eastAsia="zh-CN"/>
              </w:rPr>
              <w:t>魏兴</w:t>
            </w:r>
            <w:r>
              <w:rPr>
                <w:rFonts w:hint="eastAsia" w:cs="Times New Roman"/>
                <w:color w:val="auto"/>
                <w:sz w:val="24"/>
                <w:highlight w:val="none"/>
                <w:lang w:val="en-US" w:eastAsia="zh-CN"/>
              </w:rPr>
              <w:t>场镇</w:t>
            </w:r>
            <w:r>
              <w:rPr>
                <w:rFonts w:hint="default" w:ascii="Times New Roman" w:hAnsi="Times New Roman" w:eastAsia="宋体" w:cs="Times New Roman"/>
                <w:color w:val="auto"/>
                <w:sz w:val="24"/>
                <w:highlight w:val="none"/>
              </w:rPr>
              <w:t>污水处理厂处理达标后，最终汇入</w:t>
            </w:r>
            <w:r>
              <w:rPr>
                <w:rFonts w:hint="eastAsia" w:eastAsia="宋体" w:cs="Times New Roman"/>
                <w:color w:val="auto"/>
                <w:sz w:val="24"/>
                <w:highlight w:val="none"/>
                <w:lang w:val="en-US" w:eastAsia="zh-CN"/>
              </w:rPr>
              <w:t>州河</w:t>
            </w:r>
            <w:r>
              <w:rPr>
                <w:rFonts w:hint="default" w:ascii="Times New Roman" w:hAnsi="Times New Roman" w:eastAsia="宋体" w:cs="Times New Roman"/>
                <w:color w:val="auto"/>
                <w:sz w:val="24"/>
                <w:highlight w:val="none"/>
              </w:rPr>
              <w:t>。项目依托园区公辅设施及环保设施可行性分析见下表。</w:t>
            </w:r>
          </w:p>
          <w:p w14:paraId="30762D56">
            <w:pPr>
              <w:pStyle w:val="7"/>
              <w:ind w:left="0"/>
              <w:jc w:val="center"/>
              <w:rPr>
                <w:rFonts w:hint="default"/>
              </w:rPr>
            </w:pPr>
            <w:r>
              <w:rPr>
                <w:rFonts w:hint="eastAsia"/>
                <w:lang w:val="en-US" w:eastAsia="zh-CN"/>
              </w:rPr>
              <w:t xml:space="preserve">表2-3  </w:t>
            </w:r>
            <w:r>
              <w:rPr>
                <w:rFonts w:hint="default"/>
              </w:rPr>
              <w:t>本项目依托园区公辅设施及环保设施可行性分析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281"/>
              <w:gridCol w:w="1159"/>
              <w:gridCol w:w="4586"/>
              <w:gridCol w:w="1030"/>
            </w:tblGrid>
            <w:tr w14:paraId="20266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445" w:type="pct"/>
                  <w:noWrap w:val="0"/>
                  <w:vAlign w:val="center"/>
                </w:tcPr>
                <w:p w14:paraId="30D6261C">
                  <w:pPr>
                    <w:pStyle w:val="5"/>
                    <w:adjustRightInd w:val="0"/>
                    <w:snapToGrid w:val="0"/>
                    <w:jc w:val="center"/>
                    <w:rPr>
                      <w:rFonts w:hint="default"/>
                      <w:b/>
                      <w:bCs/>
                    </w:rPr>
                  </w:pPr>
                  <w:r>
                    <w:rPr>
                      <w:rFonts w:hint="default"/>
                      <w:b/>
                      <w:bCs/>
                    </w:rPr>
                    <w:t>序号</w:t>
                  </w:r>
                </w:p>
              </w:tc>
              <w:tc>
                <w:tcPr>
                  <w:tcW w:w="724" w:type="pct"/>
                  <w:noWrap w:val="0"/>
                  <w:vAlign w:val="center"/>
                </w:tcPr>
                <w:p w14:paraId="68D68716">
                  <w:pPr>
                    <w:pStyle w:val="5"/>
                    <w:adjustRightInd w:val="0"/>
                    <w:snapToGrid w:val="0"/>
                    <w:jc w:val="center"/>
                    <w:rPr>
                      <w:rFonts w:hint="default"/>
                      <w:b/>
                      <w:bCs/>
                    </w:rPr>
                  </w:pPr>
                  <w:r>
                    <w:rPr>
                      <w:rFonts w:hint="default"/>
                      <w:b/>
                      <w:bCs/>
                    </w:rPr>
                    <w:t>依托内容</w:t>
                  </w:r>
                </w:p>
              </w:tc>
              <w:tc>
                <w:tcPr>
                  <w:tcW w:w="655" w:type="pct"/>
                  <w:noWrap w:val="0"/>
                  <w:vAlign w:val="center"/>
                </w:tcPr>
                <w:p w14:paraId="0F6B3239">
                  <w:pPr>
                    <w:pStyle w:val="5"/>
                    <w:adjustRightInd w:val="0"/>
                    <w:snapToGrid w:val="0"/>
                    <w:jc w:val="center"/>
                    <w:rPr>
                      <w:rFonts w:hint="default"/>
                      <w:b/>
                      <w:bCs/>
                    </w:rPr>
                  </w:pPr>
                  <w:r>
                    <w:rPr>
                      <w:rFonts w:hint="default"/>
                      <w:b/>
                      <w:bCs/>
                    </w:rPr>
                    <w:t>依托设施</w:t>
                  </w:r>
                </w:p>
              </w:tc>
              <w:tc>
                <w:tcPr>
                  <w:tcW w:w="2592" w:type="pct"/>
                  <w:noWrap w:val="0"/>
                  <w:vAlign w:val="center"/>
                </w:tcPr>
                <w:p w14:paraId="3F953CBF">
                  <w:pPr>
                    <w:pStyle w:val="5"/>
                    <w:adjustRightInd w:val="0"/>
                    <w:snapToGrid w:val="0"/>
                    <w:jc w:val="center"/>
                    <w:rPr>
                      <w:rFonts w:hint="default"/>
                      <w:b/>
                      <w:bCs/>
                    </w:rPr>
                  </w:pPr>
                  <w:r>
                    <w:rPr>
                      <w:rFonts w:hint="default"/>
                      <w:b/>
                      <w:bCs/>
                    </w:rPr>
                    <w:t>依托情况</w:t>
                  </w:r>
                </w:p>
              </w:tc>
              <w:tc>
                <w:tcPr>
                  <w:tcW w:w="582" w:type="pct"/>
                  <w:noWrap w:val="0"/>
                  <w:vAlign w:val="center"/>
                </w:tcPr>
                <w:p w14:paraId="1FA4D78D">
                  <w:pPr>
                    <w:pStyle w:val="5"/>
                    <w:adjustRightInd w:val="0"/>
                    <w:snapToGrid w:val="0"/>
                    <w:jc w:val="center"/>
                    <w:rPr>
                      <w:rFonts w:hint="default"/>
                      <w:b/>
                      <w:bCs/>
                    </w:rPr>
                  </w:pPr>
                  <w:r>
                    <w:rPr>
                      <w:rFonts w:hint="default"/>
                      <w:b/>
                      <w:bCs/>
                    </w:rPr>
                    <w:t>依托可行性</w:t>
                  </w:r>
                </w:p>
              </w:tc>
            </w:tr>
            <w:tr w14:paraId="3892D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5" w:type="pct"/>
                  <w:noWrap w:val="0"/>
                  <w:vAlign w:val="center"/>
                </w:tcPr>
                <w:p w14:paraId="460CB67C">
                  <w:pPr>
                    <w:pStyle w:val="5"/>
                    <w:adjustRightInd w:val="0"/>
                    <w:snapToGrid w:val="0"/>
                    <w:jc w:val="center"/>
                    <w:rPr>
                      <w:rFonts w:hint="default"/>
                    </w:rPr>
                  </w:pPr>
                  <w:r>
                    <w:rPr>
                      <w:rFonts w:hint="default"/>
                    </w:rPr>
                    <w:t>1</w:t>
                  </w:r>
                </w:p>
              </w:tc>
              <w:tc>
                <w:tcPr>
                  <w:tcW w:w="724" w:type="pct"/>
                  <w:noWrap w:val="0"/>
                  <w:vAlign w:val="center"/>
                </w:tcPr>
                <w:p w14:paraId="06D7301B">
                  <w:pPr>
                    <w:pStyle w:val="5"/>
                    <w:adjustRightInd w:val="0"/>
                    <w:snapToGrid w:val="0"/>
                    <w:jc w:val="center"/>
                    <w:rPr>
                      <w:rFonts w:hint="default"/>
                    </w:rPr>
                  </w:pPr>
                  <w:r>
                    <w:rPr>
                      <w:rFonts w:hint="default"/>
                    </w:rPr>
                    <w:t>供电系统</w:t>
                  </w:r>
                </w:p>
              </w:tc>
              <w:tc>
                <w:tcPr>
                  <w:tcW w:w="655" w:type="pct"/>
                  <w:noWrap w:val="0"/>
                  <w:vAlign w:val="center"/>
                </w:tcPr>
                <w:p w14:paraId="7E1FA895">
                  <w:pPr>
                    <w:pStyle w:val="5"/>
                    <w:adjustRightInd w:val="0"/>
                    <w:snapToGrid w:val="0"/>
                    <w:jc w:val="center"/>
                    <w:rPr>
                      <w:rFonts w:hint="default"/>
                    </w:rPr>
                  </w:pPr>
                  <w:r>
                    <w:rPr>
                      <w:rFonts w:hint="default"/>
                    </w:rPr>
                    <w:t>园区电网</w:t>
                  </w:r>
                </w:p>
              </w:tc>
              <w:tc>
                <w:tcPr>
                  <w:tcW w:w="2592" w:type="pct"/>
                  <w:noWrap w:val="0"/>
                  <w:vAlign w:val="center"/>
                </w:tcPr>
                <w:p w14:paraId="59D0B359">
                  <w:pPr>
                    <w:pStyle w:val="5"/>
                    <w:adjustRightInd w:val="0"/>
                    <w:snapToGrid w:val="0"/>
                    <w:jc w:val="both"/>
                    <w:rPr>
                      <w:rFonts w:hint="default"/>
                    </w:rPr>
                  </w:pPr>
                  <w:r>
                    <w:rPr>
                      <w:rFonts w:hint="default"/>
                    </w:rPr>
                    <w:t>园区电网建设完善，电力来自市政电网，能够满足本项目需求。</w:t>
                  </w:r>
                </w:p>
              </w:tc>
              <w:tc>
                <w:tcPr>
                  <w:tcW w:w="582" w:type="pct"/>
                  <w:noWrap w:val="0"/>
                  <w:vAlign w:val="center"/>
                </w:tcPr>
                <w:p w14:paraId="13C50F5A">
                  <w:pPr>
                    <w:pStyle w:val="5"/>
                    <w:adjustRightInd w:val="0"/>
                    <w:snapToGrid w:val="0"/>
                    <w:jc w:val="center"/>
                    <w:rPr>
                      <w:rFonts w:hint="default"/>
                    </w:rPr>
                  </w:pPr>
                  <w:r>
                    <w:rPr>
                      <w:rFonts w:hint="default"/>
                    </w:rPr>
                    <w:t>可行</w:t>
                  </w:r>
                </w:p>
              </w:tc>
            </w:tr>
            <w:tr w14:paraId="3E6B9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5" w:type="pct"/>
                  <w:noWrap w:val="0"/>
                  <w:vAlign w:val="center"/>
                </w:tcPr>
                <w:p w14:paraId="5FACF7EA">
                  <w:pPr>
                    <w:pStyle w:val="5"/>
                    <w:adjustRightInd w:val="0"/>
                    <w:snapToGrid w:val="0"/>
                    <w:jc w:val="center"/>
                    <w:rPr>
                      <w:rFonts w:hint="default"/>
                    </w:rPr>
                  </w:pPr>
                  <w:r>
                    <w:rPr>
                      <w:rFonts w:hint="default"/>
                    </w:rPr>
                    <w:t>2</w:t>
                  </w:r>
                </w:p>
              </w:tc>
              <w:tc>
                <w:tcPr>
                  <w:tcW w:w="724" w:type="pct"/>
                  <w:noWrap w:val="0"/>
                  <w:vAlign w:val="center"/>
                </w:tcPr>
                <w:p w14:paraId="371539A1">
                  <w:pPr>
                    <w:pStyle w:val="5"/>
                    <w:adjustRightInd w:val="0"/>
                    <w:snapToGrid w:val="0"/>
                    <w:jc w:val="center"/>
                    <w:rPr>
                      <w:rFonts w:hint="default"/>
                    </w:rPr>
                  </w:pPr>
                  <w:r>
                    <w:rPr>
                      <w:rFonts w:hint="default"/>
                    </w:rPr>
                    <w:t>供水系统</w:t>
                  </w:r>
                </w:p>
              </w:tc>
              <w:tc>
                <w:tcPr>
                  <w:tcW w:w="655" w:type="pct"/>
                  <w:noWrap w:val="0"/>
                  <w:vAlign w:val="center"/>
                </w:tcPr>
                <w:p w14:paraId="4825950D">
                  <w:pPr>
                    <w:pStyle w:val="5"/>
                    <w:adjustRightInd w:val="0"/>
                    <w:snapToGrid w:val="0"/>
                    <w:jc w:val="center"/>
                    <w:rPr>
                      <w:rFonts w:hint="default"/>
                    </w:rPr>
                  </w:pPr>
                  <w:r>
                    <w:rPr>
                      <w:rFonts w:hint="default"/>
                    </w:rPr>
                    <w:t>园区供水管网</w:t>
                  </w:r>
                </w:p>
              </w:tc>
              <w:tc>
                <w:tcPr>
                  <w:tcW w:w="2592" w:type="pct"/>
                  <w:noWrap w:val="0"/>
                  <w:vAlign w:val="center"/>
                </w:tcPr>
                <w:p w14:paraId="6F58E70C">
                  <w:pPr>
                    <w:pStyle w:val="5"/>
                    <w:adjustRightInd w:val="0"/>
                    <w:snapToGrid w:val="0"/>
                    <w:jc w:val="both"/>
                    <w:rPr>
                      <w:rFonts w:hint="default"/>
                    </w:rPr>
                  </w:pPr>
                  <w:r>
                    <w:rPr>
                      <w:rFonts w:hint="default"/>
                    </w:rPr>
                    <w:t>园区供水管网建设完善，由市政管网供水，能满足本项目需求。</w:t>
                  </w:r>
                </w:p>
              </w:tc>
              <w:tc>
                <w:tcPr>
                  <w:tcW w:w="582" w:type="pct"/>
                  <w:noWrap w:val="0"/>
                  <w:vAlign w:val="center"/>
                </w:tcPr>
                <w:p w14:paraId="3CA6D8B7">
                  <w:pPr>
                    <w:pStyle w:val="5"/>
                    <w:adjustRightInd w:val="0"/>
                    <w:snapToGrid w:val="0"/>
                    <w:jc w:val="center"/>
                    <w:rPr>
                      <w:rFonts w:hint="default"/>
                    </w:rPr>
                  </w:pPr>
                  <w:r>
                    <w:rPr>
                      <w:rFonts w:hint="default"/>
                    </w:rPr>
                    <w:t>可行</w:t>
                  </w:r>
                </w:p>
              </w:tc>
            </w:tr>
            <w:tr w14:paraId="004FB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5" w:type="pct"/>
                  <w:noWrap w:val="0"/>
                  <w:vAlign w:val="center"/>
                </w:tcPr>
                <w:p w14:paraId="4E9CFC2A">
                  <w:pPr>
                    <w:pStyle w:val="5"/>
                    <w:adjustRightInd w:val="0"/>
                    <w:snapToGrid w:val="0"/>
                    <w:jc w:val="center"/>
                    <w:rPr>
                      <w:rFonts w:hint="default"/>
                    </w:rPr>
                  </w:pPr>
                  <w:r>
                    <w:rPr>
                      <w:rFonts w:hint="default"/>
                    </w:rPr>
                    <w:t>3</w:t>
                  </w:r>
                </w:p>
              </w:tc>
              <w:tc>
                <w:tcPr>
                  <w:tcW w:w="724" w:type="pct"/>
                  <w:noWrap w:val="0"/>
                  <w:vAlign w:val="center"/>
                </w:tcPr>
                <w:p w14:paraId="1CE21749">
                  <w:pPr>
                    <w:pStyle w:val="5"/>
                    <w:adjustRightInd w:val="0"/>
                    <w:snapToGrid w:val="0"/>
                    <w:jc w:val="center"/>
                    <w:rPr>
                      <w:rFonts w:hint="default"/>
                      <w:color w:val="auto"/>
                      <w:highlight w:val="none"/>
                    </w:rPr>
                  </w:pPr>
                  <w:r>
                    <w:rPr>
                      <w:rFonts w:hint="default"/>
                      <w:color w:val="auto"/>
                      <w:highlight w:val="none"/>
                    </w:rPr>
                    <w:t>排水系统</w:t>
                  </w:r>
                </w:p>
              </w:tc>
              <w:tc>
                <w:tcPr>
                  <w:tcW w:w="655" w:type="pct"/>
                  <w:noWrap w:val="0"/>
                  <w:vAlign w:val="center"/>
                </w:tcPr>
                <w:p w14:paraId="3EC2D1D1">
                  <w:pPr>
                    <w:pStyle w:val="5"/>
                    <w:adjustRightInd w:val="0"/>
                    <w:snapToGrid w:val="0"/>
                    <w:jc w:val="center"/>
                    <w:rPr>
                      <w:rFonts w:hint="default"/>
                      <w:color w:val="auto"/>
                      <w:highlight w:val="none"/>
                    </w:rPr>
                  </w:pPr>
                  <w:r>
                    <w:rPr>
                      <w:rFonts w:hint="default"/>
                      <w:color w:val="auto"/>
                      <w:highlight w:val="none"/>
                    </w:rPr>
                    <w:t>园区雨污管网</w:t>
                  </w:r>
                </w:p>
              </w:tc>
              <w:tc>
                <w:tcPr>
                  <w:tcW w:w="2592" w:type="pct"/>
                  <w:noWrap w:val="0"/>
                  <w:vAlign w:val="center"/>
                </w:tcPr>
                <w:p w14:paraId="685EF5FC">
                  <w:pPr>
                    <w:pStyle w:val="5"/>
                    <w:adjustRightInd w:val="0"/>
                    <w:snapToGrid w:val="0"/>
                    <w:jc w:val="both"/>
                    <w:rPr>
                      <w:rFonts w:hint="default" w:eastAsia="宋体"/>
                      <w:color w:val="auto"/>
                      <w:highlight w:val="none"/>
                      <w:lang w:val="en-US" w:eastAsia="zh-CN"/>
                    </w:rPr>
                  </w:pPr>
                  <w:r>
                    <w:rPr>
                      <w:rFonts w:hint="default"/>
                      <w:color w:val="auto"/>
                      <w:highlight w:val="none"/>
                    </w:rPr>
                    <w:t>园区雨污管网建设完善，雨水进入市政雨水管网，</w:t>
                  </w:r>
                  <w:r>
                    <w:rPr>
                      <w:rFonts w:hint="eastAsia"/>
                      <w:color w:val="auto"/>
                      <w:highlight w:val="none"/>
                      <w:lang w:val="en-US" w:eastAsia="zh-CN"/>
                    </w:rPr>
                    <w:t>排放进入魏家河。</w:t>
                  </w:r>
                </w:p>
              </w:tc>
              <w:tc>
                <w:tcPr>
                  <w:tcW w:w="582" w:type="pct"/>
                  <w:noWrap w:val="0"/>
                  <w:vAlign w:val="center"/>
                </w:tcPr>
                <w:p w14:paraId="0829AD54">
                  <w:pPr>
                    <w:pStyle w:val="5"/>
                    <w:adjustRightInd w:val="0"/>
                    <w:snapToGrid w:val="0"/>
                    <w:jc w:val="center"/>
                    <w:rPr>
                      <w:rFonts w:hint="default"/>
                    </w:rPr>
                  </w:pPr>
                  <w:r>
                    <w:rPr>
                      <w:rFonts w:hint="default"/>
                    </w:rPr>
                    <w:t>可行</w:t>
                  </w:r>
                </w:p>
              </w:tc>
            </w:tr>
            <w:tr w14:paraId="35033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Merge w:val="restart"/>
                  <w:noWrap w:val="0"/>
                  <w:vAlign w:val="center"/>
                </w:tcPr>
                <w:p w14:paraId="0D7A3B04">
                  <w:pPr>
                    <w:pStyle w:val="5"/>
                    <w:adjustRightInd w:val="0"/>
                    <w:snapToGrid w:val="0"/>
                    <w:jc w:val="center"/>
                    <w:rPr>
                      <w:rFonts w:hint="default"/>
                    </w:rPr>
                  </w:pPr>
                  <w:r>
                    <w:rPr>
                      <w:rFonts w:hint="default"/>
                    </w:rPr>
                    <w:t>4</w:t>
                  </w:r>
                </w:p>
              </w:tc>
              <w:tc>
                <w:tcPr>
                  <w:tcW w:w="724" w:type="pct"/>
                  <w:vMerge w:val="restart"/>
                  <w:noWrap w:val="0"/>
                  <w:vAlign w:val="center"/>
                </w:tcPr>
                <w:p w14:paraId="5FD2A846">
                  <w:pPr>
                    <w:pStyle w:val="5"/>
                    <w:adjustRightInd w:val="0"/>
                    <w:snapToGrid w:val="0"/>
                    <w:jc w:val="center"/>
                    <w:rPr>
                      <w:rFonts w:hint="default"/>
                    </w:rPr>
                  </w:pPr>
                  <w:r>
                    <w:rPr>
                      <w:rFonts w:hint="default"/>
                    </w:rPr>
                    <w:t>污水处理</w:t>
                  </w:r>
                </w:p>
              </w:tc>
              <w:tc>
                <w:tcPr>
                  <w:tcW w:w="655" w:type="pct"/>
                  <w:noWrap w:val="0"/>
                  <w:vAlign w:val="center"/>
                </w:tcPr>
                <w:p w14:paraId="14055DA5">
                  <w:pPr>
                    <w:pStyle w:val="5"/>
                    <w:adjustRightInd w:val="0"/>
                    <w:snapToGrid w:val="0"/>
                    <w:jc w:val="center"/>
                    <w:rPr>
                      <w:rFonts w:hint="default" w:eastAsia="宋体"/>
                      <w:lang w:val="en-US" w:eastAsia="zh-CN"/>
                    </w:rPr>
                  </w:pPr>
                  <w:r>
                    <w:rPr>
                      <w:rFonts w:hint="eastAsia"/>
                      <w:lang w:val="en-US" w:eastAsia="zh-CN"/>
                    </w:rPr>
                    <w:t>园区一体化污水处理设施</w:t>
                  </w:r>
                </w:p>
              </w:tc>
              <w:tc>
                <w:tcPr>
                  <w:tcW w:w="2592" w:type="pct"/>
                  <w:noWrap w:val="0"/>
                  <w:vAlign w:val="center"/>
                </w:tcPr>
                <w:p w14:paraId="540B3951">
                  <w:pPr>
                    <w:pStyle w:val="5"/>
                    <w:wordWrap w:val="0"/>
                    <w:adjustRightInd w:val="0"/>
                    <w:snapToGrid w:val="0"/>
                    <w:jc w:val="both"/>
                    <w:rPr>
                      <w:rFonts w:hint="default"/>
                      <w:lang w:val="en-US"/>
                    </w:rPr>
                  </w:pPr>
                  <w:r>
                    <w:rPr>
                      <w:rFonts w:hint="eastAsia"/>
                      <w:lang w:val="en-US" w:eastAsia="zh-CN"/>
                    </w:rPr>
                    <w:t>生活污水依托园区已建的一体化污水处理设施处理后，</w:t>
                  </w:r>
                  <w:r>
                    <w:rPr>
                      <w:rFonts w:hint="eastAsia"/>
                    </w:rPr>
                    <w:t>达《污水综合排放标准》（GB 8978-1996）三级标准</w:t>
                  </w:r>
                  <w:r>
                    <w:rPr>
                      <w:rFonts w:hint="eastAsia"/>
                      <w:lang w:eastAsia="zh-CN"/>
                    </w:rPr>
                    <w:t>排入</w:t>
                  </w:r>
                  <w:r>
                    <w:rPr>
                      <w:rFonts w:hint="eastAsia"/>
                      <w:lang w:val="en-US" w:eastAsia="zh-CN"/>
                    </w:rPr>
                    <w:t>魏兴场镇污水处理厂。一体化污水处理设施设计处理规模为20m</w:t>
                  </w:r>
                  <w:r>
                    <w:rPr>
                      <w:rFonts w:hint="eastAsia"/>
                      <w:vertAlign w:val="superscript"/>
                      <w:lang w:val="en-US" w:eastAsia="zh-CN"/>
                    </w:rPr>
                    <w:t>3</w:t>
                  </w:r>
                  <w:r>
                    <w:rPr>
                      <w:rFonts w:hint="eastAsia"/>
                      <w:lang w:val="en-US" w:eastAsia="zh-CN"/>
                    </w:rPr>
                    <w:t>/d，现阶段污水实际处理量为10m</w:t>
                  </w:r>
                  <w:r>
                    <w:rPr>
                      <w:rFonts w:hint="eastAsia"/>
                      <w:vertAlign w:val="superscript"/>
                      <w:lang w:val="en-US" w:eastAsia="zh-CN"/>
                    </w:rPr>
                    <w:t>3</w:t>
                  </w:r>
                  <w:r>
                    <w:rPr>
                      <w:rFonts w:hint="eastAsia"/>
                      <w:lang w:val="en-US" w:eastAsia="zh-CN"/>
                    </w:rPr>
                    <w:t>/d，本项目不新增生活污水排放，现有工程核算生活污水排放量为3.84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，未超过现有一体化设施的处理规模。</w:t>
                  </w:r>
                </w:p>
              </w:tc>
              <w:tc>
                <w:tcPr>
                  <w:tcW w:w="582" w:type="pct"/>
                  <w:noWrap w:val="0"/>
                  <w:vAlign w:val="center"/>
                </w:tcPr>
                <w:p w14:paraId="249CAC2A">
                  <w:pPr>
                    <w:pStyle w:val="5"/>
                    <w:adjustRightInd w:val="0"/>
                    <w:snapToGrid w:val="0"/>
                    <w:jc w:val="center"/>
                    <w:rPr>
                      <w:rFonts w:hint="eastAsia" w:eastAsia="宋体"/>
                      <w:lang w:val="en-US" w:eastAsia="zh-CN"/>
                    </w:rPr>
                  </w:pPr>
                  <w:r>
                    <w:rPr>
                      <w:rFonts w:hint="eastAsia"/>
                      <w:lang w:val="en-US" w:eastAsia="zh-CN"/>
                    </w:rPr>
                    <w:t>可行</w:t>
                  </w:r>
                </w:p>
              </w:tc>
            </w:tr>
            <w:tr w14:paraId="2F56A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Merge w:val="continue"/>
                  <w:noWrap w:val="0"/>
                  <w:vAlign w:val="center"/>
                </w:tcPr>
                <w:p w14:paraId="4FA7B1E2">
                  <w:pPr>
                    <w:pStyle w:val="5"/>
                    <w:adjustRightInd w:val="0"/>
                    <w:snapToGrid w:val="0"/>
                    <w:jc w:val="center"/>
                    <w:rPr>
                      <w:rFonts w:hint="default"/>
                    </w:rPr>
                  </w:pPr>
                </w:p>
              </w:tc>
              <w:tc>
                <w:tcPr>
                  <w:tcW w:w="724" w:type="pct"/>
                  <w:vMerge w:val="continue"/>
                  <w:noWrap w:val="0"/>
                  <w:vAlign w:val="center"/>
                </w:tcPr>
                <w:p w14:paraId="0C069FE0">
                  <w:pPr>
                    <w:pStyle w:val="5"/>
                    <w:adjustRightInd w:val="0"/>
                    <w:snapToGrid w:val="0"/>
                    <w:jc w:val="center"/>
                    <w:rPr>
                      <w:rFonts w:hint="default"/>
                    </w:rPr>
                  </w:pPr>
                </w:p>
              </w:tc>
              <w:tc>
                <w:tcPr>
                  <w:tcW w:w="655" w:type="pct"/>
                  <w:noWrap w:val="0"/>
                  <w:vAlign w:val="center"/>
                </w:tcPr>
                <w:p w14:paraId="2732C0AE">
                  <w:pPr>
                    <w:pStyle w:val="5"/>
                    <w:adjustRightInd w:val="0"/>
                    <w:snapToGrid w:val="0"/>
                    <w:jc w:val="center"/>
                    <w:rPr>
                      <w:rFonts w:hint="eastAsia" w:eastAsia="宋体"/>
                      <w:lang w:eastAsia="zh-CN"/>
                    </w:rPr>
                  </w:pPr>
                  <w:r>
                    <w:rPr>
                      <w:rFonts w:hint="eastAsia"/>
                      <w:lang w:eastAsia="zh-CN"/>
                    </w:rPr>
                    <w:t>魏兴场镇污水处理厂</w:t>
                  </w:r>
                </w:p>
              </w:tc>
              <w:tc>
                <w:tcPr>
                  <w:tcW w:w="2592" w:type="pct"/>
                  <w:noWrap w:val="0"/>
                  <w:vAlign w:val="center"/>
                </w:tcPr>
                <w:p w14:paraId="54D873C9">
                  <w:pPr>
                    <w:pStyle w:val="5"/>
                    <w:wordWrap w:val="0"/>
                    <w:adjustRightInd w:val="0"/>
                    <w:snapToGrid w:val="0"/>
                    <w:jc w:val="both"/>
                    <w:rPr>
                      <w:rFonts w:hint="default"/>
                    </w:rPr>
                  </w:pPr>
                  <w:r>
                    <w:rPr>
                      <w:rFonts w:hint="eastAsia"/>
                      <w:lang w:eastAsia="zh-CN"/>
                    </w:rPr>
                    <w:t>魏兴场镇污水处理厂</w:t>
                  </w:r>
                  <w:r>
                    <w:rPr>
                      <w:rFonts w:hint="default"/>
                    </w:rPr>
                    <w:t>处理能力达8000m</w:t>
                  </w:r>
                  <w:r>
                    <w:rPr>
                      <w:rFonts w:hint="default"/>
                      <w:vertAlign w:val="superscript"/>
                    </w:rPr>
                    <w:t>3</w:t>
                  </w:r>
                  <w:r>
                    <w:rPr>
                      <w:rFonts w:hint="default"/>
                    </w:rPr>
                    <w:t>/d</w:t>
                  </w:r>
                  <w:r>
                    <w:rPr>
                      <w:rFonts w:hint="eastAsia"/>
                      <w:lang w:eastAsia="zh-CN"/>
                    </w:rPr>
                    <w:t>，</w:t>
                  </w:r>
                  <w:r>
                    <w:rPr>
                      <w:rFonts w:hint="eastAsia"/>
                      <w:lang w:val="en-US" w:eastAsia="zh-CN"/>
                    </w:rPr>
                    <w:t>采用“水解酸化+改良Orbal氧化沟+滤布滤池+次氯酸钠、紫外消毒方式和A</w:t>
                  </w:r>
                  <w:r>
                    <w:rPr>
                      <w:rFonts w:hint="eastAsia"/>
                      <w:vertAlign w:val="superscript"/>
                      <w:lang w:val="en-US" w:eastAsia="zh-CN"/>
                    </w:rPr>
                    <w:t>2</w:t>
                  </w:r>
                  <w:r>
                    <w:rPr>
                      <w:rFonts w:hint="eastAsia"/>
                      <w:lang w:val="en-US" w:eastAsia="zh-CN"/>
                    </w:rPr>
                    <w:t>O+MBBR”两套处理工艺，出水水质为</w:t>
                  </w:r>
                  <w:r>
                    <w:rPr>
                      <w:rFonts w:hint="eastAsia"/>
                      <w:lang w:eastAsia="zh-CN"/>
                    </w:rPr>
                    <w:t>《城镇污水处理厂污染物排放标准》（GB18918—2002）一级A标准，</w:t>
                  </w:r>
                  <w:r>
                    <w:rPr>
                      <w:rFonts w:hint="eastAsia"/>
                      <w:lang w:val="en-US" w:eastAsia="zh-CN"/>
                    </w:rPr>
                    <w:t>受纳水体为州河。</w:t>
                  </w:r>
                  <w:r>
                    <w:rPr>
                      <w:rFonts w:hint="default"/>
                      <w:lang w:val="en-US" w:eastAsia="zh-CN"/>
                    </w:rPr>
                    <w:t>项目技改完成后不新增污水排水量（维持原有：</w:t>
                  </w:r>
                  <w:r>
                    <w:rPr>
                      <w:rFonts w:hint="eastAsia"/>
                      <w:lang w:val="en-US" w:eastAsia="zh-CN"/>
                    </w:rPr>
                    <w:t>3.84</w:t>
                  </w:r>
                  <w:r>
                    <w:rPr>
                      <w:rFonts w:hint="default"/>
                      <w:lang w:val="en-US" w:eastAsia="zh-CN"/>
                    </w:rPr>
                    <w:t>m</w:t>
                  </w:r>
                  <w:r>
                    <w:rPr>
                      <w:rFonts w:hint="default"/>
                      <w:vertAlign w:val="superscript"/>
                      <w:lang w:val="en-US" w:eastAsia="zh-CN"/>
                    </w:rPr>
                    <w:t>3</w:t>
                  </w:r>
                  <w:r>
                    <w:rPr>
                      <w:rFonts w:hint="default"/>
                      <w:lang w:val="en-US" w:eastAsia="zh-CN"/>
                    </w:rPr>
                    <w:t>/d），约占</w:t>
                  </w:r>
                  <w:r>
                    <w:rPr>
                      <w:rFonts w:hint="eastAsia"/>
                      <w:lang w:val="en-US" w:eastAsia="zh-CN"/>
                    </w:rPr>
                    <w:t>魏兴场镇污水处理厂</w:t>
                  </w:r>
                  <w:r>
                    <w:rPr>
                      <w:rFonts w:hint="default"/>
                      <w:lang w:val="en-US" w:eastAsia="zh-CN"/>
                    </w:rPr>
                    <w:t>规模的0.0</w:t>
                  </w:r>
                  <w:r>
                    <w:rPr>
                      <w:rFonts w:hint="eastAsia"/>
                      <w:lang w:val="en-US" w:eastAsia="zh-CN"/>
                    </w:rPr>
                    <w:t>48</w:t>
                  </w:r>
                  <w:r>
                    <w:rPr>
                      <w:rFonts w:hint="default"/>
                      <w:lang w:val="en-US" w:eastAsia="zh-CN"/>
                    </w:rPr>
                    <w:t>%，水质和水量均不会对其处理能力造成冲击。</w:t>
                  </w:r>
                </w:p>
              </w:tc>
              <w:tc>
                <w:tcPr>
                  <w:tcW w:w="582" w:type="pct"/>
                  <w:noWrap w:val="0"/>
                  <w:vAlign w:val="center"/>
                </w:tcPr>
                <w:p w14:paraId="5091E52E">
                  <w:pPr>
                    <w:pStyle w:val="5"/>
                    <w:adjustRightInd w:val="0"/>
                    <w:snapToGrid w:val="0"/>
                    <w:jc w:val="center"/>
                    <w:rPr>
                      <w:rFonts w:hint="default"/>
                    </w:rPr>
                  </w:pPr>
                  <w:r>
                    <w:rPr>
                      <w:rFonts w:hint="default"/>
                    </w:rPr>
                    <w:t>可行</w:t>
                  </w:r>
                </w:p>
              </w:tc>
            </w:tr>
            <w:tr w14:paraId="1B4BD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noWrap w:val="0"/>
                  <w:vAlign w:val="center"/>
                </w:tcPr>
                <w:p w14:paraId="0239F6FA">
                  <w:pPr>
                    <w:pStyle w:val="5"/>
                    <w:adjustRightInd w:val="0"/>
                    <w:snapToGrid w:val="0"/>
                    <w:jc w:val="center"/>
                    <w:rPr>
                      <w:rFonts w:hint="eastAsia" w:eastAsia="宋体"/>
                      <w:lang w:val="en-US" w:eastAsia="zh-CN"/>
                    </w:rPr>
                  </w:pPr>
                  <w:r>
                    <w:rPr>
                      <w:rFonts w:hint="eastAsia"/>
                      <w:lang w:val="en-US" w:eastAsia="zh-CN"/>
                    </w:rPr>
                    <w:t>5</w:t>
                  </w:r>
                </w:p>
              </w:tc>
              <w:tc>
                <w:tcPr>
                  <w:tcW w:w="724" w:type="pct"/>
                  <w:noWrap w:val="0"/>
                  <w:vAlign w:val="center"/>
                </w:tcPr>
                <w:p w14:paraId="0E928002">
                  <w:pPr>
                    <w:pStyle w:val="5"/>
                    <w:adjustRightInd w:val="0"/>
                    <w:snapToGrid w:val="0"/>
                    <w:jc w:val="center"/>
                    <w:rPr>
                      <w:rFonts w:hint="eastAsia" w:eastAsia="宋体"/>
                      <w:lang w:val="en-US" w:eastAsia="zh-CN"/>
                    </w:rPr>
                  </w:pPr>
                  <w:r>
                    <w:rPr>
                      <w:rFonts w:hint="eastAsia"/>
                      <w:lang w:val="en-US" w:eastAsia="zh-CN"/>
                    </w:rPr>
                    <w:t>食堂</w:t>
                  </w:r>
                </w:p>
              </w:tc>
              <w:tc>
                <w:tcPr>
                  <w:tcW w:w="655" w:type="pct"/>
                  <w:noWrap w:val="0"/>
                  <w:vAlign w:val="center"/>
                </w:tcPr>
                <w:p w14:paraId="72F48E8D">
                  <w:pPr>
                    <w:pStyle w:val="5"/>
                    <w:adjustRightInd w:val="0"/>
                    <w:snapToGrid w:val="0"/>
                    <w:jc w:val="center"/>
                    <w:rPr>
                      <w:rFonts w:hint="eastAsia" w:eastAsia="宋体"/>
                      <w:lang w:val="en-US" w:eastAsia="zh-CN"/>
                    </w:rPr>
                  </w:pPr>
                  <w:r>
                    <w:rPr>
                      <w:rFonts w:hint="eastAsia"/>
                      <w:lang w:val="en-US" w:eastAsia="zh-CN"/>
                    </w:rPr>
                    <w:t>餐厅</w:t>
                  </w:r>
                </w:p>
              </w:tc>
              <w:tc>
                <w:tcPr>
                  <w:tcW w:w="2592" w:type="pct"/>
                  <w:shd w:val="clear" w:color="auto" w:fill="auto"/>
                  <w:noWrap w:val="0"/>
                  <w:vAlign w:val="center"/>
                </w:tcPr>
                <w:p w14:paraId="2DEB6E63">
                  <w:pPr>
                    <w:pStyle w:val="5"/>
                    <w:bidi w:val="0"/>
                    <w:ind w:firstLine="0" w:firstLineChars="0"/>
                    <w:jc w:val="both"/>
                    <w:rPr>
                      <w:rFonts w:hint="default" w:ascii="Times New Roman" w:hAnsi="Times New Roman" w:eastAsia="宋体" w:cs="Times New Roman"/>
                      <w:kern w:val="2"/>
                      <w:sz w:val="21"/>
                      <w:lang w:val="en-US" w:eastAsia="zh-CN" w:bidi="ar-SA"/>
                    </w:rPr>
                  </w:pPr>
                  <w:r>
                    <w:rPr>
                      <w:rFonts w:hint="eastAsia"/>
                      <w:lang w:val="en-US" w:eastAsia="zh-CN"/>
                    </w:rPr>
                    <w:t>厂区内不设置食堂，依托园区食堂就餐，面积约770m</w:t>
                  </w:r>
                  <w:r>
                    <w:rPr>
                      <w:rFonts w:hint="eastAsia"/>
                      <w:vertAlign w:val="superscript"/>
                      <w:lang w:val="en-US" w:eastAsia="zh-CN"/>
                    </w:rPr>
                    <w:t>2</w:t>
                  </w:r>
                  <w:r>
                    <w:rPr>
                      <w:rFonts w:hint="eastAsia"/>
                      <w:vertAlign w:val="baseline"/>
                      <w:lang w:val="en-US" w:eastAsia="zh-CN"/>
                    </w:rPr>
                    <w:t>，可容纳约400人用餐。</w:t>
                  </w:r>
                </w:p>
              </w:tc>
              <w:tc>
                <w:tcPr>
                  <w:tcW w:w="582" w:type="pct"/>
                  <w:noWrap w:val="0"/>
                  <w:vAlign w:val="center"/>
                </w:tcPr>
                <w:p w14:paraId="21AD358C">
                  <w:pPr>
                    <w:pStyle w:val="5"/>
                    <w:adjustRightInd w:val="0"/>
                    <w:snapToGrid w:val="0"/>
                    <w:jc w:val="center"/>
                    <w:rPr>
                      <w:rFonts w:hint="eastAsia" w:eastAsia="宋体"/>
                      <w:lang w:val="en-US" w:eastAsia="zh-CN"/>
                    </w:rPr>
                  </w:pPr>
                  <w:r>
                    <w:rPr>
                      <w:rFonts w:hint="eastAsia"/>
                      <w:lang w:val="en-US" w:eastAsia="zh-CN"/>
                    </w:rPr>
                    <w:t>可行</w:t>
                  </w:r>
                </w:p>
              </w:tc>
            </w:tr>
          </w:tbl>
          <w:p w14:paraId="547521E0">
            <w:pPr>
              <w:widowControl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（2）本项目依托原项目</w:t>
            </w:r>
            <w:r>
              <w:rPr>
                <w:rFonts w:hint="default" w:ascii="Times New Roman" w:hAnsi="Times New Roman" w:eastAsia="宋体" w:cs="Times New Roman"/>
                <w:color w:val="auto"/>
                <w:sz w:val="24"/>
                <w:highlight w:val="none"/>
                <w:lang w:val="en-US" w:eastAsia="zh-CN"/>
              </w:rPr>
              <w:t>环保</w:t>
            </w:r>
            <w:r>
              <w:rPr>
                <w:rFonts w:hint="default" w:ascii="Times New Roman" w:hAnsi="Times New Roman" w:eastAsia="宋体" w:cs="Times New Roman"/>
                <w:color w:val="auto"/>
                <w:sz w:val="24"/>
                <w:highlight w:val="none"/>
              </w:rPr>
              <w:t>设施可行性</w:t>
            </w:r>
          </w:p>
          <w:p w14:paraId="64FBE420">
            <w:pPr>
              <w:widowControl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建设单位原</w:t>
            </w:r>
            <w:r>
              <w:rPr>
                <w:rFonts w:hint="default" w:ascii="Times New Roman" w:hAnsi="Times New Roman" w:eastAsia="宋体" w:cs="Times New Roman"/>
                <w:color w:val="auto"/>
                <w:sz w:val="24"/>
                <w:highlight w:val="none"/>
              </w:rPr>
              <w:t>租赁厂房位于</w:t>
            </w:r>
            <w:r>
              <w:rPr>
                <w:rFonts w:hint="eastAsia"/>
                <w:kern w:val="2"/>
                <w:szCs w:val="32"/>
                <w:lang w:val="en-US" w:eastAsia="zh-CN"/>
              </w:rPr>
              <w:t>经济开发区魏兴大道1号</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具体设施情况及依托可行性分析见下表</w:t>
            </w:r>
            <w:r>
              <w:rPr>
                <w:rFonts w:hint="default" w:ascii="Times New Roman" w:hAnsi="Times New Roman" w:eastAsia="宋体" w:cs="Times New Roman"/>
                <w:color w:val="auto"/>
                <w:sz w:val="24"/>
                <w:highlight w:val="none"/>
              </w:rPr>
              <w:t>。</w:t>
            </w:r>
          </w:p>
          <w:p w14:paraId="68DF2181">
            <w:pPr>
              <w:pStyle w:val="7"/>
              <w:ind w:left="0"/>
              <w:jc w:val="center"/>
              <w:rPr>
                <w:rFonts w:hint="default"/>
              </w:rPr>
            </w:pPr>
            <w:r>
              <w:rPr>
                <w:rFonts w:hint="eastAsia"/>
                <w:lang w:val="en-US" w:eastAsia="zh-CN"/>
              </w:rPr>
              <w:t xml:space="preserve">表2-4  </w:t>
            </w:r>
            <w:r>
              <w:rPr>
                <w:rFonts w:hint="default"/>
              </w:rPr>
              <w:t>本项目依托原项目</w:t>
            </w:r>
            <w:r>
              <w:rPr>
                <w:rFonts w:hint="default"/>
                <w:lang w:val="en-US" w:eastAsia="zh-CN"/>
              </w:rPr>
              <w:t>环保</w:t>
            </w:r>
            <w:r>
              <w:rPr>
                <w:rFonts w:hint="default"/>
              </w:rPr>
              <w:t>设施可行性</w:t>
            </w:r>
          </w:p>
          <w:tbl>
            <w:tblPr>
              <w:tblStyle w:val="30"/>
              <w:tblW w:w="485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1303"/>
              <w:gridCol w:w="4682"/>
              <w:gridCol w:w="987"/>
            </w:tblGrid>
            <w:tr w14:paraId="2F0D0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36" w:type="pct"/>
                  <w:noWrap w:val="0"/>
                  <w:vAlign w:val="center"/>
                </w:tcPr>
                <w:p w14:paraId="05284540">
                  <w:pPr>
                    <w:pStyle w:val="5"/>
                    <w:adjustRightInd w:val="0"/>
                    <w:snapToGrid w:val="0"/>
                    <w:jc w:val="center"/>
                    <w:rPr>
                      <w:rFonts w:hint="default"/>
                      <w:b/>
                      <w:bCs/>
                    </w:rPr>
                  </w:pPr>
                  <w:r>
                    <w:rPr>
                      <w:rFonts w:hint="default"/>
                      <w:b/>
                      <w:bCs/>
                    </w:rPr>
                    <w:t>依托主体分类</w:t>
                  </w:r>
                </w:p>
              </w:tc>
              <w:tc>
                <w:tcPr>
                  <w:tcW w:w="759" w:type="pct"/>
                  <w:noWrap w:val="0"/>
                  <w:vAlign w:val="center"/>
                </w:tcPr>
                <w:p w14:paraId="0C479D75">
                  <w:pPr>
                    <w:pStyle w:val="5"/>
                    <w:adjustRightInd w:val="0"/>
                    <w:snapToGrid w:val="0"/>
                    <w:jc w:val="center"/>
                    <w:rPr>
                      <w:rFonts w:hint="default"/>
                      <w:b/>
                      <w:bCs/>
                    </w:rPr>
                  </w:pPr>
                  <w:r>
                    <w:rPr>
                      <w:rFonts w:hint="default"/>
                      <w:b/>
                      <w:bCs/>
                    </w:rPr>
                    <w:t>依托内容</w:t>
                  </w:r>
                </w:p>
              </w:tc>
              <w:tc>
                <w:tcPr>
                  <w:tcW w:w="2728" w:type="pct"/>
                  <w:noWrap w:val="0"/>
                  <w:vAlign w:val="center"/>
                </w:tcPr>
                <w:p w14:paraId="6581E02F">
                  <w:pPr>
                    <w:pStyle w:val="5"/>
                    <w:adjustRightInd w:val="0"/>
                    <w:snapToGrid w:val="0"/>
                    <w:jc w:val="center"/>
                    <w:rPr>
                      <w:rFonts w:hint="default"/>
                      <w:b/>
                      <w:bCs/>
                    </w:rPr>
                  </w:pPr>
                  <w:r>
                    <w:rPr>
                      <w:rFonts w:hint="default"/>
                      <w:b/>
                      <w:bCs/>
                    </w:rPr>
                    <w:t>依托情况</w:t>
                  </w:r>
                </w:p>
              </w:tc>
              <w:tc>
                <w:tcPr>
                  <w:tcW w:w="575" w:type="pct"/>
                  <w:noWrap w:val="0"/>
                  <w:vAlign w:val="center"/>
                </w:tcPr>
                <w:p w14:paraId="37DE600A">
                  <w:pPr>
                    <w:pStyle w:val="5"/>
                    <w:adjustRightInd w:val="0"/>
                    <w:snapToGrid w:val="0"/>
                    <w:jc w:val="center"/>
                    <w:rPr>
                      <w:rFonts w:hint="default"/>
                      <w:b/>
                      <w:bCs/>
                    </w:rPr>
                  </w:pPr>
                  <w:r>
                    <w:rPr>
                      <w:rFonts w:hint="default"/>
                      <w:b/>
                      <w:bCs/>
                    </w:rPr>
                    <w:t>依托可行性</w:t>
                  </w:r>
                </w:p>
              </w:tc>
            </w:tr>
            <w:tr w14:paraId="29DC2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36" w:type="pct"/>
                  <w:noWrap w:val="0"/>
                  <w:vAlign w:val="center"/>
                </w:tcPr>
                <w:p w14:paraId="7CA61CF5">
                  <w:pPr>
                    <w:pStyle w:val="5"/>
                    <w:adjustRightInd w:val="0"/>
                    <w:snapToGrid w:val="0"/>
                    <w:jc w:val="center"/>
                    <w:rPr>
                      <w:rFonts w:hint="eastAsia" w:eastAsia="宋体"/>
                      <w:lang w:val="en-US" w:eastAsia="zh-CN"/>
                    </w:rPr>
                  </w:pPr>
                  <w:r>
                    <w:rPr>
                      <w:rFonts w:hint="eastAsia"/>
                      <w:lang w:val="en-US" w:eastAsia="zh-CN"/>
                    </w:rPr>
                    <w:t>防渗措施</w:t>
                  </w:r>
                </w:p>
              </w:tc>
              <w:tc>
                <w:tcPr>
                  <w:tcW w:w="759" w:type="pct"/>
                  <w:noWrap w:val="0"/>
                  <w:vAlign w:val="center"/>
                </w:tcPr>
                <w:p w14:paraId="253E2617">
                  <w:pPr>
                    <w:pStyle w:val="5"/>
                    <w:adjustRightInd w:val="0"/>
                    <w:snapToGrid w:val="0"/>
                    <w:jc w:val="center"/>
                    <w:rPr>
                      <w:rFonts w:hint="default"/>
                    </w:rPr>
                  </w:pPr>
                  <w:r>
                    <w:rPr>
                      <w:rFonts w:hint="eastAsia"/>
                      <w:lang w:val="en-US" w:eastAsia="zh-CN"/>
                    </w:rPr>
                    <w:t>生产车间</w:t>
                  </w:r>
                </w:p>
              </w:tc>
              <w:tc>
                <w:tcPr>
                  <w:tcW w:w="2728" w:type="pct"/>
                  <w:noWrap w:val="0"/>
                  <w:vAlign w:val="center"/>
                </w:tcPr>
                <w:p w14:paraId="0353B5B7">
                  <w:pPr>
                    <w:pStyle w:val="5"/>
                    <w:adjustRightInd w:val="0"/>
                    <w:snapToGrid w:val="0"/>
                    <w:jc w:val="both"/>
                    <w:rPr>
                      <w:rFonts w:hint="eastAsia" w:eastAsia="宋体"/>
                      <w:b w:val="0"/>
                      <w:bCs w:val="0"/>
                      <w:lang w:val="en-US" w:eastAsia="zh-CN"/>
                    </w:rPr>
                  </w:pPr>
                  <w:r>
                    <w:rPr>
                      <w:rFonts w:hint="eastAsia"/>
                      <w:lang w:val="en-US" w:eastAsia="zh-CN"/>
                    </w:rPr>
                    <w:t>重点防渗措施：原厂房对车间实行了</w:t>
                  </w:r>
                  <w:r>
                    <w:rPr>
                      <w:rFonts w:hint="default" w:ascii="Times New Roman" w:hAnsi="Times New Roman" w:eastAsia="宋体" w:cs="Times New Roman"/>
                      <w:color w:val="auto"/>
                      <w:highlight w:val="none"/>
                    </w:rPr>
                    <w:t>混凝土硬化</w:t>
                  </w:r>
                  <w:r>
                    <w:rPr>
                      <w:rFonts w:hint="eastAsia" w:cs="Times New Roman"/>
                      <w:color w:val="auto"/>
                      <w:highlight w:val="none"/>
                      <w:lang w:val="en-US" w:eastAsia="zh-CN"/>
                    </w:rPr>
                    <w:t>加</w:t>
                  </w:r>
                  <w:r>
                    <w:rPr>
                      <w:rFonts w:hint="eastAsia" w:eastAsia="宋体" w:cs="Times New Roman"/>
                      <w:color w:val="auto"/>
                      <w:highlight w:val="none"/>
                      <w:lang w:val="en-US" w:eastAsia="zh-CN"/>
                    </w:rPr>
                    <w:t>涂刷</w:t>
                  </w:r>
                  <w:r>
                    <w:rPr>
                      <w:rFonts w:hint="eastAsia" w:cs="Times New Roman"/>
                      <w:color w:val="auto"/>
                      <w:highlight w:val="none"/>
                      <w:lang w:val="en-US" w:eastAsia="zh-CN"/>
                    </w:rPr>
                    <w:t>2mm环氧树脂</w:t>
                  </w:r>
                  <w:r>
                    <w:rPr>
                      <w:rFonts w:hint="eastAsia" w:eastAsia="宋体" w:cs="Times New Roman"/>
                      <w:color w:val="auto"/>
                      <w:highlight w:val="none"/>
                      <w:lang w:val="en-US" w:eastAsia="zh-CN"/>
                    </w:rPr>
                    <w:t>地坪漆的防渗措施，</w:t>
                  </w:r>
                  <w:r>
                    <w:rPr>
                      <w:rFonts w:hint="default" w:ascii="Times New Roman" w:hAnsi="Times New Roman" w:eastAsia="宋体" w:cs="Times New Roman"/>
                      <w:color w:val="auto"/>
                      <w:szCs w:val="21"/>
                      <w:highlight w:val="none"/>
                    </w:rPr>
                    <w:t>本项目依托原有防渗措施可行</w:t>
                  </w:r>
                  <w:r>
                    <w:rPr>
                      <w:rFonts w:hint="eastAsia" w:eastAsia="宋体" w:cs="Times New Roman"/>
                      <w:color w:val="auto"/>
                      <w:szCs w:val="21"/>
                      <w:highlight w:val="none"/>
                      <w:lang w:eastAsia="zh-CN"/>
                    </w:rPr>
                    <w:t>。</w:t>
                  </w:r>
                </w:p>
              </w:tc>
              <w:tc>
                <w:tcPr>
                  <w:tcW w:w="575" w:type="pct"/>
                  <w:noWrap w:val="0"/>
                  <w:vAlign w:val="center"/>
                </w:tcPr>
                <w:p w14:paraId="56626847">
                  <w:pPr>
                    <w:pStyle w:val="5"/>
                    <w:adjustRightInd w:val="0"/>
                    <w:snapToGrid w:val="0"/>
                    <w:jc w:val="center"/>
                    <w:rPr>
                      <w:rFonts w:hint="default"/>
                    </w:rPr>
                  </w:pPr>
                  <w:r>
                    <w:rPr>
                      <w:rFonts w:hint="default"/>
                    </w:rPr>
                    <w:t>可行</w:t>
                  </w:r>
                </w:p>
              </w:tc>
            </w:tr>
          </w:tbl>
          <w:p w14:paraId="1DA8B0F3">
            <w:pPr>
              <w:spacing w:before="0" w:after="0"/>
              <w:rPr>
                <w:rFonts w:hint="default"/>
                <w:b/>
                <w:bCs/>
              </w:rPr>
            </w:pPr>
            <w:r>
              <w:rPr>
                <w:rFonts w:hint="default"/>
                <w:b/>
                <w:bCs/>
              </w:rPr>
              <w:t>综上所述，本项目依托达州市农产品加工集中区及原项目的</w:t>
            </w:r>
            <w:r>
              <w:rPr>
                <w:rFonts w:hint="default"/>
                <w:b/>
                <w:bCs/>
                <w:lang w:val="en-US" w:eastAsia="zh-CN"/>
              </w:rPr>
              <w:t>环保</w:t>
            </w:r>
            <w:r>
              <w:rPr>
                <w:rFonts w:hint="default"/>
                <w:b/>
                <w:bCs/>
              </w:rPr>
              <w:t>设施合理可行。</w:t>
            </w:r>
          </w:p>
          <w:p w14:paraId="2817F81E">
            <w:pPr>
              <w:pStyle w:val="38"/>
              <w:ind w:firstLine="482"/>
              <w:rPr>
                <w:b/>
                <w:bCs/>
                <w:color w:val="auto"/>
              </w:rPr>
            </w:pPr>
            <w:r>
              <w:rPr>
                <w:rFonts w:hint="eastAsia"/>
                <w:b/>
                <w:bCs/>
                <w:color w:val="auto"/>
              </w:rPr>
              <w:t>5、主要原辅料、能源消耗</w:t>
            </w:r>
          </w:p>
          <w:p w14:paraId="4A394D55">
            <w:pPr>
              <w:bidi w:val="0"/>
              <w:rPr>
                <w:rFonts w:hint="eastAsia"/>
                <w:lang w:eastAsia="zh-CN"/>
              </w:rPr>
            </w:pPr>
            <w:r>
              <w:rPr>
                <w:rFonts w:hint="eastAsia"/>
              </w:rPr>
              <w:t>技改</w:t>
            </w:r>
            <w:r>
              <w:rPr>
                <w:rFonts w:hint="eastAsia"/>
                <w:lang w:val="en-US" w:eastAsia="zh-CN"/>
              </w:rPr>
              <w:t>后原辅料主要增加胶粘剂，</w:t>
            </w:r>
            <w:r>
              <w:t>具体原辅材料及能源消耗见表2-</w:t>
            </w:r>
            <w:r>
              <w:rPr>
                <w:rFonts w:hint="eastAsia"/>
                <w:lang w:val="en-US" w:eastAsia="zh-CN"/>
              </w:rPr>
              <w:t>5、2-6</w:t>
            </w:r>
            <w:r>
              <w:rPr>
                <w:rFonts w:hint="eastAsia"/>
                <w:lang w:eastAsia="zh-CN"/>
              </w:rPr>
              <w:t>。</w:t>
            </w:r>
          </w:p>
          <w:p w14:paraId="7B74214D">
            <w:pPr>
              <w:bidi w:val="0"/>
            </w:pPr>
            <w:r>
              <w:t>项目营运期主要原辅材料消耗详见下表所示。</w:t>
            </w:r>
          </w:p>
          <w:p w14:paraId="05969EF5">
            <w:pPr>
              <w:pStyle w:val="7"/>
              <w:bidi w:val="0"/>
            </w:pPr>
            <w:r>
              <w:rPr>
                <w:rFonts w:hint="eastAsia"/>
              </w:rPr>
              <w:t>表2</w:t>
            </w:r>
            <w:r>
              <w:rPr>
                <w:rFonts w:hint="eastAsia"/>
                <w:lang w:val="en-US" w:eastAsia="zh-CN"/>
              </w:rPr>
              <w:t xml:space="preserve">-5 </w:t>
            </w:r>
            <w:r>
              <w:rPr>
                <w:rFonts w:hint="eastAsia"/>
              </w:rPr>
              <w:t xml:space="preserve"> </w:t>
            </w:r>
            <w:r>
              <w:rPr>
                <w:rFonts w:hint="eastAsia"/>
                <w:lang w:val="en-US" w:eastAsia="zh-CN"/>
              </w:rPr>
              <w:t>氢能源混合动力系统</w:t>
            </w:r>
            <w:r>
              <w:rPr>
                <w:rFonts w:hint="eastAsia"/>
              </w:rPr>
              <w:t>主要原辅材料表</w:t>
            </w:r>
          </w:p>
          <w:tbl>
            <w:tblPr>
              <w:tblStyle w:val="31"/>
              <w:tblW w:w="488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1352"/>
              <w:gridCol w:w="1163"/>
              <w:gridCol w:w="1198"/>
              <w:gridCol w:w="1070"/>
              <w:gridCol w:w="1198"/>
              <w:gridCol w:w="427"/>
              <w:gridCol w:w="981"/>
              <w:gridCol w:w="397"/>
              <w:gridCol w:w="426"/>
            </w:tblGrid>
            <w:tr w14:paraId="2773A5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gridSpan w:val="2"/>
                  <w:tcBorders>
                    <w:tl2br w:val="nil"/>
                    <w:tr2bl w:val="nil"/>
                  </w:tcBorders>
                  <w:noWrap w:val="0"/>
                  <w:vAlign w:val="center"/>
                </w:tcPr>
                <w:p w14:paraId="49E47B27">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物料名称</w:t>
                  </w:r>
                </w:p>
              </w:tc>
              <w:tc>
                <w:tcPr>
                  <w:tcW w:w="672" w:type="pct"/>
                  <w:tcBorders>
                    <w:tl2br w:val="nil"/>
                    <w:tr2bl w:val="nil"/>
                  </w:tcBorders>
                  <w:noWrap w:val="0"/>
                  <w:vAlign w:val="center"/>
                </w:tcPr>
                <w:p w14:paraId="758A536E">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eastAsia="zh-CN"/>
                    </w:rPr>
                    <w:t>包装形式及</w:t>
                  </w:r>
                  <w:r>
                    <w:rPr>
                      <w:rFonts w:hint="default" w:ascii="Times New Roman" w:hAnsi="Times New Roman" w:eastAsia="宋体" w:cs="Times New Roman"/>
                      <w:b/>
                      <w:bCs/>
                      <w:color w:val="auto"/>
                      <w:sz w:val="18"/>
                      <w:szCs w:val="18"/>
                    </w:rPr>
                    <w:t>规格</w:t>
                  </w:r>
                </w:p>
              </w:tc>
              <w:tc>
                <w:tcPr>
                  <w:tcW w:w="692" w:type="pct"/>
                  <w:tcBorders>
                    <w:tl2br w:val="nil"/>
                    <w:tr2bl w:val="nil"/>
                  </w:tcBorders>
                  <w:noWrap w:val="0"/>
                  <w:vAlign w:val="center"/>
                </w:tcPr>
                <w:p w14:paraId="1B5E3F62">
                  <w:pPr>
                    <w:spacing w:line="240" w:lineRule="auto"/>
                    <w:ind w:firstLine="0" w:firstLineChars="0"/>
                    <w:jc w:val="center"/>
                    <w:rPr>
                      <w:rFonts w:hint="default"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现有项目最大年用量</w:t>
                  </w:r>
                </w:p>
              </w:tc>
              <w:tc>
                <w:tcPr>
                  <w:tcW w:w="618" w:type="pct"/>
                  <w:tcBorders>
                    <w:tl2br w:val="nil"/>
                    <w:tr2bl w:val="nil"/>
                  </w:tcBorders>
                  <w:noWrap w:val="0"/>
                  <w:vAlign w:val="center"/>
                </w:tcPr>
                <w:p w14:paraId="028B4E55">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eastAsia="zh-CN"/>
                    </w:rPr>
                    <w:t>技改前后变化量</w:t>
                  </w:r>
                </w:p>
              </w:tc>
              <w:tc>
                <w:tcPr>
                  <w:tcW w:w="692" w:type="pct"/>
                  <w:tcBorders>
                    <w:tl2br w:val="nil"/>
                    <w:tr2bl w:val="nil"/>
                  </w:tcBorders>
                  <w:noWrap w:val="0"/>
                  <w:vAlign w:val="center"/>
                </w:tcPr>
                <w:p w14:paraId="0334660C">
                  <w:pPr>
                    <w:spacing w:line="240" w:lineRule="auto"/>
                    <w:ind w:firstLine="0" w:firstLineChars="0"/>
                    <w:jc w:val="center"/>
                    <w:rPr>
                      <w:rFonts w:hint="eastAsia"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技改实施后全厂年用量</w:t>
                  </w:r>
                </w:p>
              </w:tc>
              <w:tc>
                <w:tcPr>
                  <w:tcW w:w="247" w:type="pct"/>
                  <w:tcBorders>
                    <w:tl2br w:val="nil"/>
                    <w:tr2bl w:val="nil"/>
                  </w:tcBorders>
                  <w:noWrap w:val="0"/>
                  <w:vAlign w:val="center"/>
                </w:tcPr>
                <w:p w14:paraId="0692893A">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形态</w:t>
                  </w:r>
                </w:p>
              </w:tc>
              <w:tc>
                <w:tcPr>
                  <w:tcW w:w="567" w:type="pct"/>
                  <w:tcBorders>
                    <w:tl2br w:val="nil"/>
                    <w:tr2bl w:val="nil"/>
                  </w:tcBorders>
                  <w:noWrap w:val="0"/>
                  <w:vAlign w:val="center"/>
                </w:tcPr>
                <w:p w14:paraId="2D2B92A2">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储存位置</w:t>
                  </w:r>
                </w:p>
              </w:tc>
              <w:tc>
                <w:tcPr>
                  <w:tcW w:w="229" w:type="pct"/>
                  <w:tcBorders>
                    <w:tl2br w:val="nil"/>
                    <w:tr2bl w:val="nil"/>
                  </w:tcBorders>
                  <w:noWrap w:val="0"/>
                  <w:vAlign w:val="center"/>
                </w:tcPr>
                <w:p w14:paraId="37D70996">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运输方式</w:t>
                  </w:r>
                </w:p>
              </w:tc>
              <w:tc>
                <w:tcPr>
                  <w:tcW w:w="246" w:type="pct"/>
                  <w:tcBorders>
                    <w:tl2br w:val="nil"/>
                    <w:tr2bl w:val="nil"/>
                  </w:tcBorders>
                  <w:noWrap w:val="0"/>
                  <w:vAlign w:val="center"/>
                </w:tcPr>
                <w:p w14:paraId="03D204D7">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来源</w:t>
                  </w:r>
                </w:p>
              </w:tc>
            </w:tr>
            <w:tr w14:paraId="185D42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0" w:type="pct"/>
                  <w:vMerge w:val="restart"/>
                  <w:tcBorders>
                    <w:tl2br w:val="nil"/>
                    <w:tr2bl w:val="nil"/>
                  </w:tcBorders>
                  <w:noWrap w:val="0"/>
                  <w:vAlign w:val="center"/>
                </w:tcPr>
                <w:p w14:paraId="0F4F7E7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bCs/>
                      <w:color w:val="auto"/>
                      <w:sz w:val="18"/>
                      <w:szCs w:val="18"/>
                    </w:rPr>
                    <w:t>原辅材料</w:t>
                  </w:r>
                </w:p>
              </w:tc>
              <w:tc>
                <w:tcPr>
                  <w:tcW w:w="781" w:type="pct"/>
                  <w:tcBorders>
                    <w:tl2br w:val="nil"/>
                    <w:tr2bl w:val="nil"/>
                  </w:tcBorders>
                  <w:shd w:val="clear" w:color="auto" w:fill="auto"/>
                  <w:noWrap w:val="0"/>
                  <w:vAlign w:val="center"/>
                </w:tcPr>
                <w:p w14:paraId="2616D45E">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卡夫特K-9392单组份环氧胶粘剂</w:t>
                  </w:r>
                </w:p>
              </w:tc>
              <w:tc>
                <w:tcPr>
                  <w:tcW w:w="672" w:type="pct"/>
                  <w:tcBorders>
                    <w:tl2br w:val="nil"/>
                    <w:tr2bl w:val="nil"/>
                  </w:tcBorders>
                  <w:shd w:val="clear" w:color="auto" w:fill="auto"/>
                  <w:noWrap w:val="0"/>
                  <w:vAlign w:val="center"/>
                </w:tcPr>
                <w:p w14:paraId="288588CF">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瓶装</w:t>
                  </w:r>
                </w:p>
              </w:tc>
              <w:tc>
                <w:tcPr>
                  <w:tcW w:w="692" w:type="pct"/>
                  <w:tcBorders>
                    <w:tl2br w:val="nil"/>
                    <w:tr2bl w:val="nil"/>
                  </w:tcBorders>
                  <w:shd w:val="clear" w:color="auto" w:fill="auto"/>
                  <w:noWrap w:val="0"/>
                  <w:vAlign w:val="center"/>
                </w:tcPr>
                <w:p w14:paraId="43BC791B">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0</w:t>
                  </w:r>
                </w:p>
              </w:tc>
              <w:tc>
                <w:tcPr>
                  <w:tcW w:w="618" w:type="pct"/>
                  <w:tcBorders>
                    <w:tl2br w:val="nil"/>
                    <w:tr2bl w:val="nil"/>
                  </w:tcBorders>
                  <w:shd w:val="clear" w:color="auto" w:fill="auto"/>
                  <w:noWrap w:val="0"/>
                  <w:vAlign w:val="center"/>
                </w:tcPr>
                <w:p w14:paraId="48274540">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+0.21t/a</w:t>
                  </w:r>
                </w:p>
              </w:tc>
              <w:tc>
                <w:tcPr>
                  <w:tcW w:w="692" w:type="pct"/>
                  <w:tcBorders>
                    <w:tl2br w:val="nil"/>
                    <w:tr2bl w:val="nil"/>
                  </w:tcBorders>
                  <w:shd w:val="clear" w:color="auto" w:fill="auto"/>
                  <w:noWrap w:val="0"/>
                  <w:vAlign w:val="center"/>
                </w:tcPr>
                <w:p w14:paraId="281FE333">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0.21t/a</w:t>
                  </w:r>
                </w:p>
              </w:tc>
              <w:tc>
                <w:tcPr>
                  <w:tcW w:w="247" w:type="pct"/>
                  <w:tcBorders>
                    <w:tl2br w:val="nil"/>
                    <w:tr2bl w:val="nil"/>
                  </w:tcBorders>
                  <w:shd w:val="clear" w:color="auto" w:fill="auto"/>
                  <w:noWrap w:val="0"/>
                  <w:vAlign w:val="center"/>
                </w:tcPr>
                <w:p w14:paraId="41CC3A13">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液态</w:t>
                  </w:r>
                </w:p>
              </w:tc>
              <w:tc>
                <w:tcPr>
                  <w:tcW w:w="567" w:type="pct"/>
                  <w:tcBorders>
                    <w:tl2br w:val="nil"/>
                    <w:tr2bl w:val="nil"/>
                  </w:tcBorders>
                  <w:shd w:val="clear" w:color="auto" w:fill="auto"/>
                  <w:noWrap w:val="0"/>
                  <w:vAlign w:val="center"/>
                </w:tcPr>
                <w:p w14:paraId="50211061">
                  <w:pPr>
                    <w:spacing w:line="240" w:lineRule="auto"/>
                    <w:ind w:left="0" w:leftChars="0" w:firstLine="0" w:firstLineChars="0"/>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冷藏</w:t>
                  </w:r>
                </w:p>
                <w:p w14:paraId="5A50907C">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w:t>
                  </w:r>
                  <w:r>
                    <w:rPr>
                      <w:rFonts w:hint="default" w:cs="Times New Roman"/>
                      <w:b w:val="0"/>
                      <w:bCs w:val="0"/>
                      <w:color w:val="auto"/>
                      <w:sz w:val="18"/>
                      <w:szCs w:val="18"/>
                      <w:highlight w:val="none"/>
                      <w:lang w:val="en-US" w:eastAsia="zh-CN"/>
                    </w:rPr>
                    <w:t>-10℃</w:t>
                  </w:r>
                  <w:r>
                    <w:rPr>
                      <w:rFonts w:hint="eastAsia" w:cs="Times New Roman"/>
                      <w:b w:val="0"/>
                      <w:bCs w:val="0"/>
                      <w:color w:val="auto"/>
                      <w:sz w:val="18"/>
                      <w:szCs w:val="18"/>
                      <w:highlight w:val="none"/>
                      <w:lang w:val="en-US" w:eastAsia="zh-CN"/>
                    </w:rPr>
                    <w:t>)</w:t>
                  </w:r>
                </w:p>
              </w:tc>
              <w:tc>
                <w:tcPr>
                  <w:tcW w:w="229" w:type="pct"/>
                  <w:tcBorders>
                    <w:tl2br w:val="nil"/>
                    <w:tr2bl w:val="nil"/>
                  </w:tcBorders>
                  <w:shd w:val="clear" w:color="auto" w:fill="auto"/>
                  <w:noWrap w:val="0"/>
                  <w:vAlign w:val="center"/>
                </w:tcPr>
                <w:p w14:paraId="7885FE5C">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4D45E677">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外购</w:t>
                  </w:r>
                </w:p>
              </w:tc>
            </w:tr>
            <w:tr w14:paraId="6A32A8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50" w:type="pct"/>
                  <w:vMerge w:val="continue"/>
                  <w:tcBorders>
                    <w:tl2br w:val="nil"/>
                    <w:tr2bl w:val="nil"/>
                  </w:tcBorders>
                  <w:noWrap w:val="0"/>
                  <w:vAlign w:val="center"/>
                </w:tcPr>
                <w:p w14:paraId="5536D497">
                  <w:pPr>
                    <w:spacing w:line="240" w:lineRule="auto"/>
                    <w:ind w:firstLine="0" w:firstLineChars="0"/>
                    <w:jc w:val="center"/>
                    <w:rPr>
                      <w:rFonts w:hint="default" w:ascii="Times New Roman" w:hAnsi="Times New Roman" w:eastAsia="宋体" w:cs="Times New Roman"/>
                      <w:b/>
                      <w:bCs/>
                      <w:color w:val="auto"/>
                      <w:sz w:val="18"/>
                      <w:szCs w:val="18"/>
                    </w:rPr>
                  </w:pPr>
                </w:p>
              </w:tc>
              <w:tc>
                <w:tcPr>
                  <w:tcW w:w="781" w:type="pct"/>
                  <w:tcBorders>
                    <w:tl2br w:val="nil"/>
                    <w:tr2bl w:val="nil"/>
                  </w:tcBorders>
                  <w:shd w:val="clear" w:color="auto" w:fill="auto"/>
                  <w:noWrap w:val="0"/>
                  <w:vAlign w:val="center"/>
                </w:tcPr>
                <w:p w14:paraId="038EEFD1">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Cs/>
                      <w:color w:val="auto"/>
                      <w:sz w:val="18"/>
                      <w:szCs w:val="18"/>
                      <w:lang w:val="en-US" w:eastAsia="zh-CN"/>
                    </w:rPr>
                    <w:t>氢封5885单组分改性聚硅氧烷封装剂</w:t>
                  </w:r>
                </w:p>
              </w:tc>
              <w:tc>
                <w:tcPr>
                  <w:tcW w:w="672" w:type="pct"/>
                  <w:tcBorders>
                    <w:tl2br w:val="nil"/>
                    <w:tr2bl w:val="nil"/>
                  </w:tcBorders>
                  <w:shd w:val="clear" w:color="auto" w:fill="auto"/>
                  <w:noWrap w:val="0"/>
                  <w:vAlign w:val="center"/>
                </w:tcPr>
                <w:p w14:paraId="188CAD78">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瓶装</w:t>
                  </w:r>
                </w:p>
              </w:tc>
              <w:tc>
                <w:tcPr>
                  <w:tcW w:w="692" w:type="pct"/>
                  <w:tcBorders>
                    <w:tl2br w:val="nil"/>
                    <w:tr2bl w:val="nil"/>
                  </w:tcBorders>
                  <w:shd w:val="clear" w:color="auto" w:fill="auto"/>
                  <w:noWrap w:val="0"/>
                  <w:vAlign w:val="center"/>
                </w:tcPr>
                <w:p w14:paraId="32AB91DF">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0</w:t>
                  </w:r>
                </w:p>
              </w:tc>
              <w:tc>
                <w:tcPr>
                  <w:tcW w:w="618" w:type="pct"/>
                  <w:tcBorders>
                    <w:tl2br w:val="nil"/>
                    <w:tr2bl w:val="nil"/>
                  </w:tcBorders>
                  <w:shd w:val="clear" w:color="auto" w:fill="auto"/>
                  <w:noWrap w:val="0"/>
                  <w:vAlign w:val="center"/>
                </w:tcPr>
                <w:p w14:paraId="08FA4173">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+2.15t/a</w:t>
                  </w:r>
                </w:p>
              </w:tc>
              <w:tc>
                <w:tcPr>
                  <w:tcW w:w="692" w:type="pct"/>
                  <w:tcBorders>
                    <w:tl2br w:val="nil"/>
                    <w:tr2bl w:val="nil"/>
                  </w:tcBorders>
                  <w:shd w:val="clear" w:color="auto" w:fill="auto"/>
                  <w:noWrap w:val="0"/>
                  <w:vAlign w:val="center"/>
                </w:tcPr>
                <w:p w14:paraId="549BE254">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2.15t/a</w:t>
                  </w:r>
                </w:p>
              </w:tc>
              <w:tc>
                <w:tcPr>
                  <w:tcW w:w="247" w:type="pct"/>
                  <w:tcBorders>
                    <w:tl2br w:val="nil"/>
                    <w:tr2bl w:val="nil"/>
                  </w:tcBorders>
                  <w:shd w:val="clear" w:color="auto" w:fill="auto"/>
                  <w:noWrap w:val="0"/>
                  <w:vAlign w:val="center"/>
                </w:tcPr>
                <w:p w14:paraId="7579CF30">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液态</w:t>
                  </w:r>
                </w:p>
              </w:tc>
              <w:tc>
                <w:tcPr>
                  <w:tcW w:w="567" w:type="pct"/>
                  <w:tcBorders>
                    <w:tl2br w:val="nil"/>
                    <w:tr2bl w:val="nil"/>
                  </w:tcBorders>
                  <w:shd w:val="clear" w:color="auto" w:fill="auto"/>
                  <w:noWrap w:val="0"/>
                  <w:vAlign w:val="center"/>
                </w:tcPr>
                <w:p w14:paraId="30B4E3FF">
                  <w:pPr>
                    <w:spacing w:line="240" w:lineRule="auto"/>
                    <w:ind w:left="0" w:leftChars="0" w:firstLine="0" w:firstLineChars="0"/>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冷藏</w:t>
                  </w:r>
                </w:p>
                <w:p w14:paraId="654F54AA">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w:t>
                  </w:r>
                  <w:r>
                    <w:rPr>
                      <w:rFonts w:hint="default" w:ascii="Times New Roman" w:hAnsi="Times New Roman" w:cs="Times New Roman"/>
                      <w:b w:val="0"/>
                      <w:bCs w:val="0"/>
                      <w:color w:val="auto"/>
                      <w:sz w:val="18"/>
                      <w:szCs w:val="18"/>
                      <w:highlight w:val="none"/>
                      <w:lang w:val="en-US" w:eastAsia="zh-CN"/>
                    </w:rPr>
                    <w:t>-10℃</w:t>
                  </w:r>
                  <w:r>
                    <w:rPr>
                      <w:rFonts w:hint="eastAsia" w:cs="Times New Roman"/>
                      <w:b w:val="0"/>
                      <w:bCs w:val="0"/>
                      <w:color w:val="auto"/>
                      <w:sz w:val="18"/>
                      <w:szCs w:val="18"/>
                      <w:highlight w:val="none"/>
                      <w:lang w:val="en-US" w:eastAsia="zh-CN"/>
                    </w:rPr>
                    <w:t>)</w:t>
                  </w:r>
                </w:p>
              </w:tc>
              <w:tc>
                <w:tcPr>
                  <w:tcW w:w="229" w:type="pct"/>
                  <w:tcBorders>
                    <w:tl2br w:val="nil"/>
                    <w:tr2bl w:val="nil"/>
                  </w:tcBorders>
                  <w:shd w:val="clear" w:color="auto" w:fill="auto"/>
                  <w:noWrap w:val="0"/>
                  <w:vAlign w:val="center"/>
                </w:tcPr>
                <w:p w14:paraId="76BB7432">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07E2A7E4">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外购</w:t>
                  </w:r>
                </w:p>
              </w:tc>
            </w:tr>
            <w:tr w14:paraId="349C26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tcBorders>
                    <w:tl2br w:val="nil"/>
                    <w:tr2bl w:val="nil"/>
                  </w:tcBorders>
                  <w:noWrap w:val="0"/>
                  <w:vAlign w:val="center"/>
                </w:tcPr>
                <w:p w14:paraId="6C169E2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485C605B">
                  <w:pPr>
                    <w:spacing w:line="240" w:lineRule="auto"/>
                    <w:ind w:firstLine="0" w:firstLineChars="0"/>
                    <w:jc w:val="center"/>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b w:val="0"/>
                      <w:bCs w:val="0"/>
                      <w:color w:val="auto"/>
                      <w:sz w:val="18"/>
                      <w:szCs w:val="18"/>
                      <w:lang w:val="en-US" w:eastAsia="zh-CN"/>
                    </w:rPr>
                    <w:t>全氟磺酸聚合膜</w:t>
                  </w:r>
                </w:p>
              </w:tc>
              <w:tc>
                <w:tcPr>
                  <w:tcW w:w="672" w:type="pct"/>
                  <w:tcBorders>
                    <w:tl2br w:val="nil"/>
                    <w:tr2bl w:val="nil"/>
                  </w:tcBorders>
                  <w:noWrap w:val="0"/>
                  <w:vAlign w:val="center"/>
                </w:tcPr>
                <w:p w14:paraId="0171B2E7">
                  <w:pPr>
                    <w:spacing w:line="240" w:lineRule="auto"/>
                    <w:ind w:firstLine="0" w:firstLineChars="0"/>
                    <w:jc w:val="center"/>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noWrap w:val="0"/>
                  <w:vAlign w:val="center"/>
                </w:tcPr>
                <w:p w14:paraId="2249E6F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5×10</w:t>
                  </w:r>
                  <w:r>
                    <w:rPr>
                      <w:rFonts w:hint="eastAsia" w:ascii="Times New Roman" w:hAnsi="Times New Roman" w:eastAsia="宋体" w:cs="Times New Roman"/>
                      <w:b w:val="0"/>
                      <w:bCs w:val="0"/>
                      <w:color w:val="auto"/>
                      <w:sz w:val="18"/>
                      <w:szCs w:val="18"/>
                      <w:vertAlign w:val="superscript"/>
                      <w:lang w:val="en-US" w:eastAsia="zh-CN"/>
                    </w:rPr>
                    <w:t>2</w:t>
                  </w:r>
                  <w:r>
                    <w:rPr>
                      <w:rFonts w:hint="eastAsia" w:ascii="Times New Roman" w:hAnsi="Times New Roman" w:eastAsia="宋体" w:cs="Times New Roman"/>
                      <w:b w:val="0"/>
                      <w:bCs w:val="0"/>
                      <w:color w:val="auto"/>
                      <w:sz w:val="18"/>
                      <w:szCs w:val="18"/>
                      <w:lang w:val="en-US" w:eastAsia="zh-CN"/>
                    </w:rPr>
                    <w:t>kg</w:t>
                  </w:r>
                </w:p>
              </w:tc>
              <w:tc>
                <w:tcPr>
                  <w:tcW w:w="618" w:type="pct"/>
                  <w:tcBorders>
                    <w:tl2br w:val="nil"/>
                    <w:tr2bl w:val="nil"/>
                  </w:tcBorders>
                  <w:noWrap w:val="0"/>
                  <w:vAlign w:val="center"/>
                </w:tcPr>
                <w:p w14:paraId="473B5AA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7F4F954F">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5×10</w:t>
                  </w:r>
                  <w:r>
                    <w:rPr>
                      <w:rFonts w:hint="eastAsia" w:ascii="Times New Roman" w:hAnsi="Times New Roman" w:eastAsia="宋体" w:cs="Times New Roman"/>
                      <w:b w:val="0"/>
                      <w:bCs w:val="0"/>
                      <w:color w:val="auto"/>
                      <w:sz w:val="18"/>
                      <w:szCs w:val="18"/>
                      <w:vertAlign w:val="superscript"/>
                      <w:lang w:val="en-US" w:eastAsia="zh-CN"/>
                    </w:rPr>
                    <w:t>2</w:t>
                  </w:r>
                  <w:r>
                    <w:rPr>
                      <w:rFonts w:hint="eastAsia" w:ascii="Times New Roman" w:hAnsi="Times New Roman" w:eastAsia="宋体" w:cs="Times New Roman"/>
                      <w:b w:val="0"/>
                      <w:bCs w:val="0"/>
                      <w:color w:val="auto"/>
                      <w:sz w:val="18"/>
                      <w:szCs w:val="18"/>
                      <w:lang w:val="en-US" w:eastAsia="zh-CN"/>
                    </w:rPr>
                    <w:t>kg</w:t>
                  </w:r>
                </w:p>
              </w:tc>
              <w:tc>
                <w:tcPr>
                  <w:tcW w:w="247" w:type="pct"/>
                  <w:tcBorders>
                    <w:tl2br w:val="nil"/>
                    <w:tr2bl w:val="nil"/>
                  </w:tcBorders>
                  <w:noWrap w:val="0"/>
                  <w:vAlign w:val="center"/>
                </w:tcPr>
                <w:p w14:paraId="78AF552F">
                  <w:pPr>
                    <w:spacing w:line="240" w:lineRule="auto"/>
                    <w:ind w:firstLine="0" w:firstLineChars="0"/>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noWrap w:val="0"/>
                  <w:vAlign w:val="center"/>
                </w:tcPr>
                <w:p w14:paraId="0AC9D38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37A3086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5A94268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外购</w:t>
                  </w:r>
                </w:p>
              </w:tc>
            </w:tr>
            <w:tr w14:paraId="00D85C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50" w:type="pct"/>
                  <w:vMerge w:val="continue"/>
                  <w:tcBorders>
                    <w:tl2br w:val="nil"/>
                    <w:tr2bl w:val="nil"/>
                  </w:tcBorders>
                  <w:noWrap w:val="0"/>
                  <w:vAlign w:val="center"/>
                </w:tcPr>
                <w:p w14:paraId="51829885">
                  <w:pPr>
                    <w:spacing w:line="240" w:lineRule="auto"/>
                    <w:ind w:firstLine="0" w:firstLineChars="0"/>
                    <w:jc w:val="center"/>
                    <w:rPr>
                      <w:rFonts w:hint="default" w:ascii="Times New Roman" w:hAnsi="Times New Roman" w:eastAsia="宋体" w:cs="Times New Roman"/>
                      <w:b w:val="0"/>
                      <w:bCs w:val="0"/>
                      <w:color w:val="auto"/>
                      <w:sz w:val="18"/>
                      <w:szCs w:val="18"/>
                    </w:rPr>
                  </w:pPr>
                </w:p>
              </w:tc>
              <w:tc>
                <w:tcPr>
                  <w:tcW w:w="781" w:type="pct"/>
                  <w:tcBorders>
                    <w:tl2br w:val="nil"/>
                    <w:tr2bl w:val="nil"/>
                  </w:tcBorders>
                  <w:noWrap w:val="0"/>
                  <w:vAlign w:val="center"/>
                </w:tcPr>
                <w:p w14:paraId="49C4AB81">
                  <w:pPr>
                    <w:spacing w:line="240" w:lineRule="auto"/>
                    <w:ind w:firstLine="0" w:firstLineChars="0"/>
                    <w:jc w:val="center"/>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b w:val="0"/>
                      <w:bCs w:val="0"/>
                      <w:color w:val="auto"/>
                      <w:sz w:val="18"/>
                      <w:szCs w:val="18"/>
                      <w:lang w:val="en-US" w:eastAsia="zh-CN"/>
                    </w:rPr>
                    <w:t>石墨极板</w:t>
                  </w:r>
                </w:p>
              </w:tc>
              <w:tc>
                <w:tcPr>
                  <w:tcW w:w="672" w:type="pct"/>
                  <w:tcBorders>
                    <w:tl2br w:val="nil"/>
                    <w:tr2bl w:val="nil"/>
                  </w:tcBorders>
                  <w:noWrap w:val="0"/>
                  <w:vAlign w:val="center"/>
                </w:tcPr>
                <w:p w14:paraId="4572FC4C">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noWrap w:val="0"/>
                  <w:vAlign w:val="center"/>
                </w:tcPr>
                <w:p w14:paraId="30F76E4F">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.5×10</w:t>
                  </w:r>
                  <w:r>
                    <w:rPr>
                      <w:rFonts w:hint="eastAsia" w:ascii="Times New Roman" w:hAnsi="Times New Roman" w:eastAsia="宋体" w:cs="Times New Roman"/>
                      <w:b w:val="0"/>
                      <w:bCs w:val="0"/>
                      <w:color w:val="auto"/>
                      <w:sz w:val="18"/>
                      <w:szCs w:val="18"/>
                      <w:vertAlign w:val="superscript"/>
                      <w:lang w:val="en-US" w:eastAsia="zh-CN"/>
                    </w:rPr>
                    <w:t>6</w:t>
                  </w:r>
                  <w:r>
                    <w:rPr>
                      <w:rFonts w:hint="default" w:ascii="Times New Roman" w:hAnsi="Times New Roman" w:eastAsia="宋体" w:cs="Times New Roman"/>
                      <w:b w:val="0"/>
                      <w:bCs w:val="0"/>
                      <w:color w:val="auto"/>
                      <w:sz w:val="18"/>
                      <w:szCs w:val="18"/>
                      <w:lang w:val="en-US" w:eastAsia="zh-CN"/>
                    </w:rPr>
                    <w:t>组</w:t>
                  </w:r>
                </w:p>
              </w:tc>
              <w:tc>
                <w:tcPr>
                  <w:tcW w:w="618" w:type="pct"/>
                  <w:tcBorders>
                    <w:tl2br w:val="nil"/>
                    <w:tr2bl w:val="nil"/>
                  </w:tcBorders>
                  <w:noWrap w:val="0"/>
                  <w:vAlign w:val="center"/>
                </w:tcPr>
                <w:p w14:paraId="6459AE04">
                  <w:pPr>
                    <w:spacing w:line="240" w:lineRule="auto"/>
                    <w:ind w:firstLine="0" w:firstLineChars="0"/>
                    <w:jc w:val="center"/>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045D6278">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.5×10</w:t>
                  </w:r>
                  <w:r>
                    <w:rPr>
                      <w:rFonts w:hint="eastAsia" w:ascii="Times New Roman" w:hAnsi="Times New Roman" w:eastAsia="宋体" w:cs="Times New Roman"/>
                      <w:b w:val="0"/>
                      <w:bCs w:val="0"/>
                      <w:color w:val="auto"/>
                      <w:sz w:val="18"/>
                      <w:szCs w:val="18"/>
                      <w:vertAlign w:val="superscript"/>
                      <w:lang w:val="en-US" w:eastAsia="zh-CN"/>
                    </w:rPr>
                    <w:t>6</w:t>
                  </w:r>
                  <w:r>
                    <w:rPr>
                      <w:rFonts w:hint="default" w:ascii="Times New Roman" w:hAnsi="Times New Roman" w:eastAsia="宋体" w:cs="Times New Roman"/>
                      <w:b w:val="0"/>
                      <w:bCs w:val="0"/>
                      <w:color w:val="auto"/>
                      <w:sz w:val="18"/>
                      <w:szCs w:val="18"/>
                      <w:lang w:val="en-US" w:eastAsia="zh-CN"/>
                    </w:rPr>
                    <w:t>组</w:t>
                  </w:r>
                </w:p>
              </w:tc>
              <w:tc>
                <w:tcPr>
                  <w:tcW w:w="247" w:type="pct"/>
                  <w:tcBorders>
                    <w:tl2br w:val="nil"/>
                    <w:tr2bl w:val="nil"/>
                  </w:tcBorders>
                  <w:noWrap w:val="0"/>
                  <w:vAlign w:val="center"/>
                </w:tcPr>
                <w:p w14:paraId="4ED46C9E">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noWrap w:val="0"/>
                  <w:vAlign w:val="center"/>
                </w:tcPr>
                <w:p w14:paraId="3D60F4CF">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1C131A25">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1C5156C6">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外购</w:t>
                  </w:r>
                </w:p>
              </w:tc>
            </w:tr>
            <w:tr w14:paraId="06A921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tcBorders>
                    <w:tl2br w:val="nil"/>
                    <w:tr2bl w:val="nil"/>
                  </w:tcBorders>
                  <w:noWrap w:val="0"/>
                  <w:vAlign w:val="center"/>
                </w:tcPr>
                <w:p w14:paraId="47284B68">
                  <w:pPr>
                    <w:spacing w:line="240" w:lineRule="auto"/>
                    <w:ind w:firstLine="0" w:firstLineChars="0"/>
                    <w:jc w:val="center"/>
                    <w:rPr>
                      <w:rFonts w:hint="default" w:ascii="Times New Roman" w:hAnsi="Times New Roman" w:eastAsia="宋体" w:cs="Times New Roman"/>
                      <w:b w:val="0"/>
                      <w:bCs w:val="0"/>
                      <w:color w:val="auto"/>
                      <w:sz w:val="18"/>
                      <w:szCs w:val="18"/>
                    </w:rPr>
                  </w:pPr>
                </w:p>
              </w:tc>
              <w:tc>
                <w:tcPr>
                  <w:tcW w:w="781" w:type="pct"/>
                  <w:tcBorders>
                    <w:tl2br w:val="nil"/>
                    <w:tr2bl w:val="nil"/>
                  </w:tcBorders>
                  <w:noWrap w:val="0"/>
                  <w:vAlign w:val="center"/>
                </w:tcPr>
                <w:p w14:paraId="7D0B586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绝缘板</w:t>
                  </w:r>
                </w:p>
              </w:tc>
              <w:tc>
                <w:tcPr>
                  <w:tcW w:w="672" w:type="pct"/>
                  <w:tcBorders>
                    <w:tl2br w:val="nil"/>
                    <w:tr2bl w:val="nil"/>
                  </w:tcBorders>
                  <w:noWrap w:val="0"/>
                  <w:vAlign w:val="center"/>
                </w:tcPr>
                <w:p w14:paraId="2FB2AEC5">
                  <w:pPr>
                    <w:spacing w:line="240" w:lineRule="auto"/>
                    <w:ind w:firstLine="0" w:firstLineChars="0"/>
                    <w:jc w:val="center"/>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noWrap w:val="0"/>
                  <w:vAlign w:val="center"/>
                </w:tcPr>
                <w:p w14:paraId="2D6866BF">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块</w:t>
                  </w:r>
                </w:p>
              </w:tc>
              <w:tc>
                <w:tcPr>
                  <w:tcW w:w="618" w:type="pct"/>
                  <w:tcBorders>
                    <w:tl2br w:val="nil"/>
                    <w:tr2bl w:val="nil"/>
                  </w:tcBorders>
                  <w:noWrap w:val="0"/>
                  <w:vAlign w:val="center"/>
                </w:tcPr>
                <w:p w14:paraId="79A79190">
                  <w:pPr>
                    <w:spacing w:line="240" w:lineRule="auto"/>
                    <w:ind w:firstLine="0" w:firstLineChars="0"/>
                    <w:jc w:val="center"/>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7536B982">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块</w:t>
                  </w:r>
                </w:p>
              </w:tc>
              <w:tc>
                <w:tcPr>
                  <w:tcW w:w="247" w:type="pct"/>
                  <w:tcBorders>
                    <w:tl2br w:val="nil"/>
                    <w:tr2bl w:val="nil"/>
                  </w:tcBorders>
                  <w:noWrap w:val="0"/>
                  <w:vAlign w:val="center"/>
                </w:tcPr>
                <w:p w14:paraId="608633ED">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noWrap w:val="0"/>
                  <w:vAlign w:val="center"/>
                </w:tcPr>
                <w:p w14:paraId="2C1D6A85">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18E61CC3">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69DA90E8">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外购</w:t>
                  </w:r>
                </w:p>
              </w:tc>
            </w:tr>
            <w:tr w14:paraId="34EE26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tcBorders>
                    <w:tl2br w:val="nil"/>
                    <w:tr2bl w:val="nil"/>
                  </w:tcBorders>
                  <w:noWrap w:val="0"/>
                  <w:vAlign w:val="center"/>
                </w:tcPr>
                <w:p w14:paraId="1004C6E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shd w:val="clear" w:color="auto" w:fill="auto"/>
                  <w:noWrap w:val="0"/>
                  <w:vAlign w:val="center"/>
                </w:tcPr>
                <w:p w14:paraId="634E7262">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碳</w:t>
                  </w:r>
                  <w:r>
                    <w:rPr>
                      <w:rFonts w:hint="eastAsia" w:ascii="Times New Roman" w:hAnsi="Times New Roman" w:eastAsia="宋体" w:cs="Times New Roman"/>
                      <w:b w:val="0"/>
                      <w:bCs w:val="0"/>
                      <w:color w:val="auto"/>
                      <w:sz w:val="18"/>
                      <w:szCs w:val="18"/>
                      <w:highlight w:val="none"/>
                      <w:lang w:val="en-US" w:eastAsia="zh-CN"/>
                    </w:rPr>
                    <w:t>布</w:t>
                  </w:r>
                </w:p>
              </w:tc>
              <w:tc>
                <w:tcPr>
                  <w:tcW w:w="672" w:type="pct"/>
                  <w:tcBorders>
                    <w:tl2br w:val="nil"/>
                    <w:tr2bl w:val="nil"/>
                  </w:tcBorders>
                  <w:shd w:val="clear" w:color="auto" w:fill="auto"/>
                  <w:noWrap w:val="0"/>
                  <w:vAlign w:val="center"/>
                </w:tcPr>
                <w:p w14:paraId="6CAFF9E6">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shd w:val="clear" w:color="auto" w:fill="auto"/>
                  <w:noWrap w:val="0"/>
                  <w:vAlign w:val="center"/>
                </w:tcPr>
                <w:p w14:paraId="6693C31D">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张</w:t>
                  </w:r>
                </w:p>
              </w:tc>
              <w:tc>
                <w:tcPr>
                  <w:tcW w:w="618" w:type="pct"/>
                  <w:tcBorders>
                    <w:tl2br w:val="nil"/>
                    <w:tr2bl w:val="nil"/>
                  </w:tcBorders>
                  <w:shd w:val="clear" w:color="auto" w:fill="auto"/>
                  <w:noWrap w:val="0"/>
                  <w:vAlign w:val="center"/>
                </w:tcPr>
                <w:p w14:paraId="14C777F2">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0</w:t>
                  </w:r>
                </w:p>
              </w:tc>
              <w:tc>
                <w:tcPr>
                  <w:tcW w:w="692" w:type="pct"/>
                  <w:tcBorders>
                    <w:tl2br w:val="nil"/>
                    <w:tr2bl w:val="nil"/>
                  </w:tcBorders>
                  <w:shd w:val="clear" w:color="auto" w:fill="auto"/>
                  <w:noWrap w:val="0"/>
                  <w:vAlign w:val="center"/>
                </w:tcPr>
                <w:p w14:paraId="3706C50B">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张</w:t>
                  </w:r>
                </w:p>
              </w:tc>
              <w:tc>
                <w:tcPr>
                  <w:tcW w:w="247" w:type="pct"/>
                  <w:tcBorders>
                    <w:tl2br w:val="nil"/>
                    <w:tr2bl w:val="nil"/>
                  </w:tcBorders>
                  <w:shd w:val="clear" w:color="auto" w:fill="auto"/>
                  <w:noWrap w:val="0"/>
                  <w:vAlign w:val="center"/>
                </w:tcPr>
                <w:p w14:paraId="587A2370">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shd w:val="clear" w:color="auto" w:fill="auto"/>
                  <w:noWrap w:val="0"/>
                  <w:vAlign w:val="center"/>
                </w:tcPr>
                <w:p w14:paraId="5B74C508">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shd w:val="clear" w:color="auto" w:fill="auto"/>
                  <w:noWrap w:val="0"/>
                  <w:vAlign w:val="center"/>
                </w:tcPr>
                <w:p w14:paraId="2EA2CD3A">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29DDAC07">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外购</w:t>
                  </w:r>
                </w:p>
              </w:tc>
            </w:tr>
            <w:tr w14:paraId="0D6EF1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0" w:type="pct"/>
                  <w:vMerge w:val="continue"/>
                  <w:tcBorders>
                    <w:tl2br w:val="nil"/>
                    <w:tr2bl w:val="nil"/>
                  </w:tcBorders>
                  <w:noWrap w:val="0"/>
                  <w:vAlign w:val="center"/>
                </w:tcPr>
                <w:p w14:paraId="107518C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3101F958">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color w:val="auto"/>
                      <w:sz w:val="18"/>
                      <w:szCs w:val="18"/>
                      <w:highlight w:val="none"/>
                      <w:lang w:val="en-US" w:eastAsia="zh-CN"/>
                    </w:rPr>
                    <w:t>碳纸</w:t>
                  </w:r>
                </w:p>
              </w:tc>
              <w:tc>
                <w:tcPr>
                  <w:tcW w:w="672" w:type="pct"/>
                  <w:tcBorders>
                    <w:tl2br w:val="nil"/>
                    <w:tr2bl w:val="nil"/>
                  </w:tcBorders>
                  <w:noWrap w:val="0"/>
                  <w:vAlign w:val="center"/>
                </w:tcPr>
                <w:p w14:paraId="08AC85B0">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noWrap w:val="0"/>
                  <w:vAlign w:val="center"/>
                </w:tcPr>
                <w:p w14:paraId="07F42EB6">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张</w:t>
                  </w:r>
                </w:p>
              </w:tc>
              <w:tc>
                <w:tcPr>
                  <w:tcW w:w="618" w:type="pct"/>
                  <w:tcBorders>
                    <w:tl2br w:val="nil"/>
                    <w:tr2bl w:val="nil"/>
                  </w:tcBorders>
                  <w:noWrap w:val="0"/>
                  <w:vAlign w:val="center"/>
                </w:tcPr>
                <w:p w14:paraId="453D57DB">
                  <w:pPr>
                    <w:spacing w:line="240" w:lineRule="auto"/>
                    <w:ind w:firstLine="0" w:firstLineChars="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w:t>
                  </w:r>
                </w:p>
              </w:tc>
              <w:tc>
                <w:tcPr>
                  <w:tcW w:w="692" w:type="pct"/>
                  <w:tcBorders>
                    <w:tl2br w:val="nil"/>
                    <w:tr2bl w:val="nil"/>
                  </w:tcBorders>
                  <w:shd w:val="clear" w:color="auto" w:fill="auto"/>
                  <w:noWrap w:val="0"/>
                  <w:vAlign w:val="center"/>
                </w:tcPr>
                <w:p w14:paraId="7B169D97">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5</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张</w:t>
                  </w:r>
                </w:p>
              </w:tc>
              <w:tc>
                <w:tcPr>
                  <w:tcW w:w="247" w:type="pct"/>
                  <w:tcBorders>
                    <w:tl2br w:val="nil"/>
                    <w:tr2bl w:val="nil"/>
                  </w:tcBorders>
                  <w:noWrap w:val="0"/>
                  <w:vAlign w:val="center"/>
                </w:tcPr>
                <w:p w14:paraId="0A7D91D1">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noWrap w:val="0"/>
                  <w:vAlign w:val="center"/>
                </w:tcPr>
                <w:p w14:paraId="0E4A84E8">
                  <w:pPr>
                    <w:spacing w:line="240" w:lineRule="auto"/>
                    <w:ind w:left="0" w:leftChars="0"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0E45273C">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3AE3B274">
                  <w:pPr>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外购</w:t>
                  </w:r>
                </w:p>
              </w:tc>
            </w:tr>
            <w:tr w14:paraId="69655F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0" w:type="pct"/>
                  <w:vMerge w:val="continue"/>
                  <w:tcBorders>
                    <w:tl2br w:val="nil"/>
                    <w:tr2bl w:val="nil"/>
                  </w:tcBorders>
                  <w:noWrap w:val="0"/>
                  <w:vAlign w:val="center"/>
                </w:tcPr>
                <w:p w14:paraId="0CD37E8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965784C">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密封圈</w:t>
                  </w:r>
                </w:p>
              </w:tc>
              <w:tc>
                <w:tcPr>
                  <w:tcW w:w="672" w:type="pct"/>
                  <w:tcBorders>
                    <w:tl2br w:val="nil"/>
                    <w:tr2bl w:val="nil"/>
                  </w:tcBorders>
                  <w:noWrap w:val="0"/>
                  <w:vAlign w:val="center"/>
                </w:tcPr>
                <w:p w14:paraId="45EDB5F0">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塑料袋装</w:t>
                  </w:r>
                </w:p>
              </w:tc>
              <w:tc>
                <w:tcPr>
                  <w:tcW w:w="692" w:type="pct"/>
                  <w:tcBorders>
                    <w:tl2br w:val="nil"/>
                    <w:tr2bl w:val="nil"/>
                  </w:tcBorders>
                  <w:shd w:val="clear" w:color="auto" w:fill="auto"/>
                  <w:noWrap w:val="0"/>
                  <w:vAlign w:val="center"/>
                </w:tcPr>
                <w:p w14:paraId="654DAEA3">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6</w:t>
                  </w:r>
                  <w:r>
                    <w:rPr>
                      <w:rFonts w:hint="eastAsia" w:ascii="Times New Roman" w:hAnsi="Times New Roman" w:eastAsia="宋体" w:cs="Times New Roman"/>
                      <w:b w:val="0"/>
                      <w:bCs w:val="0"/>
                      <w:color w:val="auto"/>
                      <w:sz w:val="18"/>
                      <w:szCs w:val="18"/>
                      <w:lang w:val="en-US" w:eastAsia="zh-CN"/>
                    </w:rPr>
                    <w:t>×10</w:t>
                  </w:r>
                  <w:r>
                    <w:rPr>
                      <w:rFonts w:hint="eastAsia" w:ascii="Times New Roman" w:hAnsi="Times New Roman"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个</w:t>
                  </w:r>
                </w:p>
              </w:tc>
              <w:tc>
                <w:tcPr>
                  <w:tcW w:w="618" w:type="pct"/>
                  <w:tcBorders>
                    <w:tl2br w:val="nil"/>
                    <w:tr2bl w:val="nil"/>
                  </w:tcBorders>
                  <w:shd w:val="clear" w:color="auto" w:fill="auto"/>
                  <w:noWrap w:val="0"/>
                  <w:vAlign w:val="center"/>
                </w:tcPr>
                <w:p w14:paraId="19F66F9D">
                  <w:pPr>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-2</w:t>
                  </w:r>
                  <w:r>
                    <w:rPr>
                      <w:rFonts w:hint="eastAsia" w:ascii="Times New Roman" w:hAnsi="Times New Roman" w:eastAsia="宋体" w:cs="Times New Roman"/>
                      <w:b w:val="0"/>
                      <w:bCs w:val="0"/>
                      <w:color w:val="auto"/>
                      <w:sz w:val="18"/>
                      <w:szCs w:val="18"/>
                      <w:lang w:val="en-US" w:eastAsia="zh-CN"/>
                    </w:rPr>
                    <w:t>×10</w:t>
                  </w:r>
                  <w:r>
                    <w:rPr>
                      <w:rFonts w:hint="eastAsia" w:ascii="Times New Roman" w:hAnsi="Times New Roman"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个</w:t>
                  </w:r>
                </w:p>
              </w:tc>
              <w:tc>
                <w:tcPr>
                  <w:tcW w:w="692" w:type="pct"/>
                  <w:tcBorders>
                    <w:tl2br w:val="nil"/>
                    <w:tr2bl w:val="nil"/>
                  </w:tcBorders>
                  <w:shd w:val="clear" w:color="auto" w:fill="auto"/>
                  <w:noWrap w:val="0"/>
                  <w:vAlign w:val="center"/>
                </w:tcPr>
                <w:p w14:paraId="355677DD">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4</w:t>
                  </w:r>
                  <w:r>
                    <w:rPr>
                      <w:rFonts w:hint="eastAsia" w:ascii="Times New Roman" w:hAnsi="Times New Roman" w:eastAsia="宋体" w:cs="Times New Roman"/>
                      <w:b w:val="0"/>
                      <w:bCs w:val="0"/>
                      <w:color w:val="auto"/>
                      <w:sz w:val="18"/>
                      <w:szCs w:val="18"/>
                      <w:lang w:val="en-US" w:eastAsia="zh-CN"/>
                    </w:rPr>
                    <w:t>×10</w:t>
                  </w:r>
                  <w:r>
                    <w:rPr>
                      <w:rFonts w:hint="eastAsia" w:ascii="Times New Roman" w:hAnsi="Times New Roman"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个</w:t>
                  </w:r>
                </w:p>
              </w:tc>
              <w:tc>
                <w:tcPr>
                  <w:tcW w:w="247" w:type="pct"/>
                  <w:tcBorders>
                    <w:tl2br w:val="nil"/>
                    <w:tr2bl w:val="nil"/>
                  </w:tcBorders>
                  <w:shd w:val="clear" w:color="auto" w:fill="auto"/>
                  <w:noWrap w:val="0"/>
                  <w:vAlign w:val="center"/>
                </w:tcPr>
                <w:p w14:paraId="1DD7C76A">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固态</w:t>
                  </w:r>
                </w:p>
              </w:tc>
              <w:tc>
                <w:tcPr>
                  <w:tcW w:w="567" w:type="pct"/>
                  <w:tcBorders>
                    <w:tl2br w:val="nil"/>
                    <w:tr2bl w:val="nil"/>
                  </w:tcBorders>
                  <w:shd w:val="clear" w:color="auto" w:fill="auto"/>
                  <w:noWrap w:val="0"/>
                  <w:vAlign w:val="center"/>
                </w:tcPr>
                <w:p w14:paraId="3680AF65">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shd w:val="clear" w:color="auto" w:fill="auto"/>
                  <w:noWrap w:val="0"/>
                  <w:vAlign w:val="center"/>
                </w:tcPr>
                <w:p w14:paraId="5F2CCE50">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6EBB5C9C">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外购</w:t>
                  </w:r>
                </w:p>
              </w:tc>
            </w:tr>
            <w:tr w14:paraId="7A0FA9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0" w:type="pct"/>
                  <w:vMerge w:val="continue"/>
                  <w:tcBorders>
                    <w:tl2br w:val="nil"/>
                    <w:tr2bl w:val="nil"/>
                  </w:tcBorders>
                  <w:noWrap w:val="0"/>
                  <w:vAlign w:val="center"/>
                </w:tcPr>
                <w:p w14:paraId="597AC7F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6CCA465">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边框</w:t>
                  </w:r>
                </w:p>
              </w:tc>
              <w:tc>
                <w:tcPr>
                  <w:tcW w:w="672" w:type="pct"/>
                  <w:tcBorders>
                    <w:tl2br w:val="nil"/>
                    <w:tr2bl w:val="nil"/>
                  </w:tcBorders>
                  <w:noWrap w:val="0"/>
                  <w:vAlign w:val="center"/>
                </w:tcPr>
                <w:p w14:paraId="1EA03439">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纸箱包装</w:t>
                  </w:r>
                </w:p>
              </w:tc>
              <w:tc>
                <w:tcPr>
                  <w:tcW w:w="692" w:type="pct"/>
                  <w:tcBorders>
                    <w:tl2br w:val="nil"/>
                    <w:tr2bl w:val="nil"/>
                  </w:tcBorders>
                  <w:noWrap w:val="0"/>
                  <w:vAlign w:val="center"/>
                </w:tcPr>
                <w:p w14:paraId="5FB7C394">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r>
                    <w:rPr>
                      <w:rFonts w:hint="eastAsia" w:ascii="Times New Roman" w:hAnsi="Times New Roman" w:eastAsia="宋体" w:cs="Times New Roman"/>
                      <w:b w:val="0"/>
                      <w:bCs w:val="0"/>
                      <w:color w:val="auto"/>
                      <w:sz w:val="18"/>
                      <w:szCs w:val="18"/>
                      <w:lang w:val="en-US" w:eastAsia="zh-CN"/>
                    </w:rPr>
                    <w:t>×10</w:t>
                  </w:r>
                  <w:r>
                    <w:rPr>
                      <w:rFonts w:hint="eastAsia" w:ascii="Times New Roman" w:hAnsi="Times New Roman"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个</w:t>
                  </w:r>
                </w:p>
              </w:tc>
              <w:tc>
                <w:tcPr>
                  <w:tcW w:w="618" w:type="pct"/>
                  <w:tcBorders>
                    <w:tl2br w:val="nil"/>
                    <w:tr2bl w:val="nil"/>
                  </w:tcBorders>
                  <w:noWrap w:val="0"/>
                  <w:vAlign w:val="center"/>
                </w:tcPr>
                <w:p w14:paraId="74F12AF0">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71B6739C">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2.8</w:t>
                  </w:r>
                  <w:r>
                    <w:rPr>
                      <w:rFonts w:hint="eastAsia" w:ascii="Times New Roman" w:hAnsi="Times New Roman" w:eastAsia="宋体" w:cs="Times New Roman"/>
                      <w:b w:val="0"/>
                      <w:bCs w:val="0"/>
                      <w:color w:val="auto"/>
                      <w:sz w:val="18"/>
                      <w:szCs w:val="18"/>
                      <w:lang w:val="en-US" w:eastAsia="zh-CN"/>
                    </w:rPr>
                    <w:t>×10</w:t>
                  </w:r>
                  <w:r>
                    <w:rPr>
                      <w:rFonts w:hint="eastAsia" w:ascii="Times New Roman" w:hAnsi="Times New Roman" w:eastAsia="宋体" w:cs="Times New Roman"/>
                      <w:b w:val="0"/>
                      <w:bCs w:val="0"/>
                      <w:color w:val="auto"/>
                      <w:sz w:val="18"/>
                      <w:szCs w:val="18"/>
                      <w:vertAlign w:val="superscript"/>
                      <w:lang w:val="en-US" w:eastAsia="zh-CN"/>
                    </w:rPr>
                    <w:t>6</w:t>
                  </w:r>
                  <w:r>
                    <w:rPr>
                      <w:rFonts w:hint="eastAsia" w:ascii="Times New Roman" w:hAnsi="Times New Roman" w:eastAsia="宋体" w:cs="Times New Roman"/>
                      <w:b w:val="0"/>
                      <w:bCs w:val="0"/>
                      <w:color w:val="auto"/>
                      <w:sz w:val="18"/>
                      <w:szCs w:val="18"/>
                      <w:highlight w:val="none"/>
                      <w:lang w:val="en-US" w:eastAsia="zh-CN"/>
                    </w:rPr>
                    <w:t>个</w:t>
                  </w:r>
                </w:p>
              </w:tc>
              <w:tc>
                <w:tcPr>
                  <w:tcW w:w="247" w:type="pct"/>
                  <w:tcBorders>
                    <w:tl2br w:val="nil"/>
                    <w:tr2bl w:val="nil"/>
                  </w:tcBorders>
                  <w:noWrap w:val="0"/>
                  <w:vAlign w:val="center"/>
                </w:tcPr>
                <w:p w14:paraId="38286AE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4DDE6B04">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4C8C5EC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22162C2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2FB9A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4DB8E3A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4EE659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紧固件</w:t>
                  </w:r>
                </w:p>
              </w:tc>
              <w:tc>
                <w:tcPr>
                  <w:tcW w:w="672" w:type="pct"/>
                  <w:tcBorders>
                    <w:tl2br w:val="nil"/>
                    <w:tr2bl w:val="nil"/>
                  </w:tcBorders>
                  <w:noWrap w:val="0"/>
                  <w:vAlign w:val="center"/>
                </w:tcPr>
                <w:p w14:paraId="5E1E35E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5B2D19D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套</w:t>
                  </w:r>
                </w:p>
              </w:tc>
              <w:tc>
                <w:tcPr>
                  <w:tcW w:w="618" w:type="pct"/>
                  <w:tcBorders>
                    <w:tl2br w:val="nil"/>
                    <w:tr2bl w:val="nil"/>
                  </w:tcBorders>
                  <w:noWrap w:val="0"/>
                  <w:vAlign w:val="center"/>
                </w:tcPr>
                <w:p w14:paraId="12DC18F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5084965F">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套</w:t>
                  </w:r>
                </w:p>
              </w:tc>
              <w:tc>
                <w:tcPr>
                  <w:tcW w:w="247" w:type="pct"/>
                  <w:tcBorders>
                    <w:tl2br w:val="nil"/>
                    <w:tr2bl w:val="nil"/>
                  </w:tcBorders>
                  <w:noWrap w:val="0"/>
                  <w:vAlign w:val="center"/>
                </w:tcPr>
                <w:p w14:paraId="2E51C93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438480D2">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09FC211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66906E4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37713D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2A25982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3E76C4F5">
                  <w:pPr>
                    <w:keepNext w:val="0"/>
                    <w:keepLines w:val="0"/>
                    <w:widowControl/>
                    <w:suppressLineNumbers w:val="0"/>
                    <w:adjustRightInd/>
                    <w:snapToGrid/>
                    <w:spacing w:before="0" w:beforeAutospacing="0" w:after="0" w:afterAutospacing="0"/>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sz w:val="18"/>
                      <w:szCs w:val="18"/>
                      <w:lang w:val="en-US" w:eastAsia="zh-CN"/>
                    </w:rPr>
                    <w:t>空压机</w:t>
                  </w:r>
                </w:p>
              </w:tc>
              <w:tc>
                <w:tcPr>
                  <w:tcW w:w="672" w:type="pct"/>
                  <w:tcBorders>
                    <w:tl2br w:val="nil"/>
                    <w:tr2bl w:val="nil"/>
                  </w:tcBorders>
                  <w:noWrap w:val="0"/>
                  <w:vAlign w:val="center"/>
                </w:tcPr>
                <w:p w14:paraId="035624F0">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4D8A416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618" w:type="pct"/>
                  <w:tcBorders>
                    <w:tl2br w:val="nil"/>
                    <w:tr2bl w:val="nil"/>
                  </w:tcBorders>
                  <w:noWrap w:val="0"/>
                  <w:vAlign w:val="center"/>
                </w:tcPr>
                <w:p w14:paraId="7A0D7A8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1302B20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247" w:type="pct"/>
                  <w:tcBorders>
                    <w:tl2br w:val="nil"/>
                    <w:tr2bl w:val="nil"/>
                  </w:tcBorders>
                  <w:noWrap w:val="0"/>
                  <w:vAlign w:val="center"/>
                </w:tcPr>
                <w:p w14:paraId="0E40CC1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27842263">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2001C62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6B48621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F09D6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706CAF4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609309A6">
                  <w:pPr>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sz w:val="18"/>
                      <w:szCs w:val="18"/>
                      <w:lang w:val="en-US" w:eastAsia="zh-CN"/>
                    </w:rPr>
                    <w:t>空气过滤器</w:t>
                  </w:r>
                </w:p>
              </w:tc>
              <w:tc>
                <w:tcPr>
                  <w:tcW w:w="672" w:type="pct"/>
                  <w:tcBorders>
                    <w:tl2br w:val="nil"/>
                    <w:tr2bl w:val="nil"/>
                  </w:tcBorders>
                  <w:noWrap w:val="0"/>
                  <w:vAlign w:val="center"/>
                </w:tcPr>
                <w:p w14:paraId="1ECAB6F5">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07DF4DD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618" w:type="pct"/>
                  <w:tcBorders>
                    <w:tl2br w:val="nil"/>
                    <w:tr2bl w:val="nil"/>
                  </w:tcBorders>
                  <w:noWrap w:val="0"/>
                  <w:vAlign w:val="center"/>
                </w:tcPr>
                <w:p w14:paraId="7BDEF1E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40D5B32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247" w:type="pct"/>
                  <w:tcBorders>
                    <w:tl2br w:val="nil"/>
                    <w:tr2bl w:val="nil"/>
                  </w:tcBorders>
                  <w:noWrap w:val="0"/>
                  <w:vAlign w:val="center"/>
                </w:tcPr>
                <w:p w14:paraId="15A5152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265511AF">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5E7D092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49160D5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0FD87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2A2DB3B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727C75E">
                  <w:pPr>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sz w:val="18"/>
                      <w:szCs w:val="18"/>
                      <w:lang w:val="en-US" w:eastAsia="zh-CN"/>
                    </w:rPr>
                    <w:t>氢循环泵</w:t>
                  </w:r>
                </w:p>
              </w:tc>
              <w:tc>
                <w:tcPr>
                  <w:tcW w:w="672" w:type="pct"/>
                  <w:tcBorders>
                    <w:tl2br w:val="nil"/>
                    <w:tr2bl w:val="nil"/>
                  </w:tcBorders>
                  <w:noWrap w:val="0"/>
                  <w:vAlign w:val="center"/>
                </w:tcPr>
                <w:p w14:paraId="10C3B8FD">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4F6BD5B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618" w:type="pct"/>
                  <w:tcBorders>
                    <w:tl2br w:val="nil"/>
                    <w:tr2bl w:val="nil"/>
                  </w:tcBorders>
                  <w:noWrap w:val="0"/>
                  <w:vAlign w:val="center"/>
                </w:tcPr>
                <w:p w14:paraId="071C41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1910B87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247" w:type="pct"/>
                  <w:tcBorders>
                    <w:tl2br w:val="nil"/>
                    <w:tr2bl w:val="nil"/>
                  </w:tcBorders>
                  <w:noWrap w:val="0"/>
                  <w:vAlign w:val="center"/>
                </w:tcPr>
                <w:p w14:paraId="0FFA5C6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19DA7FBB">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3AD6D80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52A2705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5E99C0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3645034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3FAEA9C">
                  <w:pPr>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sz w:val="18"/>
                      <w:szCs w:val="18"/>
                      <w:lang w:val="en-US" w:eastAsia="zh-CN"/>
                    </w:rPr>
                    <w:t>散热器</w:t>
                  </w:r>
                </w:p>
              </w:tc>
              <w:tc>
                <w:tcPr>
                  <w:tcW w:w="672" w:type="pct"/>
                  <w:tcBorders>
                    <w:tl2br w:val="nil"/>
                    <w:tr2bl w:val="nil"/>
                  </w:tcBorders>
                  <w:noWrap w:val="0"/>
                  <w:vAlign w:val="center"/>
                </w:tcPr>
                <w:p w14:paraId="65E9A47C">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2AC16E0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618" w:type="pct"/>
                  <w:tcBorders>
                    <w:tl2br w:val="nil"/>
                    <w:tr2bl w:val="nil"/>
                  </w:tcBorders>
                  <w:noWrap w:val="0"/>
                  <w:vAlign w:val="center"/>
                </w:tcPr>
                <w:p w14:paraId="483A713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1BF5D53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247" w:type="pct"/>
                  <w:tcBorders>
                    <w:tl2br w:val="nil"/>
                    <w:tr2bl w:val="nil"/>
                  </w:tcBorders>
                  <w:noWrap w:val="0"/>
                  <w:vAlign w:val="center"/>
                </w:tcPr>
                <w:p w14:paraId="5AB30DF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27D8DE67">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382A4E1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57C1CCD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2142CF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21B834A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BBBBF91">
                  <w:pPr>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sz w:val="18"/>
                      <w:szCs w:val="18"/>
                      <w:lang w:val="en-US" w:eastAsia="zh-CN"/>
                    </w:rPr>
                    <w:t>转换器</w:t>
                  </w:r>
                </w:p>
              </w:tc>
              <w:tc>
                <w:tcPr>
                  <w:tcW w:w="672" w:type="pct"/>
                  <w:tcBorders>
                    <w:tl2br w:val="nil"/>
                    <w:tr2bl w:val="nil"/>
                  </w:tcBorders>
                  <w:noWrap w:val="0"/>
                  <w:vAlign w:val="center"/>
                </w:tcPr>
                <w:p w14:paraId="13181D6C">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28A44FA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618" w:type="pct"/>
                  <w:tcBorders>
                    <w:tl2br w:val="nil"/>
                    <w:tr2bl w:val="nil"/>
                  </w:tcBorders>
                  <w:noWrap w:val="0"/>
                  <w:vAlign w:val="center"/>
                </w:tcPr>
                <w:p w14:paraId="2EF127E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4797C26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r>
                    <w:rPr>
                      <w:rFonts w:hint="eastAsia"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5</w:t>
                  </w:r>
                  <w:r>
                    <w:rPr>
                      <w:rFonts w:hint="default" w:ascii="Times New Roman" w:hAnsi="Times New Roman" w:eastAsia="宋体" w:cs="Times New Roman"/>
                      <w:b w:val="0"/>
                      <w:bCs w:val="0"/>
                      <w:color w:val="auto"/>
                      <w:sz w:val="18"/>
                      <w:szCs w:val="18"/>
                      <w:lang w:val="en-US" w:eastAsia="zh-CN"/>
                    </w:rPr>
                    <w:t>个</w:t>
                  </w:r>
                </w:p>
              </w:tc>
              <w:tc>
                <w:tcPr>
                  <w:tcW w:w="247" w:type="pct"/>
                  <w:tcBorders>
                    <w:tl2br w:val="nil"/>
                    <w:tr2bl w:val="nil"/>
                  </w:tcBorders>
                  <w:noWrap w:val="0"/>
                  <w:vAlign w:val="center"/>
                </w:tcPr>
                <w:p w14:paraId="79ED867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456B6DD8">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00E1F51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324E48A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3E5FBB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1D79316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08B63D0">
                  <w:pPr>
                    <w:spacing w:line="240" w:lineRule="auto"/>
                    <w:ind w:firstLine="0" w:firstLineChars="0"/>
                    <w:jc w:val="center"/>
                    <w:rPr>
                      <w:rFonts w:hint="default"/>
                      <w:sz w:val="18"/>
                      <w:szCs w:val="18"/>
                      <w:lang w:val="en-US" w:eastAsia="zh-CN"/>
                    </w:rPr>
                  </w:pPr>
                  <w:r>
                    <w:rPr>
                      <w:rFonts w:hint="eastAsia"/>
                      <w:sz w:val="18"/>
                      <w:szCs w:val="18"/>
                      <w:lang w:val="en-US" w:eastAsia="zh-CN"/>
                    </w:rPr>
                    <w:t>螺母、螺钉</w:t>
                  </w:r>
                </w:p>
              </w:tc>
              <w:tc>
                <w:tcPr>
                  <w:tcW w:w="672" w:type="pct"/>
                  <w:tcBorders>
                    <w:tl2br w:val="nil"/>
                    <w:tr2bl w:val="nil"/>
                  </w:tcBorders>
                  <w:noWrap w:val="0"/>
                  <w:vAlign w:val="center"/>
                </w:tcPr>
                <w:p w14:paraId="782AE7E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692" w:type="pct"/>
                  <w:tcBorders>
                    <w:tl2br w:val="nil"/>
                    <w:tr2bl w:val="nil"/>
                  </w:tcBorders>
                  <w:noWrap w:val="0"/>
                  <w:vAlign w:val="center"/>
                </w:tcPr>
                <w:p w14:paraId="12332BC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若干</w:t>
                  </w:r>
                </w:p>
              </w:tc>
              <w:tc>
                <w:tcPr>
                  <w:tcW w:w="618" w:type="pct"/>
                  <w:tcBorders>
                    <w:tl2br w:val="nil"/>
                    <w:tr2bl w:val="nil"/>
                  </w:tcBorders>
                  <w:shd w:val="clear" w:color="auto" w:fill="auto"/>
                  <w:noWrap w:val="0"/>
                  <w:vAlign w:val="center"/>
                </w:tcPr>
                <w:p w14:paraId="6D74F673">
                  <w:pPr>
                    <w:spacing w:line="240" w:lineRule="auto"/>
                    <w:ind w:firstLine="0" w:firstLineChars="0"/>
                    <w:jc w:val="center"/>
                    <w:rPr>
                      <w:rFonts w:hint="default"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08309F33">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sz w:val="18"/>
                      <w:szCs w:val="18"/>
                      <w:lang w:val="en-US" w:eastAsia="zh-CN"/>
                    </w:rPr>
                    <w:t>若干</w:t>
                  </w:r>
                </w:p>
              </w:tc>
              <w:tc>
                <w:tcPr>
                  <w:tcW w:w="247" w:type="pct"/>
                  <w:tcBorders>
                    <w:tl2br w:val="nil"/>
                    <w:tr2bl w:val="nil"/>
                  </w:tcBorders>
                  <w:noWrap w:val="0"/>
                  <w:vAlign w:val="center"/>
                </w:tcPr>
                <w:p w14:paraId="3103817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noWrap w:val="0"/>
                  <w:vAlign w:val="center"/>
                </w:tcPr>
                <w:p w14:paraId="73F6AF11">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noWrap w:val="0"/>
                  <w:vAlign w:val="center"/>
                </w:tcPr>
                <w:p w14:paraId="1D8C4DE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noWrap w:val="0"/>
                  <w:vAlign w:val="center"/>
                </w:tcPr>
                <w:p w14:paraId="7876A80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59C8E2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7146A40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shd w:val="clear" w:color="auto" w:fill="auto"/>
                  <w:noWrap w:val="0"/>
                  <w:vAlign w:val="center"/>
                </w:tcPr>
                <w:p w14:paraId="4AC73DAB">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丁腈手套</w:t>
                  </w:r>
                </w:p>
              </w:tc>
              <w:tc>
                <w:tcPr>
                  <w:tcW w:w="672" w:type="pct"/>
                  <w:tcBorders>
                    <w:tl2br w:val="nil"/>
                    <w:tr2bl w:val="nil"/>
                  </w:tcBorders>
                  <w:shd w:val="clear" w:color="auto" w:fill="auto"/>
                  <w:noWrap w:val="0"/>
                  <w:vAlign w:val="center"/>
                </w:tcPr>
                <w:p w14:paraId="311CED80">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塑料袋装</w:t>
                  </w:r>
                </w:p>
                <w:p w14:paraId="6E2E688E">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100双/包</w:t>
                  </w:r>
                </w:p>
              </w:tc>
              <w:tc>
                <w:tcPr>
                  <w:tcW w:w="692" w:type="pct"/>
                  <w:tcBorders>
                    <w:tl2br w:val="nil"/>
                    <w:tr2bl w:val="nil"/>
                  </w:tcBorders>
                  <w:shd w:val="clear" w:color="auto" w:fill="auto"/>
                  <w:noWrap w:val="0"/>
                  <w:vAlign w:val="center"/>
                </w:tcPr>
                <w:p w14:paraId="0C3A8216">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500</w:t>
                  </w:r>
                  <w:r>
                    <w:rPr>
                      <w:rFonts w:hint="default" w:ascii="Times New Roman" w:hAnsi="Times New Roman" w:eastAsia="宋体" w:cs="Times New Roman"/>
                      <w:b w:val="0"/>
                      <w:bCs w:val="0"/>
                      <w:color w:val="auto"/>
                      <w:sz w:val="18"/>
                      <w:szCs w:val="18"/>
                      <w:lang w:val="en-US" w:eastAsia="zh-CN"/>
                    </w:rPr>
                    <w:t>双</w:t>
                  </w:r>
                </w:p>
              </w:tc>
              <w:tc>
                <w:tcPr>
                  <w:tcW w:w="618" w:type="pct"/>
                  <w:tcBorders>
                    <w:tl2br w:val="nil"/>
                    <w:tr2bl w:val="nil"/>
                  </w:tcBorders>
                  <w:shd w:val="clear" w:color="auto" w:fill="auto"/>
                  <w:noWrap w:val="0"/>
                  <w:vAlign w:val="center"/>
                </w:tcPr>
                <w:p w14:paraId="49F00E6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049F3AAF">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500</w:t>
                  </w:r>
                  <w:r>
                    <w:rPr>
                      <w:rFonts w:hint="default" w:ascii="Times New Roman" w:hAnsi="Times New Roman" w:eastAsia="宋体" w:cs="Times New Roman"/>
                      <w:b w:val="0"/>
                      <w:bCs w:val="0"/>
                      <w:color w:val="auto"/>
                      <w:sz w:val="18"/>
                      <w:szCs w:val="18"/>
                      <w:lang w:val="en-US" w:eastAsia="zh-CN"/>
                    </w:rPr>
                    <w:t>双</w:t>
                  </w:r>
                </w:p>
              </w:tc>
              <w:tc>
                <w:tcPr>
                  <w:tcW w:w="247" w:type="pct"/>
                  <w:tcBorders>
                    <w:tl2br w:val="nil"/>
                    <w:tr2bl w:val="nil"/>
                  </w:tcBorders>
                  <w:shd w:val="clear" w:color="auto" w:fill="auto"/>
                  <w:noWrap w:val="0"/>
                  <w:vAlign w:val="center"/>
                </w:tcPr>
                <w:p w14:paraId="429CFB17">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shd w:val="clear" w:color="auto" w:fill="auto"/>
                  <w:noWrap w:val="0"/>
                  <w:vAlign w:val="center"/>
                </w:tcPr>
                <w:p w14:paraId="742133DE">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shd w:val="clear" w:color="auto" w:fill="auto"/>
                  <w:noWrap w:val="0"/>
                  <w:vAlign w:val="center"/>
                </w:tcPr>
                <w:p w14:paraId="03A67BAE">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12241DC4">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外购</w:t>
                  </w:r>
                </w:p>
              </w:tc>
            </w:tr>
            <w:tr w14:paraId="2B0B38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 w:type="pct"/>
                  <w:vMerge w:val="continue"/>
                  <w:tcBorders>
                    <w:tl2br w:val="nil"/>
                    <w:tr2bl w:val="nil"/>
                  </w:tcBorders>
                  <w:noWrap w:val="0"/>
                  <w:vAlign w:val="center"/>
                </w:tcPr>
                <w:p w14:paraId="3129011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shd w:val="clear" w:color="auto" w:fill="auto"/>
                  <w:noWrap w:val="0"/>
                  <w:vAlign w:val="center"/>
                </w:tcPr>
                <w:p w14:paraId="54F26C43">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kern w:val="0"/>
                      <w:sz w:val="18"/>
                      <w:szCs w:val="18"/>
                      <w:lang w:val="en-US" w:eastAsia="zh-CN"/>
                    </w:rPr>
                    <w:t>无尘布</w:t>
                  </w:r>
                </w:p>
              </w:tc>
              <w:tc>
                <w:tcPr>
                  <w:tcW w:w="672" w:type="pct"/>
                  <w:tcBorders>
                    <w:tl2br w:val="nil"/>
                    <w:tr2bl w:val="nil"/>
                  </w:tcBorders>
                  <w:shd w:val="clear" w:color="auto" w:fill="auto"/>
                  <w:noWrap w:val="0"/>
                  <w:vAlign w:val="center"/>
                </w:tcPr>
                <w:p w14:paraId="6111AD9C">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纸箱包装</w:t>
                  </w:r>
                </w:p>
                <w:p w14:paraId="7268709D">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sz w:val="18"/>
                      <w:szCs w:val="18"/>
                      <w:lang w:val="en-US" w:eastAsia="zh-CN"/>
                    </w:rPr>
                    <w:t>15cm</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15cm</w:t>
                  </w:r>
                </w:p>
              </w:tc>
              <w:tc>
                <w:tcPr>
                  <w:tcW w:w="692" w:type="pct"/>
                  <w:tcBorders>
                    <w:tl2br w:val="nil"/>
                    <w:tr2bl w:val="nil"/>
                  </w:tcBorders>
                  <w:shd w:val="clear" w:color="auto" w:fill="auto"/>
                  <w:noWrap w:val="0"/>
                  <w:vAlign w:val="center"/>
                </w:tcPr>
                <w:p w14:paraId="3A03CEF9">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900</w:t>
                  </w:r>
                  <w:r>
                    <w:rPr>
                      <w:rFonts w:hint="eastAsia" w:ascii="Times New Roman" w:hAnsi="Times New Roman" w:eastAsia="宋体" w:cs="Times New Roman"/>
                      <w:b w:val="0"/>
                      <w:bCs w:val="0"/>
                      <w:color w:val="auto"/>
                      <w:sz w:val="18"/>
                      <w:szCs w:val="18"/>
                      <w:lang w:val="en-US" w:eastAsia="zh-CN"/>
                    </w:rPr>
                    <w:t>张</w:t>
                  </w:r>
                </w:p>
              </w:tc>
              <w:tc>
                <w:tcPr>
                  <w:tcW w:w="618" w:type="pct"/>
                  <w:tcBorders>
                    <w:tl2br w:val="nil"/>
                    <w:tr2bl w:val="nil"/>
                  </w:tcBorders>
                  <w:shd w:val="clear" w:color="auto" w:fill="auto"/>
                  <w:noWrap w:val="0"/>
                  <w:vAlign w:val="center"/>
                </w:tcPr>
                <w:p w14:paraId="6747D62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sz w:val="18"/>
                      <w:szCs w:val="18"/>
                      <w:lang w:val="en-US" w:eastAsia="zh-CN"/>
                    </w:rPr>
                    <w:t>0</w:t>
                  </w:r>
                </w:p>
              </w:tc>
              <w:tc>
                <w:tcPr>
                  <w:tcW w:w="692" w:type="pct"/>
                  <w:tcBorders>
                    <w:tl2br w:val="nil"/>
                    <w:tr2bl w:val="nil"/>
                  </w:tcBorders>
                  <w:shd w:val="clear" w:color="auto" w:fill="auto"/>
                  <w:noWrap w:val="0"/>
                  <w:vAlign w:val="center"/>
                </w:tcPr>
                <w:p w14:paraId="56A3C694">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900</w:t>
                  </w:r>
                  <w:r>
                    <w:rPr>
                      <w:rFonts w:hint="eastAsia" w:ascii="Times New Roman" w:hAnsi="Times New Roman" w:eastAsia="宋体" w:cs="Times New Roman"/>
                      <w:b w:val="0"/>
                      <w:bCs w:val="0"/>
                      <w:color w:val="auto"/>
                      <w:sz w:val="18"/>
                      <w:szCs w:val="18"/>
                      <w:lang w:val="en-US" w:eastAsia="zh-CN"/>
                    </w:rPr>
                    <w:t>张</w:t>
                  </w:r>
                </w:p>
              </w:tc>
              <w:tc>
                <w:tcPr>
                  <w:tcW w:w="247" w:type="pct"/>
                  <w:tcBorders>
                    <w:tl2br w:val="nil"/>
                    <w:tr2bl w:val="nil"/>
                  </w:tcBorders>
                  <w:shd w:val="clear" w:color="auto" w:fill="auto"/>
                  <w:noWrap w:val="0"/>
                  <w:vAlign w:val="center"/>
                </w:tcPr>
                <w:p w14:paraId="431D640C">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固态</w:t>
                  </w:r>
                </w:p>
              </w:tc>
              <w:tc>
                <w:tcPr>
                  <w:tcW w:w="567" w:type="pct"/>
                  <w:tcBorders>
                    <w:tl2br w:val="nil"/>
                    <w:tr2bl w:val="nil"/>
                  </w:tcBorders>
                  <w:shd w:val="clear" w:color="auto" w:fill="auto"/>
                  <w:noWrap w:val="0"/>
                  <w:vAlign w:val="center"/>
                </w:tcPr>
                <w:p w14:paraId="5C2B0E2D">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shd w:val="clear" w:color="auto" w:fill="auto"/>
                  <w:noWrap w:val="0"/>
                  <w:vAlign w:val="center"/>
                </w:tcPr>
                <w:p w14:paraId="578FC23F">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10AC5EFC">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外购</w:t>
                  </w:r>
                </w:p>
              </w:tc>
            </w:tr>
            <w:tr w14:paraId="505802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50" w:type="pct"/>
                  <w:vMerge w:val="continue"/>
                  <w:tcBorders>
                    <w:tl2br w:val="nil"/>
                    <w:tr2bl w:val="nil"/>
                  </w:tcBorders>
                  <w:noWrap w:val="0"/>
                  <w:vAlign w:val="center"/>
                </w:tcPr>
                <w:p w14:paraId="14BE76DC">
                  <w:pPr>
                    <w:spacing w:line="240" w:lineRule="auto"/>
                    <w:ind w:firstLine="0" w:firstLineChars="0"/>
                    <w:jc w:val="center"/>
                    <w:rPr>
                      <w:rFonts w:hint="default" w:ascii="Times New Roman" w:hAnsi="Times New Roman" w:eastAsia="宋体" w:cs="Times New Roman"/>
                      <w:b/>
                      <w:bCs/>
                      <w:color w:val="auto"/>
                      <w:sz w:val="18"/>
                      <w:szCs w:val="18"/>
                    </w:rPr>
                  </w:pPr>
                </w:p>
              </w:tc>
              <w:tc>
                <w:tcPr>
                  <w:tcW w:w="781" w:type="pct"/>
                  <w:tcBorders>
                    <w:tl2br w:val="nil"/>
                    <w:tr2bl w:val="nil"/>
                  </w:tcBorders>
                  <w:shd w:val="clear" w:color="auto" w:fill="auto"/>
                  <w:noWrap w:val="0"/>
                  <w:vAlign w:val="center"/>
                </w:tcPr>
                <w:p w14:paraId="275CCD3F">
                  <w:pPr>
                    <w:spacing w:line="240" w:lineRule="auto"/>
                    <w:ind w:firstLine="0" w:firstLineChars="0"/>
                    <w:jc w:val="center"/>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活性炭</w:t>
                  </w:r>
                </w:p>
              </w:tc>
              <w:tc>
                <w:tcPr>
                  <w:tcW w:w="672" w:type="pct"/>
                  <w:tcBorders>
                    <w:tl2br w:val="nil"/>
                    <w:tr2bl w:val="nil"/>
                  </w:tcBorders>
                  <w:shd w:val="clear" w:color="auto" w:fill="auto"/>
                  <w:noWrap w:val="0"/>
                  <w:vAlign w:val="center"/>
                </w:tcPr>
                <w:p w14:paraId="613456F6">
                  <w:pPr>
                    <w:spacing w:line="240" w:lineRule="auto"/>
                    <w:ind w:firstLine="0" w:firstLineChars="0"/>
                    <w:jc w:val="center"/>
                    <w:rPr>
                      <w:rFonts w:hint="default" w:ascii="Times New Roman" w:hAnsi="Times New Roman" w:eastAsia="宋体" w:cs="Times New Roman"/>
                      <w:b w:val="0"/>
                      <w:bCs w:val="0"/>
                      <w:color w:val="auto"/>
                      <w:sz w:val="18"/>
                      <w:szCs w:val="18"/>
                      <w:highlight w:val="yellow"/>
                      <w:lang w:val="en-US" w:eastAsia="zh-CN"/>
                    </w:rPr>
                  </w:pPr>
                  <w:r>
                    <w:rPr>
                      <w:rFonts w:hint="eastAsia" w:cs="Times New Roman"/>
                      <w:b w:val="0"/>
                      <w:bCs w:val="0"/>
                      <w:color w:val="auto"/>
                      <w:sz w:val="18"/>
                      <w:szCs w:val="18"/>
                      <w:highlight w:val="none"/>
                      <w:lang w:val="en-US" w:eastAsia="zh-CN"/>
                    </w:rPr>
                    <w:t>袋装</w:t>
                  </w:r>
                </w:p>
              </w:tc>
              <w:tc>
                <w:tcPr>
                  <w:tcW w:w="692" w:type="pct"/>
                  <w:tcBorders>
                    <w:tl2br w:val="nil"/>
                    <w:tr2bl w:val="nil"/>
                  </w:tcBorders>
                  <w:shd w:val="clear" w:color="auto" w:fill="auto"/>
                  <w:noWrap w:val="0"/>
                  <w:vAlign w:val="center"/>
                </w:tcPr>
                <w:p w14:paraId="52B6215F">
                  <w:pPr>
                    <w:spacing w:line="240" w:lineRule="auto"/>
                    <w:ind w:firstLine="0" w:firstLineChars="0"/>
                    <w:jc w:val="center"/>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618" w:type="pct"/>
                  <w:tcBorders>
                    <w:tl2br w:val="nil"/>
                    <w:tr2bl w:val="nil"/>
                  </w:tcBorders>
                  <w:shd w:val="clear" w:color="auto" w:fill="auto"/>
                  <w:noWrap w:val="0"/>
                  <w:vAlign w:val="center"/>
                </w:tcPr>
                <w:p w14:paraId="4CB3B803">
                  <w:pPr>
                    <w:spacing w:line="240" w:lineRule="auto"/>
                    <w:ind w:firstLine="0" w:firstLineChars="0"/>
                    <w:jc w:val="center"/>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+1t/a</w:t>
                  </w:r>
                </w:p>
              </w:tc>
              <w:tc>
                <w:tcPr>
                  <w:tcW w:w="692" w:type="pct"/>
                  <w:tcBorders>
                    <w:tl2br w:val="nil"/>
                    <w:tr2bl w:val="nil"/>
                  </w:tcBorders>
                  <w:shd w:val="clear" w:color="auto" w:fill="auto"/>
                  <w:noWrap w:val="0"/>
                  <w:vAlign w:val="center"/>
                </w:tcPr>
                <w:p w14:paraId="22FB1BCB">
                  <w:pPr>
                    <w:spacing w:line="240" w:lineRule="auto"/>
                    <w:ind w:firstLine="0" w:firstLineChars="0"/>
                    <w:jc w:val="center"/>
                    <w:rPr>
                      <w:rFonts w:hint="eastAsia"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1t/a</w:t>
                  </w:r>
                </w:p>
              </w:tc>
              <w:tc>
                <w:tcPr>
                  <w:tcW w:w="247" w:type="pct"/>
                  <w:tcBorders>
                    <w:tl2br w:val="nil"/>
                    <w:tr2bl w:val="nil"/>
                  </w:tcBorders>
                  <w:shd w:val="clear" w:color="auto" w:fill="auto"/>
                  <w:noWrap w:val="0"/>
                  <w:vAlign w:val="center"/>
                </w:tcPr>
                <w:p w14:paraId="0D8A3CC4">
                  <w:pPr>
                    <w:spacing w:line="240" w:lineRule="auto"/>
                    <w:ind w:firstLine="0" w:firstLineChars="0"/>
                    <w:jc w:val="center"/>
                    <w:rPr>
                      <w:rFonts w:hint="eastAsia" w:ascii="Times New Roman" w:hAnsi="Times New Roman" w:eastAsia="宋体" w:cs="Times New Roman"/>
                      <w:b w:val="0"/>
                      <w:bCs w:val="0"/>
                      <w:color w:val="auto"/>
                      <w:kern w:val="2"/>
                      <w:sz w:val="18"/>
                      <w:szCs w:val="18"/>
                      <w:highlight w:val="yellow"/>
                      <w:lang w:val="en-US" w:eastAsia="zh-CN" w:bidi="ar-SA"/>
                    </w:rPr>
                  </w:pPr>
                  <w:r>
                    <w:rPr>
                      <w:rFonts w:hint="eastAsia" w:cs="Times New Roman"/>
                      <w:b w:val="0"/>
                      <w:bCs w:val="0"/>
                      <w:color w:val="auto"/>
                      <w:sz w:val="18"/>
                      <w:szCs w:val="18"/>
                      <w:highlight w:val="none"/>
                      <w:lang w:val="en-US" w:eastAsia="zh-CN"/>
                    </w:rPr>
                    <w:t>固态</w:t>
                  </w:r>
                </w:p>
              </w:tc>
              <w:tc>
                <w:tcPr>
                  <w:tcW w:w="567" w:type="pct"/>
                  <w:tcBorders>
                    <w:tl2br w:val="nil"/>
                    <w:tr2bl w:val="nil"/>
                  </w:tcBorders>
                  <w:shd w:val="clear" w:color="auto" w:fill="auto"/>
                  <w:noWrap w:val="0"/>
                  <w:vAlign w:val="center"/>
                </w:tcPr>
                <w:p w14:paraId="7CDEFF26">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229" w:type="pct"/>
                  <w:tcBorders>
                    <w:tl2br w:val="nil"/>
                    <w:tr2bl w:val="nil"/>
                  </w:tcBorders>
                  <w:shd w:val="clear" w:color="auto" w:fill="auto"/>
                  <w:noWrap w:val="0"/>
                  <w:vAlign w:val="center"/>
                </w:tcPr>
                <w:p w14:paraId="4F04A94C">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6" w:type="pct"/>
                  <w:tcBorders>
                    <w:tl2br w:val="nil"/>
                    <w:tr2bl w:val="nil"/>
                  </w:tcBorders>
                  <w:shd w:val="clear" w:color="auto" w:fill="auto"/>
                  <w:noWrap w:val="0"/>
                  <w:vAlign w:val="center"/>
                </w:tcPr>
                <w:p w14:paraId="2832BC62">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eastAsia="zh-CN"/>
                    </w:rPr>
                    <w:t>外购</w:t>
                  </w:r>
                </w:p>
              </w:tc>
            </w:tr>
            <w:tr w14:paraId="402F24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0" w:type="pct"/>
                  <w:vMerge w:val="restart"/>
                  <w:tcBorders>
                    <w:tl2br w:val="nil"/>
                    <w:tr2bl w:val="nil"/>
                  </w:tcBorders>
                  <w:noWrap w:val="0"/>
                  <w:vAlign w:val="center"/>
                </w:tcPr>
                <w:p w14:paraId="6A58C4A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能耗</w:t>
                  </w:r>
                </w:p>
              </w:tc>
              <w:tc>
                <w:tcPr>
                  <w:tcW w:w="781" w:type="pct"/>
                  <w:tcBorders>
                    <w:tl2br w:val="nil"/>
                    <w:tr2bl w:val="nil"/>
                  </w:tcBorders>
                  <w:noWrap w:val="0"/>
                  <w:vAlign w:val="center"/>
                </w:tcPr>
                <w:p w14:paraId="0D1266EC">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水</w:t>
                  </w:r>
                </w:p>
              </w:tc>
              <w:tc>
                <w:tcPr>
                  <w:tcW w:w="672" w:type="pct"/>
                  <w:tcBorders>
                    <w:tl2br w:val="nil"/>
                    <w:tr2bl w:val="nil"/>
                  </w:tcBorders>
                  <w:noWrap w:val="0"/>
                  <w:vAlign w:val="center"/>
                </w:tcPr>
                <w:p w14:paraId="080D599C">
                  <w:pPr>
                    <w:spacing w:line="240" w:lineRule="auto"/>
                    <w:ind w:left="0" w:lef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692" w:type="pct"/>
                  <w:tcBorders>
                    <w:tl2br w:val="nil"/>
                    <w:tr2bl w:val="nil"/>
                  </w:tcBorders>
                  <w:shd w:val="clear" w:color="auto" w:fill="auto"/>
                  <w:noWrap w:val="0"/>
                  <w:vAlign w:val="center"/>
                </w:tcPr>
                <w:p w14:paraId="462783AD">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1152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vertAlign w:val="baseline"/>
                      <w:lang w:val="en-US" w:eastAsia="zh-CN"/>
                    </w:rPr>
                    <w:t>/a</w:t>
                  </w:r>
                </w:p>
              </w:tc>
              <w:tc>
                <w:tcPr>
                  <w:tcW w:w="618" w:type="pct"/>
                  <w:tcBorders>
                    <w:tl2br w:val="nil"/>
                    <w:tr2bl w:val="nil"/>
                  </w:tcBorders>
                  <w:shd w:val="clear" w:color="auto" w:fill="auto"/>
                  <w:noWrap w:val="0"/>
                  <w:vAlign w:val="center"/>
                </w:tcPr>
                <w:p w14:paraId="328EFB7B">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692" w:type="pct"/>
                  <w:tcBorders>
                    <w:tl2br w:val="nil"/>
                    <w:tr2bl w:val="nil"/>
                  </w:tcBorders>
                  <w:shd w:val="clear" w:color="auto" w:fill="auto"/>
                  <w:noWrap w:val="0"/>
                  <w:vAlign w:val="center"/>
                </w:tcPr>
                <w:p w14:paraId="35E75CC9">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p>
              </w:tc>
              <w:tc>
                <w:tcPr>
                  <w:tcW w:w="247" w:type="pct"/>
                  <w:tcBorders>
                    <w:tl2br w:val="nil"/>
                    <w:tr2bl w:val="nil"/>
                  </w:tcBorders>
                  <w:shd w:val="clear" w:color="auto" w:fill="auto"/>
                  <w:noWrap w:val="0"/>
                  <w:vAlign w:val="center"/>
                </w:tcPr>
                <w:p w14:paraId="156C429B">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液态</w:t>
                  </w:r>
                </w:p>
              </w:tc>
              <w:tc>
                <w:tcPr>
                  <w:tcW w:w="567" w:type="pct"/>
                  <w:tcBorders>
                    <w:tl2br w:val="nil"/>
                    <w:tr2bl w:val="nil"/>
                  </w:tcBorders>
                  <w:shd w:val="clear" w:color="auto" w:fill="auto"/>
                  <w:noWrap w:val="0"/>
                  <w:vAlign w:val="center"/>
                </w:tcPr>
                <w:p w14:paraId="1111450E">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229" w:type="pct"/>
                  <w:tcBorders>
                    <w:tl2br w:val="nil"/>
                    <w:tr2bl w:val="nil"/>
                  </w:tcBorders>
                  <w:shd w:val="clear" w:color="auto" w:fill="auto"/>
                  <w:noWrap w:val="0"/>
                  <w:vAlign w:val="center"/>
                </w:tcPr>
                <w:p w14:paraId="283916E9">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246" w:type="pct"/>
                  <w:tcBorders>
                    <w:tl2br w:val="nil"/>
                    <w:tr2bl w:val="nil"/>
                  </w:tcBorders>
                  <w:shd w:val="clear" w:color="auto" w:fill="auto"/>
                  <w:noWrap w:val="0"/>
                  <w:vAlign w:val="center"/>
                </w:tcPr>
                <w:p w14:paraId="40B5583D">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市政</w:t>
                  </w:r>
                </w:p>
              </w:tc>
            </w:tr>
            <w:tr w14:paraId="674588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0" w:type="pct"/>
                  <w:vMerge w:val="continue"/>
                  <w:tcBorders>
                    <w:tl2br w:val="nil"/>
                    <w:tr2bl w:val="nil"/>
                  </w:tcBorders>
                  <w:noWrap w:val="0"/>
                  <w:vAlign w:val="center"/>
                </w:tcPr>
                <w:p w14:paraId="1E66A28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69F12417">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电</w:t>
                  </w:r>
                </w:p>
              </w:tc>
              <w:tc>
                <w:tcPr>
                  <w:tcW w:w="672" w:type="pct"/>
                  <w:tcBorders>
                    <w:tl2br w:val="nil"/>
                    <w:tr2bl w:val="nil"/>
                  </w:tcBorders>
                  <w:noWrap w:val="0"/>
                  <w:vAlign w:val="center"/>
                </w:tcPr>
                <w:p w14:paraId="593F5C60">
                  <w:pPr>
                    <w:spacing w:line="240" w:lineRule="auto"/>
                    <w:ind w:left="0" w:lef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692" w:type="pct"/>
                  <w:tcBorders>
                    <w:tl2br w:val="nil"/>
                    <w:tr2bl w:val="nil"/>
                  </w:tcBorders>
                  <w:noWrap w:val="0"/>
                  <w:vAlign w:val="center"/>
                </w:tcPr>
                <w:p w14:paraId="78F548B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1.7</w:t>
                  </w:r>
                  <w:r>
                    <w:rPr>
                      <w:rFonts w:hint="default" w:ascii="Times New Roman" w:hAnsi="Times New Roman" w:eastAsia="宋体" w:cs="Times New Roman"/>
                      <w:b w:val="0"/>
                      <w:bCs w:val="0"/>
                      <w:color w:val="auto"/>
                      <w:sz w:val="18"/>
                      <w:szCs w:val="18"/>
                      <w:lang w:val="en-US" w:eastAsia="zh-CN"/>
                    </w:rPr>
                    <w:t>×10</w:t>
                  </w:r>
                  <w:r>
                    <w:rPr>
                      <w:rFonts w:hint="default" w:ascii="Times New Roman" w:hAnsi="Times New Roman" w:eastAsia="宋体" w:cs="Times New Roman"/>
                      <w:b w:val="0"/>
                      <w:bCs w:val="0"/>
                      <w:color w:val="auto"/>
                      <w:sz w:val="18"/>
                      <w:szCs w:val="18"/>
                      <w:vertAlign w:val="superscript"/>
                      <w:lang w:val="en-US" w:eastAsia="zh-CN"/>
                    </w:rPr>
                    <w:t xml:space="preserve">6 </w:t>
                  </w:r>
                  <w:r>
                    <w:rPr>
                      <w:rFonts w:hint="default" w:ascii="Times New Roman" w:hAnsi="Times New Roman" w:eastAsia="宋体" w:cs="Times New Roman"/>
                      <w:b w:val="0"/>
                      <w:bCs w:val="0"/>
                      <w:color w:val="auto"/>
                      <w:sz w:val="18"/>
                      <w:szCs w:val="18"/>
                      <w:lang w:val="en-US" w:eastAsia="zh-CN"/>
                    </w:rPr>
                    <w:t>kW•h/a</w:t>
                  </w:r>
                </w:p>
              </w:tc>
              <w:tc>
                <w:tcPr>
                  <w:tcW w:w="618" w:type="pct"/>
                  <w:tcBorders>
                    <w:tl2br w:val="nil"/>
                    <w:tr2bl w:val="nil"/>
                  </w:tcBorders>
                  <w:noWrap w:val="0"/>
                  <w:vAlign w:val="center"/>
                </w:tcPr>
                <w:p w14:paraId="65C6BE5C">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692" w:type="pct"/>
                  <w:tcBorders>
                    <w:tl2br w:val="nil"/>
                    <w:tr2bl w:val="nil"/>
                  </w:tcBorders>
                  <w:noWrap w:val="0"/>
                  <w:vAlign w:val="center"/>
                </w:tcPr>
                <w:p w14:paraId="27AB3D25">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p>
              </w:tc>
              <w:tc>
                <w:tcPr>
                  <w:tcW w:w="247" w:type="pct"/>
                  <w:tcBorders>
                    <w:tl2br w:val="nil"/>
                    <w:tr2bl w:val="nil"/>
                  </w:tcBorders>
                  <w:noWrap w:val="0"/>
                  <w:vAlign w:val="center"/>
                </w:tcPr>
                <w:p w14:paraId="3D79359F">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567" w:type="pct"/>
                  <w:tcBorders>
                    <w:tl2br w:val="nil"/>
                    <w:tr2bl w:val="nil"/>
                  </w:tcBorders>
                  <w:noWrap w:val="0"/>
                  <w:vAlign w:val="center"/>
                </w:tcPr>
                <w:p w14:paraId="464DC59C">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229" w:type="pct"/>
                  <w:tcBorders>
                    <w:tl2br w:val="nil"/>
                    <w:tr2bl w:val="nil"/>
                  </w:tcBorders>
                  <w:noWrap w:val="0"/>
                  <w:vAlign w:val="center"/>
                </w:tcPr>
                <w:p w14:paraId="4F2011EE">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246" w:type="pct"/>
                  <w:tcBorders>
                    <w:tl2br w:val="nil"/>
                    <w:tr2bl w:val="nil"/>
                  </w:tcBorders>
                  <w:noWrap w:val="0"/>
                  <w:vAlign w:val="center"/>
                </w:tcPr>
                <w:p w14:paraId="6A5F789F">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市政</w:t>
                  </w:r>
                </w:p>
              </w:tc>
            </w:tr>
          </w:tbl>
          <w:p w14:paraId="03546D38">
            <w:pPr>
              <w:pStyle w:val="7"/>
              <w:bidi w:val="0"/>
            </w:pPr>
            <w:r>
              <w:rPr>
                <w:rFonts w:hint="eastAsia"/>
              </w:rPr>
              <w:t>表2</w:t>
            </w:r>
            <w:r>
              <w:rPr>
                <w:rFonts w:hint="eastAsia"/>
                <w:lang w:val="en-US" w:eastAsia="zh-CN"/>
              </w:rPr>
              <w:t xml:space="preserve">-6 </w:t>
            </w:r>
            <w:r>
              <w:rPr>
                <w:rFonts w:hint="eastAsia"/>
              </w:rPr>
              <w:t xml:space="preserve"> </w:t>
            </w:r>
            <w:r>
              <w:rPr>
                <w:rFonts w:hint="eastAsia"/>
                <w:lang w:val="en-US" w:eastAsia="zh-CN"/>
              </w:rPr>
              <w:t>氢能源两轮车</w:t>
            </w:r>
            <w:r>
              <w:rPr>
                <w:rFonts w:hint="eastAsia"/>
              </w:rPr>
              <w:t>主要原辅材料表</w:t>
            </w:r>
          </w:p>
          <w:tbl>
            <w:tblPr>
              <w:tblStyle w:val="31"/>
              <w:tblW w:w="488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354"/>
              <w:gridCol w:w="1169"/>
              <w:gridCol w:w="1385"/>
              <w:gridCol w:w="892"/>
              <w:gridCol w:w="1203"/>
              <w:gridCol w:w="512"/>
              <w:gridCol w:w="590"/>
              <w:gridCol w:w="673"/>
              <w:gridCol w:w="428"/>
            </w:tblGrid>
            <w:tr w14:paraId="49EC91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pct"/>
                  <w:gridSpan w:val="2"/>
                  <w:tcBorders>
                    <w:tl2br w:val="nil"/>
                    <w:tr2bl w:val="nil"/>
                  </w:tcBorders>
                  <w:noWrap w:val="0"/>
                  <w:vAlign w:val="center"/>
                </w:tcPr>
                <w:p w14:paraId="64DCC591">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物料名称</w:t>
                  </w:r>
                </w:p>
              </w:tc>
              <w:tc>
                <w:tcPr>
                  <w:tcW w:w="675" w:type="pct"/>
                  <w:tcBorders>
                    <w:tl2br w:val="nil"/>
                    <w:tr2bl w:val="nil"/>
                  </w:tcBorders>
                  <w:noWrap w:val="0"/>
                  <w:vAlign w:val="center"/>
                </w:tcPr>
                <w:p w14:paraId="35485D68">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eastAsia="zh-CN"/>
                    </w:rPr>
                    <w:t>包装形式及</w:t>
                  </w:r>
                  <w:r>
                    <w:rPr>
                      <w:rFonts w:hint="default" w:ascii="Times New Roman" w:hAnsi="Times New Roman" w:eastAsia="宋体" w:cs="Times New Roman"/>
                      <w:b/>
                      <w:bCs/>
                      <w:color w:val="auto"/>
                      <w:sz w:val="18"/>
                      <w:szCs w:val="18"/>
                    </w:rPr>
                    <w:t>规格</w:t>
                  </w:r>
                </w:p>
              </w:tc>
              <w:tc>
                <w:tcPr>
                  <w:tcW w:w="800" w:type="pct"/>
                  <w:tcBorders>
                    <w:tl2br w:val="nil"/>
                    <w:tr2bl w:val="nil"/>
                  </w:tcBorders>
                  <w:noWrap w:val="0"/>
                  <w:vAlign w:val="center"/>
                </w:tcPr>
                <w:p w14:paraId="5258D8E0">
                  <w:pPr>
                    <w:spacing w:line="240" w:lineRule="auto"/>
                    <w:ind w:firstLine="0" w:firstLineChars="0"/>
                    <w:jc w:val="center"/>
                    <w:rPr>
                      <w:rFonts w:hint="default"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现有项目最大年用量</w:t>
                  </w:r>
                </w:p>
              </w:tc>
              <w:tc>
                <w:tcPr>
                  <w:tcW w:w="515" w:type="pct"/>
                  <w:tcBorders>
                    <w:tl2br w:val="nil"/>
                    <w:tr2bl w:val="nil"/>
                  </w:tcBorders>
                  <w:noWrap w:val="0"/>
                  <w:vAlign w:val="center"/>
                </w:tcPr>
                <w:p w14:paraId="4EF9B71F">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eastAsia="zh-CN"/>
                    </w:rPr>
                    <w:t>技改前后变化量</w:t>
                  </w:r>
                </w:p>
              </w:tc>
              <w:tc>
                <w:tcPr>
                  <w:tcW w:w="695" w:type="pct"/>
                  <w:tcBorders>
                    <w:tl2br w:val="nil"/>
                    <w:tr2bl w:val="nil"/>
                  </w:tcBorders>
                  <w:noWrap w:val="0"/>
                  <w:vAlign w:val="center"/>
                </w:tcPr>
                <w:p w14:paraId="55B0A33F">
                  <w:pPr>
                    <w:spacing w:line="240" w:lineRule="auto"/>
                    <w:ind w:firstLine="0" w:firstLineChars="0"/>
                    <w:jc w:val="center"/>
                    <w:rPr>
                      <w:rFonts w:hint="eastAsia"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技改实施后全厂年用量</w:t>
                  </w:r>
                </w:p>
              </w:tc>
              <w:tc>
                <w:tcPr>
                  <w:tcW w:w="296" w:type="pct"/>
                  <w:tcBorders>
                    <w:tl2br w:val="nil"/>
                    <w:tr2bl w:val="nil"/>
                  </w:tcBorders>
                  <w:noWrap w:val="0"/>
                  <w:vAlign w:val="center"/>
                </w:tcPr>
                <w:p w14:paraId="4E3B7E8E">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形态</w:t>
                  </w:r>
                </w:p>
              </w:tc>
              <w:tc>
                <w:tcPr>
                  <w:tcW w:w="341" w:type="pct"/>
                  <w:tcBorders>
                    <w:tl2br w:val="nil"/>
                    <w:tr2bl w:val="nil"/>
                  </w:tcBorders>
                  <w:noWrap w:val="0"/>
                  <w:vAlign w:val="center"/>
                </w:tcPr>
                <w:p w14:paraId="49827878">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储存位置</w:t>
                  </w:r>
                </w:p>
              </w:tc>
              <w:tc>
                <w:tcPr>
                  <w:tcW w:w="389" w:type="pct"/>
                  <w:tcBorders>
                    <w:tl2br w:val="nil"/>
                    <w:tr2bl w:val="nil"/>
                  </w:tcBorders>
                  <w:noWrap w:val="0"/>
                  <w:vAlign w:val="center"/>
                </w:tcPr>
                <w:p w14:paraId="3C76FA93">
                  <w:pPr>
                    <w:spacing w:line="240" w:lineRule="auto"/>
                    <w:ind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运输方式</w:t>
                  </w:r>
                </w:p>
              </w:tc>
              <w:tc>
                <w:tcPr>
                  <w:tcW w:w="247" w:type="pct"/>
                  <w:tcBorders>
                    <w:tl2br w:val="nil"/>
                    <w:tr2bl w:val="nil"/>
                  </w:tcBorders>
                  <w:noWrap w:val="0"/>
                  <w:vAlign w:val="center"/>
                </w:tcPr>
                <w:p w14:paraId="10356347">
                  <w:pPr>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来源</w:t>
                  </w:r>
                </w:p>
              </w:tc>
            </w:tr>
            <w:tr w14:paraId="6D9D04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restart"/>
                  <w:tcBorders>
                    <w:tl2br w:val="nil"/>
                    <w:tr2bl w:val="nil"/>
                  </w:tcBorders>
                  <w:noWrap w:val="0"/>
                  <w:vAlign w:val="center"/>
                </w:tcPr>
                <w:p w14:paraId="398B103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原辅材料</w:t>
                  </w:r>
                </w:p>
              </w:tc>
              <w:tc>
                <w:tcPr>
                  <w:tcW w:w="781" w:type="pct"/>
                  <w:tcBorders>
                    <w:tl2br w:val="nil"/>
                    <w:tr2bl w:val="nil"/>
                  </w:tcBorders>
                  <w:noWrap w:val="0"/>
                  <w:vAlign w:val="center"/>
                </w:tcPr>
                <w:p w14:paraId="4551BC4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车架</w:t>
                  </w:r>
                </w:p>
              </w:tc>
              <w:tc>
                <w:tcPr>
                  <w:tcW w:w="675" w:type="pct"/>
                  <w:tcBorders>
                    <w:tl2br w:val="nil"/>
                    <w:tr2bl w:val="nil"/>
                  </w:tcBorders>
                  <w:noWrap w:val="0"/>
                  <w:vAlign w:val="center"/>
                </w:tcPr>
                <w:p w14:paraId="626B992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5331EBD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noWrap w:val="0"/>
                  <w:vAlign w:val="center"/>
                </w:tcPr>
                <w:p w14:paraId="2142A8E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1FD6C2B1">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241D706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7F0F8642">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7BDF4FB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08D5C0D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5DFFD6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514947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32D6CF0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轮胎</w:t>
                  </w:r>
                </w:p>
              </w:tc>
              <w:tc>
                <w:tcPr>
                  <w:tcW w:w="675" w:type="pct"/>
                  <w:tcBorders>
                    <w:tl2br w:val="nil"/>
                    <w:tr2bl w:val="nil"/>
                  </w:tcBorders>
                  <w:noWrap w:val="0"/>
                  <w:vAlign w:val="center"/>
                </w:tcPr>
                <w:p w14:paraId="1825B6B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4905271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eastAsia" w:ascii="Times New Roman" w:hAnsi="Times New Roman" w:eastAsia="宋体" w:cs="Times New Roman"/>
                      <w:b w:val="0"/>
                      <w:bCs w:val="0"/>
                      <w:color w:val="auto"/>
                      <w:sz w:val="18"/>
                      <w:szCs w:val="18"/>
                      <w:lang w:val="en-US" w:eastAsia="zh-CN"/>
                    </w:rPr>
                    <w:t>个</w:t>
                  </w:r>
                </w:p>
              </w:tc>
              <w:tc>
                <w:tcPr>
                  <w:tcW w:w="515" w:type="pct"/>
                  <w:tcBorders>
                    <w:tl2br w:val="nil"/>
                    <w:tr2bl w:val="nil"/>
                  </w:tcBorders>
                  <w:noWrap w:val="0"/>
                  <w:vAlign w:val="center"/>
                </w:tcPr>
                <w:p w14:paraId="5F43B4F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3B47116D">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6</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eastAsia" w:ascii="Times New Roman" w:hAnsi="Times New Roman" w:eastAsia="宋体" w:cs="Times New Roman"/>
                      <w:b w:val="0"/>
                      <w:bCs w:val="0"/>
                      <w:color w:val="auto"/>
                      <w:sz w:val="18"/>
                      <w:szCs w:val="18"/>
                      <w:lang w:val="en-US" w:eastAsia="zh-CN"/>
                    </w:rPr>
                    <w:t>个</w:t>
                  </w:r>
                </w:p>
              </w:tc>
              <w:tc>
                <w:tcPr>
                  <w:tcW w:w="296" w:type="pct"/>
                  <w:tcBorders>
                    <w:tl2br w:val="nil"/>
                    <w:tr2bl w:val="nil"/>
                  </w:tcBorders>
                  <w:noWrap w:val="0"/>
                  <w:vAlign w:val="center"/>
                </w:tcPr>
                <w:p w14:paraId="6C0BC28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02A08A1B">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122BA7F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1FF3529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87F4D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22ED2A0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60F5DDF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轮毂</w:t>
                  </w:r>
                </w:p>
              </w:tc>
              <w:tc>
                <w:tcPr>
                  <w:tcW w:w="675" w:type="pct"/>
                  <w:tcBorders>
                    <w:tl2br w:val="nil"/>
                    <w:tr2bl w:val="nil"/>
                  </w:tcBorders>
                  <w:noWrap w:val="0"/>
                  <w:vAlign w:val="center"/>
                </w:tcPr>
                <w:p w14:paraId="0345220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2F80722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eastAsia" w:eastAsia="宋体" w:cs="Times New Roman"/>
                      <w:b w:val="0"/>
                      <w:bCs w:val="0"/>
                      <w:color w:val="auto"/>
                      <w:sz w:val="18"/>
                      <w:szCs w:val="18"/>
                      <w:vertAlign w:val="baseline"/>
                      <w:lang w:val="en-US" w:eastAsia="zh-CN"/>
                    </w:rPr>
                    <w:t>个</w:t>
                  </w:r>
                </w:p>
              </w:tc>
              <w:tc>
                <w:tcPr>
                  <w:tcW w:w="515" w:type="pct"/>
                  <w:tcBorders>
                    <w:tl2br w:val="nil"/>
                    <w:tr2bl w:val="nil"/>
                  </w:tcBorders>
                  <w:shd w:val="clear" w:color="auto" w:fill="auto"/>
                  <w:noWrap w:val="0"/>
                  <w:vAlign w:val="center"/>
                </w:tcPr>
                <w:p w14:paraId="395BB38A">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4A23D2F8">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6</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eastAsia" w:eastAsia="宋体" w:cs="Times New Roman"/>
                      <w:b w:val="0"/>
                      <w:bCs w:val="0"/>
                      <w:color w:val="auto"/>
                      <w:sz w:val="18"/>
                      <w:szCs w:val="18"/>
                      <w:vertAlign w:val="baseline"/>
                      <w:lang w:val="en-US" w:eastAsia="zh-CN"/>
                    </w:rPr>
                    <w:t>个</w:t>
                  </w:r>
                </w:p>
              </w:tc>
              <w:tc>
                <w:tcPr>
                  <w:tcW w:w="296" w:type="pct"/>
                  <w:tcBorders>
                    <w:tl2br w:val="nil"/>
                    <w:tr2bl w:val="nil"/>
                  </w:tcBorders>
                  <w:noWrap w:val="0"/>
                  <w:vAlign w:val="center"/>
                </w:tcPr>
                <w:p w14:paraId="69A736A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60E14DFF">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13A58E9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66B111E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738C35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618402B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227CA17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sz w:val="18"/>
                      <w:szCs w:val="18"/>
                    </w:rPr>
                    <w:t>底盘</w:t>
                  </w:r>
                </w:p>
              </w:tc>
              <w:tc>
                <w:tcPr>
                  <w:tcW w:w="675" w:type="pct"/>
                  <w:tcBorders>
                    <w:tl2br w:val="nil"/>
                    <w:tr2bl w:val="nil"/>
                  </w:tcBorders>
                  <w:noWrap w:val="0"/>
                  <w:vAlign w:val="center"/>
                </w:tcPr>
                <w:p w14:paraId="145D5A5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2F396DF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2F5F5ACD">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78A7649B">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6115221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28ED0901">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4DC76CF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53BD28D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30259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78F94C9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4115042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sz w:val="18"/>
                      <w:szCs w:val="18"/>
                    </w:rPr>
                    <w:t>减震器</w:t>
                  </w:r>
                </w:p>
              </w:tc>
              <w:tc>
                <w:tcPr>
                  <w:tcW w:w="675" w:type="pct"/>
                  <w:tcBorders>
                    <w:tl2br w:val="nil"/>
                    <w:tr2bl w:val="nil"/>
                  </w:tcBorders>
                  <w:noWrap w:val="0"/>
                  <w:vAlign w:val="center"/>
                </w:tcPr>
                <w:p w14:paraId="7D21AA1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1E210F7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06DEF04">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2DF815A2">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6176F03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1BCB12D7">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52A5C9B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08D3E1C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FC3F1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62E9C4D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E8BCA8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sz w:val="18"/>
                      <w:szCs w:val="18"/>
                    </w:rPr>
                    <w:t>防尘罩</w:t>
                  </w:r>
                </w:p>
              </w:tc>
              <w:tc>
                <w:tcPr>
                  <w:tcW w:w="675" w:type="pct"/>
                  <w:tcBorders>
                    <w:tl2br w:val="nil"/>
                    <w:tr2bl w:val="nil"/>
                  </w:tcBorders>
                  <w:noWrap w:val="0"/>
                  <w:vAlign w:val="center"/>
                </w:tcPr>
                <w:p w14:paraId="633BCBE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3E60B85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4×10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5C32716C">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70A80B33">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4×10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3D03852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3CDF425F">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4AD095B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217BDEB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F150B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93873A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777896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sz w:val="18"/>
                      <w:szCs w:val="18"/>
                    </w:rPr>
                    <w:t>车把龙头</w:t>
                  </w:r>
                </w:p>
              </w:tc>
              <w:tc>
                <w:tcPr>
                  <w:tcW w:w="675" w:type="pct"/>
                  <w:tcBorders>
                    <w:tl2br w:val="nil"/>
                    <w:tr2bl w:val="nil"/>
                  </w:tcBorders>
                  <w:noWrap w:val="0"/>
                  <w:vAlign w:val="center"/>
                </w:tcPr>
                <w:p w14:paraId="5DFD6C7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3CFD8AD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33D0320">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380EE2CF">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6D93E02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6DA84735">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736E483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6E5F1C3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76169E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512997B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061576BD">
                  <w:pPr>
                    <w:spacing w:line="240" w:lineRule="auto"/>
                    <w:ind w:firstLine="0" w:firstLineChars="0"/>
                    <w:jc w:val="center"/>
                    <w:rPr>
                      <w:sz w:val="18"/>
                      <w:szCs w:val="18"/>
                    </w:rPr>
                  </w:pPr>
                  <w:r>
                    <w:rPr>
                      <w:sz w:val="18"/>
                      <w:szCs w:val="18"/>
                    </w:rPr>
                    <w:t>刹把</w:t>
                  </w:r>
                </w:p>
              </w:tc>
              <w:tc>
                <w:tcPr>
                  <w:tcW w:w="675" w:type="pct"/>
                  <w:tcBorders>
                    <w:tl2br w:val="nil"/>
                    <w:tr2bl w:val="nil"/>
                  </w:tcBorders>
                  <w:noWrap w:val="0"/>
                  <w:vAlign w:val="center"/>
                </w:tcPr>
                <w:p w14:paraId="52BE670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5980D17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496B077E">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085D84DD">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608D3F7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40EC9A13">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2087F78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6659320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5A385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773D60A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503317E4">
                  <w:pPr>
                    <w:spacing w:line="240" w:lineRule="auto"/>
                    <w:ind w:firstLine="0" w:firstLineChars="0"/>
                    <w:jc w:val="center"/>
                    <w:rPr>
                      <w:sz w:val="18"/>
                      <w:szCs w:val="18"/>
                    </w:rPr>
                  </w:pPr>
                  <w:r>
                    <w:rPr>
                      <w:sz w:val="18"/>
                      <w:szCs w:val="18"/>
                    </w:rPr>
                    <w:t>转把</w:t>
                  </w:r>
                </w:p>
              </w:tc>
              <w:tc>
                <w:tcPr>
                  <w:tcW w:w="675" w:type="pct"/>
                  <w:tcBorders>
                    <w:tl2br w:val="nil"/>
                    <w:tr2bl w:val="nil"/>
                  </w:tcBorders>
                  <w:noWrap w:val="0"/>
                  <w:vAlign w:val="center"/>
                </w:tcPr>
                <w:p w14:paraId="3DFA989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5FEDBCE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3FBACB61">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55DBAF2B">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7FFD2A5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6DADB343">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7B24320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309D15A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55312A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47649B5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489E062F">
                  <w:pPr>
                    <w:spacing w:line="240" w:lineRule="auto"/>
                    <w:ind w:firstLine="0" w:firstLineChars="0"/>
                    <w:jc w:val="center"/>
                    <w:rPr>
                      <w:sz w:val="18"/>
                      <w:szCs w:val="18"/>
                    </w:rPr>
                  </w:pPr>
                  <w:r>
                    <w:rPr>
                      <w:rFonts w:hint="eastAsia"/>
                      <w:sz w:val="18"/>
                      <w:szCs w:val="18"/>
                      <w:lang w:eastAsia="zh-CN"/>
                    </w:rPr>
                    <w:t>P挡</w:t>
                  </w:r>
                  <w:r>
                    <w:rPr>
                      <w:sz w:val="18"/>
                      <w:szCs w:val="18"/>
                    </w:rPr>
                    <w:t>开关</w:t>
                  </w:r>
                </w:p>
              </w:tc>
              <w:tc>
                <w:tcPr>
                  <w:tcW w:w="675" w:type="pct"/>
                  <w:tcBorders>
                    <w:tl2br w:val="nil"/>
                    <w:tr2bl w:val="nil"/>
                  </w:tcBorders>
                  <w:noWrap w:val="0"/>
                  <w:vAlign w:val="center"/>
                </w:tcPr>
                <w:p w14:paraId="3641BC2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3772156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0894BE6">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57F3C1ED">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10CD521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1835019B">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1DE177A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6BC6D5B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1CA0B3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D4BDB7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3523D4CF">
                  <w:pPr>
                    <w:spacing w:line="240" w:lineRule="auto"/>
                    <w:ind w:firstLine="0" w:firstLineChars="0"/>
                    <w:jc w:val="center"/>
                    <w:rPr>
                      <w:rFonts w:hint="eastAsia" w:eastAsiaTheme="minorEastAsia"/>
                      <w:sz w:val="18"/>
                      <w:szCs w:val="18"/>
                      <w:lang w:val="en-US" w:eastAsia="zh-CN"/>
                    </w:rPr>
                  </w:pPr>
                  <w:r>
                    <w:rPr>
                      <w:rFonts w:hint="eastAsia"/>
                      <w:sz w:val="18"/>
                      <w:szCs w:val="18"/>
                      <w:lang w:val="en-US" w:eastAsia="zh-CN"/>
                    </w:rPr>
                    <w:t>塑料外壳</w:t>
                  </w:r>
                </w:p>
              </w:tc>
              <w:tc>
                <w:tcPr>
                  <w:tcW w:w="675" w:type="pct"/>
                  <w:tcBorders>
                    <w:tl2br w:val="nil"/>
                    <w:tr2bl w:val="nil"/>
                  </w:tcBorders>
                  <w:noWrap w:val="0"/>
                  <w:vAlign w:val="center"/>
                </w:tcPr>
                <w:p w14:paraId="2E5939A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7ABAF8C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02603759">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5850AA4E">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512961B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477E70C8">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3102536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44D0EDD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37D8B2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1F5B197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2F28FCBF">
                  <w:pPr>
                    <w:spacing w:line="240" w:lineRule="auto"/>
                    <w:ind w:firstLine="0" w:firstLineChars="0"/>
                    <w:jc w:val="center"/>
                    <w:rPr>
                      <w:rFonts w:hint="default"/>
                      <w:sz w:val="18"/>
                      <w:szCs w:val="18"/>
                      <w:lang w:val="en-US" w:eastAsia="zh-CN"/>
                    </w:rPr>
                  </w:pPr>
                  <w:r>
                    <w:rPr>
                      <w:rFonts w:hint="eastAsia"/>
                      <w:sz w:val="18"/>
                      <w:szCs w:val="18"/>
                      <w:lang w:val="en-US" w:eastAsia="zh-CN"/>
                    </w:rPr>
                    <w:t>控制器</w:t>
                  </w:r>
                </w:p>
              </w:tc>
              <w:tc>
                <w:tcPr>
                  <w:tcW w:w="675" w:type="pct"/>
                  <w:tcBorders>
                    <w:tl2br w:val="nil"/>
                    <w:tr2bl w:val="nil"/>
                  </w:tcBorders>
                  <w:noWrap w:val="0"/>
                  <w:vAlign w:val="center"/>
                </w:tcPr>
                <w:p w14:paraId="22C714D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6F46C7C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B8CF939">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5264941D">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2E6ABD0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7E0148AA">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0BCAC1D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1968DF0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543079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151E7F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23D0EA91">
                  <w:pPr>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LED大灯</w:t>
                  </w:r>
                </w:p>
              </w:tc>
              <w:tc>
                <w:tcPr>
                  <w:tcW w:w="675" w:type="pct"/>
                  <w:tcBorders>
                    <w:tl2br w:val="nil"/>
                    <w:tr2bl w:val="nil"/>
                  </w:tcBorders>
                  <w:noWrap w:val="0"/>
                  <w:vAlign w:val="center"/>
                </w:tcPr>
                <w:p w14:paraId="7695318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4A1CF978">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349F6EB1">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210A36A7">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0E2ECF9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2793B40D">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397AE7D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707F506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3790EB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0A5122B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6358FEE2">
                  <w:pPr>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LED尾灯</w:t>
                  </w:r>
                </w:p>
              </w:tc>
              <w:tc>
                <w:tcPr>
                  <w:tcW w:w="675" w:type="pct"/>
                  <w:tcBorders>
                    <w:tl2br w:val="nil"/>
                    <w:tr2bl w:val="nil"/>
                  </w:tcBorders>
                  <w:noWrap w:val="0"/>
                  <w:vAlign w:val="center"/>
                </w:tcPr>
                <w:p w14:paraId="7A2DF0B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5FE9F5DC">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244F8E82">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5D26307C">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289225E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01886EFC">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0399D2F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6E6C9ED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F8D38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tcBorders>
                    <w:tl2br w:val="nil"/>
                    <w:tr2bl w:val="nil"/>
                  </w:tcBorders>
                  <w:noWrap w:val="0"/>
                  <w:vAlign w:val="center"/>
                </w:tcPr>
                <w:p w14:paraId="73E1C2C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3555CCD8">
                  <w:pPr>
                    <w:spacing w:line="240" w:lineRule="auto"/>
                    <w:ind w:firstLine="0" w:firstLineChars="0"/>
                    <w:jc w:val="center"/>
                    <w:rPr>
                      <w:rFonts w:hint="default"/>
                      <w:sz w:val="18"/>
                      <w:szCs w:val="18"/>
                      <w:lang w:val="en-US" w:eastAsia="zh-CN"/>
                    </w:rPr>
                  </w:pPr>
                  <w:r>
                    <w:rPr>
                      <w:rFonts w:hint="eastAsia"/>
                      <w:sz w:val="18"/>
                      <w:szCs w:val="18"/>
                      <w:lang w:val="en-US" w:eastAsia="zh-CN"/>
                    </w:rPr>
                    <w:t>挡泥板</w:t>
                  </w:r>
                </w:p>
              </w:tc>
              <w:tc>
                <w:tcPr>
                  <w:tcW w:w="675" w:type="pct"/>
                  <w:tcBorders>
                    <w:tl2br w:val="nil"/>
                    <w:tr2bl w:val="nil"/>
                  </w:tcBorders>
                  <w:noWrap w:val="0"/>
                  <w:vAlign w:val="center"/>
                </w:tcPr>
                <w:p w14:paraId="25F7668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7D8AA11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459C97B1">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1695F43F">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35693E0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352FB684">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6C534E3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3EB8F85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BDEF9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729312C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577A70A6">
                  <w:pPr>
                    <w:spacing w:line="240" w:lineRule="auto"/>
                    <w:ind w:firstLine="0" w:firstLineChars="0"/>
                    <w:jc w:val="center"/>
                    <w:rPr>
                      <w:rFonts w:hint="default"/>
                      <w:sz w:val="18"/>
                      <w:szCs w:val="18"/>
                      <w:lang w:val="en-US" w:eastAsia="zh-CN"/>
                    </w:rPr>
                  </w:pPr>
                  <w:r>
                    <w:rPr>
                      <w:rFonts w:hint="eastAsia"/>
                      <w:sz w:val="18"/>
                      <w:szCs w:val="18"/>
                      <w:lang w:val="en-US" w:eastAsia="zh-CN"/>
                    </w:rPr>
                    <w:t>鞍座</w:t>
                  </w:r>
                </w:p>
              </w:tc>
              <w:tc>
                <w:tcPr>
                  <w:tcW w:w="675" w:type="pct"/>
                  <w:tcBorders>
                    <w:tl2br w:val="nil"/>
                    <w:tr2bl w:val="nil"/>
                  </w:tcBorders>
                  <w:noWrap w:val="0"/>
                  <w:vAlign w:val="center"/>
                </w:tcPr>
                <w:p w14:paraId="1A3D8D6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2EB9F70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CE8BF80">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29D260DB">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56CF464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54C98A5E">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25790CC1">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0D01088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6898B9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6639BE1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5889897C">
                  <w:pPr>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后尾箱</w:t>
                  </w:r>
                </w:p>
              </w:tc>
              <w:tc>
                <w:tcPr>
                  <w:tcW w:w="675" w:type="pct"/>
                  <w:tcBorders>
                    <w:tl2br w:val="nil"/>
                    <w:tr2bl w:val="nil"/>
                  </w:tcBorders>
                  <w:noWrap w:val="0"/>
                  <w:vAlign w:val="center"/>
                </w:tcPr>
                <w:p w14:paraId="6217CCF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2F1D021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41568C99">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2685B73C">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33735AC3">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212C43B9">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4EB5A09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2DF7FE3E">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2B4F51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4326919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7BEB01C">
                  <w:pPr>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反光镜</w:t>
                  </w:r>
                </w:p>
              </w:tc>
              <w:tc>
                <w:tcPr>
                  <w:tcW w:w="675" w:type="pct"/>
                  <w:tcBorders>
                    <w:tl2br w:val="nil"/>
                    <w:tr2bl w:val="nil"/>
                  </w:tcBorders>
                  <w:noWrap w:val="0"/>
                  <w:vAlign w:val="center"/>
                </w:tcPr>
                <w:p w14:paraId="010276A4">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113E645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37F28A35">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42BA9AC6">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6×10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0BA0F3B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70B3FB8A">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7CED905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70953FF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7232C6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617D5F7">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72052D47">
                  <w:pPr>
                    <w:spacing w:line="240" w:lineRule="auto"/>
                    <w:ind w:firstLine="0" w:firstLineChars="0"/>
                    <w:jc w:val="center"/>
                    <w:rPr>
                      <w:rFonts w:hint="default"/>
                      <w:sz w:val="18"/>
                      <w:szCs w:val="18"/>
                      <w:lang w:val="en-US" w:eastAsia="zh-CN"/>
                    </w:rPr>
                  </w:pPr>
                  <w:r>
                    <w:rPr>
                      <w:rFonts w:hint="eastAsia"/>
                      <w:sz w:val="18"/>
                      <w:szCs w:val="18"/>
                      <w:lang w:val="en-US" w:eastAsia="zh-CN"/>
                    </w:rPr>
                    <w:t>泡沫护架</w:t>
                  </w:r>
                </w:p>
              </w:tc>
              <w:tc>
                <w:tcPr>
                  <w:tcW w:w="675" w:type="pct"/>
                  <w:tcBorders>
                    <w:tl2br w:val="nil"/>
                    <w:tr2bl w:val="nil"/>
                  </w:tcBorders>
                  <w:noWrap w:val="0"/>
                  <w:vAlign w:val="center"/>
                </w:tcPr>
                <w:p w14:paraId="51337EA5">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shd w:val="clear" w:color="auto" w:fill="auto"/>
                  <w:noWrap w:val="0"/>
                  <w:vAlign w:val="center"/>
                </w:tcPr>
                <w:p w14:paraId="08DD67BE">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6094277B">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7F624034">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shd w:val="clear" w:color="auto" w:fill="auto"/>
                  <w:noWrap w:val="0"/>
                  <w:vAlign w:val="center"/>
                </w:tcPr>
                <w:p w14:paraId="386802D8">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shd w:val="clear" w:color="auto" w:fill="auto"/>
                  <w:noWrap w:val="0"/>
                  <w:vAlign w:val="center"/>
                </w:tcPr>
                <w:p w14:paraId="5CB099BC">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shd w:val="clear" w:color="auto" w:fill="auto"/>
                  <w:noWrap w:val="0"/>
                  <w:vAlign w:val="center"/>
                </w:tcPr>
                <w:p w14:paraId="68017F10">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shd w:val="clear" w:color="auto" w:fill="auto"/>
                  <w:noWrap w:val="0"/>
                  <w:vAlign w:val="center"/>
                </w:tcPr>
                <w:p w14:paraId="5C896EA5">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外购</w:t>
                  </w:r>
                </w:p>
              </w:tc>
            </w:tr>
            <w:tr w14:paraId="31614B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5DA0602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16F50ADA">
                  <w:pPr>
                    <w:spacing w:line="240" w:lineRule="auto"/>
                    <w:ind w:firstLine="0" w:firstLineChars="0"/>
                    <w:jc w:val="center"/>
                    <w:rPr>
                      <w:rFonts w:hint="default"/>
                      <w:sz w:val="18"/>
                      <w:szCs w:val="18"/>
                      <w:lang w:val="en-US" w:eastAsia="zh-CN"/>
                    </w:rPr>
                  </w:pPr>
                  <w:r>
                    <w:rPr>
                      <w:rFonts w:hint="eastAsia"/>
                      <w:sz w:val="18"/>
                      <w:szCs w:val="18"/>
                      <w:lang w:val="en-US" w:eastAsia="zh-CN"/>
                    </w:rPr>
                    <w:t>两轮车组装配套零部件</w:t>
                  </w:r>
                </w:p>
              </w:tc>
              <w:tc>
                <w:tcPr>
                  <w:tcW w:w="675" w:type="pct"/>
                  <w:tcBorders>
                    <w:tl2br w:val="nil"/>
                    <w:tr2bl w:val="nil"/>
                  </w:tcBorders>
                  <w:noWrap w:val="0"/>
                  <w:vAlign w:val="center"/>
                </w:tcPr>
                <w:p w14:paraId="09BA4282">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纸箱包装</w:t>
                  </w:r>
                </w:p>
              </w:tc>
              <w:tc>
                <w:tcPr>
                  <w:tcW w:w="800" w:type="pct"/>
                  <w:tcBorders>
                    <w:tl2br w:val="nil"/>
                    <w:tr2bl w:val="nil"/>
                  </w:tcBorders>
                  <w:noWrap w:val="0"/>
                  <w:vAlign w:val="center"/>
                </w:tcPr>
                <w:p w14:paraId="5A95098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r>
                    <w:rPr>
                      <w:rFonts w:hint="eastAsia" w:ascii="Times New Roman" w:hAnsi="Times New Roman" w:eastAsia="宋体" w:cs="Times New Roman"/>
                      <w:b w:val="0"/>
                      <w:bCs w:val="0"/>
                      <w:color w:val="auto"/>
                      <w:sz w:val="18"/>
                      <w:szCs w:val="18"/>
                      <w:lang w:val="en-US" w:eastAsia="zh-CN"/>
                    </w:rPr>
                    <w:t>×10</w:t>
                  </w:r>
                  <w:r>
                    <w:rPr>
                      <w:rFonts w:hint="eastAsia" w:eastAsia="宋体" w:cs="Times New Roman"/>
                      <w:b w:val="0"/>
                      <w:bCs w:val="0"/>
                      <w:color w:val="auto"/>
                      <w:sz w:val="18"/>
                      <w:szCs w:val="18"/>
                      <w:vertAlign w:val="superscript"/>
                      <w:lang w:val="en-US" w:eastAsia="zh-CN"/>
                    </w:rPr>
                    <w:t>4</w:t>
                  </w:r>
                  <w:r>
                    <w:rPr>
                      <w:rFonts w:hint="default" w:ascii="Times New Roman" w:hAnsi="Times New Roman" w:eastAsia="宋体" w:cs="Times New Roman"/>
                      <w:b w:val="0"/>
                      <w:bCs w:val="0"/>
                      <w:color w:val="auto"/>
                      <w:sz w:val="18"/>
                      <w:szCs w:val="18"/>
                      <w:lang w:val="en-US" w:eastAsia="zh-CN"/>
                    </w:rPr>
                    <w:t>件</w:t>
                  </w:r>
                </w:p>
              </w:tc>
              <w:tc>
                <w:tcPr>
                  <w:tcW w:w="515" w:type="pct"/>
                  <w:tcBorders>
                    <w:tl2br w:val="nil"/>
                    <w:tr2bl w:val="nil"/>
                  </w:tcBorders>
                  <w:shd w:val="clear" w:color="auto" w:fill="auto"/>
                  <w:noWrap w:val="0"/>
                  <w:vAlign w:val="center"/>
                </w:tcPr>
                <w:p w14:paraId="7FDAD363">
                  <w:pPr>
                    <w:spacing w:line="240" w:lineRule="auto"/>
                    <w:ind w:firstLine="0" w:firstLineChars="0"/>
                    <w:jc w:val="center"/>
                    <w:rPr>
                      <w:rFonts w:hint="eastAsia"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10929BC3">
                  <w:pPr>
                    <w:spacing w:line="240" w:lineRule="auto"/>
                    <w:ind w:firstLine="0" w:firstLineChars="0"/>
                    <w:jc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sz w:val="18"/>
                      <w:szCs w:val="18"/>
                      <w:lang w:val="en-US" w:eastAsia="zh-CN"/>
                    </w:rPr>
                    <w:t>3×10</w:t>
                  </w:r>
                  <w:r>
                    <w:rPr>
                      <w:rFonts w:hint="eastAsia" w:eastAsia="宋体" w:cs="Times New Roman"/>
                      <w:b w:val="0"/>
                      <w:bCs w:val="0"/>
                      <w:color w:val="auto"/>
                      <w:sz w:val="18"/>
                      <w:szCs w:val="18"/>
                      <w:vertAlign w:val="superscript"/>
                      <w:lang w:val="en-US" w:eastAsia="zh-CN"/>
                    </w:rPr>
                    <w:t>3</w:t>
                  </w:r>
                  <w:r>
                    <w:rPr>
                      <w:rFonts w:hint="default" w:ascii="Times New Roman" w:hAnsi="Times New Roman" w:eastAsia="宋体" w:cs="Times New Roman"/>
                      <w:b w:val="0"/>
                      <w:bCs w:val="0"/>
                      <w:color w:val="auto"/>
                      <w:sz w:val="18"/>
                      <w:szCs w:val="18"/>
                      <w:lang w:val="en-US" w:eastAsia="zh-CN"/>
                    </w:rPr>
                    <w:t>件</w:t>
                  </w:r>
                </w:p>
              </w:tc>
              <w:tc>
                <w:tcPr>
                  <w:tcW w:w="296" w:type="pct"/>
                  <w:tcBorders>
                    <w:tl2br w:val="nil"/>
                    <w:tr2bl w:val="nil"/>
                  </w:tcBorders>
                  <w:noWrap w:val="0"/>
                  <w:vAlign w:val="center"/>
                </w:tcPr>
                <w:p w14:paraId="6F55CDF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noWrap w:val="0"/>
                  <w:vAlign w:val="center"/>
                </w:tcPr>
                <w:p w14:paraId="5786E948">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noWrap w:val="0"/>
                  <w:vAlign w:val="center"/>
                </w:tcPr>
                <w:p w14:paraId="6BCDD500">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noWrap w:val="0"/>
                  <w:vAlign w:val="center"/>
                </w:tcPr>
                <w:p w14:paraId="15BC4FA6">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外购</w:t>
                  </w:r>
                </w:p>
              </w:tc>
            </w:tr>
            <w:tr w14:paraId="76712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AE45C89">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shd w:val="clear" w:color="auto" w:fill="auto"/>
                  <w:noWrap w:val="0"/>
                  <w:vAlign w:val="center"/>
                </w:tcPr>
                <w:p w14:paraId="0A0AC78A">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丁腈手套</w:t>
                  </w:r>
                </w:p>
              </w:tc>
              <w:tc>
                <w:tcPr>
                  <w:tcW w:w="675" w:type="pct"/>
                  <w:tcBorders>
                    <w:tl2br w:val="nil"/>
                    <w:tr2bl w:val="nil"/>
                  </w:tcBorders>
                  <w:shd w:val="clear" w:color="auto" w:fill="auto"/>
                  <w:noWrap w:val="0"/>
                  <w:vAlign w:val="center"/>
                </w:tcPr>
                <w:p w14:paraId="30CE3747">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塑料袋装</w:t>
                  </w:r>
                </w:p>
                <w:p w14:paraId="6A86913F">
                  <w:pPr>
                    <w:keepNext w:val="0"/>
                    <w:keepLines w:val="0"/>
                    <w:widowControl/>
                    <w:suppressLineNumbers w:val="0"/>
                    <w:adjustRightInd w:val="0"/>
                    <w:snapToGrid w:val="0"/>
                    <w:spacing w:before="0" w:beforeAutospacing="0" w:after="0" w:afterAutospacing="0"/>
                    <w:ind w:left="0" w:leftChars="0" w:right="0" w:rightChars="0" w:firstLine="0" w:firstLineChars="0"/>
                    <w:jc w:val="center"/>
                    <w:outlineLvl w:val="8"/>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100双/包</w:t>
                  </w:r>
                </w:p>
              </w:tc>
              <w:tc>
                <w:tcPr>
                  <w:tcW w:w="800" w:type="pct"/>
                  <w:tcBorders>
                    <w:tl2br w:val="nil"/>
                    <w:tr2bl w:val="nil"/>
                  </w:tcBorders>
                  <w:shd w:val="clear" w:color="auto" w:fill="auto"/>
                  <w:noWrap w:val="0"/>
                  <w:vAlign w:val="center"/>
                </w:tcPr>
                <w:p w14:paraId="52980C99">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500</w:t>
                  </w:r>
                  <w:r>
                    <w:rPr>
                      <w:rFonts w:hint="default" w:ascii="Times New Roman" w:hAnsi="Times New Roman" w:eastAsia="宋体" w:cs="Times New Roman"/>
                      <w:b w:val="0"/>
                      <w:bCs w:val="0"/>
                      <w:color w:val="auto"/>
                      <w:sz w:val="18"/>
                      <w:szCs w:val="18"/>
                      <w:lang w:val="en-US" w:eastAsia="zh-CN"/>
                    </w:rPr>
                    <w:t>双</w:t>
                  </w:r>
                </w:p>
              </w:tc>
              <w:tc>
                <w:tcPr>
                  <w:tcW w:w="515" w:type="pct"/>
                  <w:tcBorders>
                    <w:tl2br w:val="nil"/>
                    <w:tr2bl w:val="nil"/>
                  </w:tcBorders>
                  <w:shd w:val="clear" w:color="auto" w:fill="auto"/>
                  <w:noWrap w:val="0"/>
                  <w:vAlign w:val="center"/>
                </w:tcPr>
                <w:p w14:paraId="6734985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6BE2D6C3">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500</w:t>
                  </w:r>
                  <w:r>
                    <w:rPr>
                      <w:rFonts w:hint="default" w:ascii="Times New Roman" w:hAnsi="Times New Roman" w:eastAsia="宋体" w:cs="Times New Roman"/>
                      <w:b w:val="0"/>
                      <w:bCs w:val="0"/>
                      <w:color w:val="auto"/>
                      <w:sz w:val="18"/>
                      <w:szCs w:val="18"/>
                      <w:lang w:val="en-US" w:eastAsia="zh-CN"/>
                    </w:rPr>
                    <w:t>双</w:t>
                  </w:r>
                </w:p>
              </w:tc>
              <w:tc>
                <w:tcPr>
                  <w:tcW w:w="296" w:type="pct"/>
                  <w:tcBorders>
                    <w:tl2br w:val="nil"/>
                    <w:tr2bl w:val="nil"/>
                  </w:tcBorders>
                  <w:shd w:val="clear" w:color="auto" w:fill="auto"/>
                  <w:noWrap w:val="0"/>
                  <w:vAlign w:val="center"/>
                </w:tcPr>
                <w:p w14:paraId="57175AA5">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shd w:val="clear" w:color="auto" w:fill="auto"/>
                  <w:noWrap w:val="0"/>
                  <w:vAlign w:val="center"/>
                </w:tcPr>
                <w:p w14:paraId="049EF81B">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shd w:val="clear" w:color="auto" w:fill="auto"/>
                  <w:noWrap w:val="0"/>
                  <w:vAlign w:val="center"/>
                </w:tcPr>
                <w:p w14:paraId="7ADDEB3A">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shd w:val="clear" w:color="auto" w:fill="auto"/>
                  <w:noWrap w:val="0"/>
                  <w:vAlign w:val="center"/>
                </w:tcPr>
                <w:p w14:paraId="03F4C68F">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外购</w:t>
                  </w:r>
                </w:p>
              </w:tc>
            </w:tr>
            <w:tr w14:paraId="5EFD3D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4" w:type="pct"/>
                  <w:vMerge w:val="continue"/>
                  <w:tcBorders>
                    <w:tl2br w:val="nil"/>
                    <w:tr2bl w:val="nil"/>
                  </w:tcBorders>
                  <w:noWrap w:val="0"/>
                  <w:vAlign w:val="center"/>
                </w:tcPr>
                <w:p w14:paraId="322850CF">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shd w:val="clear" w:color="auto" w:fill="auto"/>
                  <w:noWrap w:val="0"/>
                  <w:vAlign w:val="center"/>
                </w:tcPr>
                <w:p w14:paraId="1B5BC880">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kern w:val="0"/>
                      <w:sz w:val="18"/>
                      <w:szCs w:val="18"/>
                      <w:lang w:val="en-US" w:eastAsia="zh-CN"/>
                    </w:rPr>
                    <w:t>无尘布</w:t>
                  </w:r>
                </w:p>
              </w:tc>
              <w:tc>
                <w:tcPr>
                  <w:tcW w:w="675" w:type="pct"/>
                  <w:tcBorders>
                    <w:tl2br w:val="nil"/>
                    <w:tr2bl w:val="nil"/>
                  </w:tcBorders>
                  <w:shd w:val="clear" w:color="auto" w:fill="auto"/>
                  <w:noWrap w:val="0"/>
                  <w:vAlign w:val="center"/>
                </w:tcPr>
                <w:p w14:paraId="275254A8">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纸箱包装</w:t>
                  </w:r>
                </w:p>
                <w:p w14:paraId="39D979FA">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sz w:val="18"/>
                      <w:szCs w:val="18"/>
                      <w:lang w:val="en-US" w:eastAsia="zh-CN"/>
                    </w:rPr>
                    <w:t>15cm</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15cm</w:t>
                  </w:r>
                </w:p>
              </w:tc>
              <w:tc>
                <w:tcPr>
                  <w:tcW w:w="800" w:type="pct"/>
                  <w:tcBorders>
                    <w:tl2br w:val="nil"/>
                    <w:tr2bl w:val="nil"/>
                  </w:tcBorders>
                  <w:shd w:val="clear" w:color="auto" w:fill="auto"/>
                  <w:noWrap w:val="0"/>
                  <w:vAlign w:val="center"/>
                </w:tcPr>
                <w:p w14:paraId="24D30781">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900</w:t>
                  </w:r>
                  <w:r>
                    <w:rPr>
                      <w:rFonts w:hint="eastAsia" w:ascii="Times New Roman" w:hAnsi="Times New Roman" w:eastAsia="宋体" w:cs="Times New Roman"/>
                      <w:b w:val="0"/>
                      <w:bCs w:val="0"/>
                      <w:color w:val="auto"/>
                      <w:sz w:val="18"/>
                      <w:szCs w:val="18"/>
                      <w:lang w:val="en-US" w:eastAsia="zh-CN"/>
                    </w:rPr>
                    <w:t>张</w:t>
                  </w:r>
                </w:p>
              </w:tc>
              <w:tc>
                <w:tcPr>
                  <w:tcW w:w="515" w:type="pct"/>
                  <w:tcBorders>
                    <w:tl2br w:val="nil"/>
                    <w:tr2bl w:val="nil"/>
                  </w:tcBorders>
                  <w:shd w:val="clear" w:color="auto" w:fill="auto"/>
                  <w:noWrap w:val="0"/>
                  <w:vAlign w:val="center"/>
                </w:tcPr>
                <w:p w14:paraId="7B0071C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sz w:val="18"/>
                      <w:szCs w:val="18"/>
                      <w:lang w:val="en-US" w:eastAsia="zh-CN"/>
                    </w:rPr>
                    <w:t>0</w:t>
                  </w:r>
                </w:p>
              </w:tc>
              <w:tc>
                <w:tcPr>
                  <w:tcW w:w="695" w:type="pct"/>
                  <w:tcBorders>
                    <w:tl2br w:val="nil"/>
                    <w:tr2bl w:val="nil"/>
                  </w:tcBorders>
                  <w:shd w:val="clear" w:color="auto" w:fill="auto"/>
                  <w:noWrap w:val="0"/>
                  <w:vAlign w:val="center"/>
                </w:tcPr>
                <w:p w14:paraId="2AC1EBB6">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900</w:t>
                  </w:r>
                  <w:r>
                    <w:rPr>
                      <w:rFonts w:hint="eastAsia" w:ascii="Times New Roman" w:hAnsi="Times New Roman" w:eastAsia="宋体" w:cs="Times New Roman"/>
                      <w:b w:val="0"/>
                      <w:bCs w:val="0"/>
                      <w:color w:val="auto"/>
                      <w:sz w:val="18"/>
                      <w:szCs w:val="18"/>
                      <w:lang w:val="en-US" w:eastAsia="zh-CN"/>
                    </w:rPr>
                    <w:t>张</w:t>
                  </w:r>
                </w:p>
              </w:tc>
              <w:tc>
                <w:tcPr>
                  <w:tcW w:w="296" w:type="pct"/>
                  <w:tcBorders>
                    <w:tl2br w:val="nil"/>
                    <w:tr2bl w:val="nil"/>
                  </w:tcBorders>
                  <w:shd w:val="clear" w:color="auto" w:fill="auto"/>
                  <w:noWrap w:val="0"/>
                  <w:vAlign w:val="center"/>
                </w:tcPr>
                <w:p w14:paraId="2CFEB308">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固态</w:t>
                  </w:r>
                </w:p>
              </w:tc>
              <w:tc>
                <w:tcPr>
                  <w:tcW w:w="341" w:type="pct"/>
                  <w:tcBorders>
                    <w:tl2br w:val="nil"/>
                    <w:tr2bl w:val="nil"/>
                  </w:tcBorders>
                  <w:shd w:val="clear" w:color="auto" w:fill="auto"/>
                  <w:noWrap w:val="0"/>
                  <w:vAlign w:val="center"/>
                </w:tcPr>
                <w:p w14:paraId="1B8C7CD5">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库房</w:t>
                  </w:r>
                </w:p>
              </w:tc>
              <w:tc>
                <w:tcPr>
                  <w:tcW w:w="389" w:type="pct"/>
                  <w:tcBorders>
                    <w:tl2br w:val="nil"/>
                    <w:tr2bl w:val="nil"/>
                  </w:tcBorders>
                  <w:shd w:val="clear" w:color="auto" w:fill="auto"/>
                  <w:noWrap w:val="0"/>
                  <w:vAlign w:val="center"/>
                </w:tcPr>
                <w:p w14:paraId="08081DB7">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货车</w:t>
                  </w:r>
                </w:p>
              </w:tc>
              <w:tc>
                <w:tcPr>
                  <w:tcW w:w="247" w:type="pct"/>
                  <w:tcBorders>
                    <w:tl2br w:val="nil"/>
                    <w:tr2bl w:val="nil"/>
                  </w:tcBorders>
                  <w:shd w:val="clear" w:color="auto" w:fill="auto"/>
                  <w:noWrap w:val="0"/>
                  <w:vAlign w:val="center"/>
                </w:tcPr>
                <w:p w14:paraId="54913685">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外购</w:t>
                  </w:r>
                </w:p>
              </w:tc>
            </w:tr>
            <w:tr w14:paraId="54A1B0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4" w:type="pct"/>
                  <w:vMerge w:val="restart"/>
                  <w:tcBorders>
                    <w:tl2br w:val="nil"/>
                    <w:tr2bl w:val="nil"/>
                  </w:tcBorders>
                  <w:noWrap w:val="0"/>
                  <w:vAlign w:val="center"/>
                </w:tcPr>
                <w:p w14:paraId="062EB73D">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能耗</w:t>
                  </w:r>
                </w:p>
              </w:tc>
              <w:tc>
                <w:tcPr>
                  <w:tcW w:w="781" w:type="pct"/>
                  <w:tcBorders>
                    <w:tl2br w:val="nil"/>
                    <w:tr2bl w:val="nil"/>
                  </w:tcBorders>
                  <w:noWrap w:val="0"/>
                  <w:vAlign w:val="center"/>
                </w:tcPr>
                <w:p w14:paraId="5A2C0DC6">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水</w:t>
                  </w:r>
                </w:p>
              </w:tc>
              <w:tc>
                <w:tcPr>
                  <w:tcW w:w="675" w:type="pct"/>
                  <w:tcBorders>
                    <w:tl2br w:val="nil"/>
                    <w:tr2bl w:val="nil"/>
                  </w:tcBorders>
                  <w:noWrap w:val="0"/>
                  <w:vAlign w:val="center"/>
                </w:tcPr>
                <w:p w14:paraId="66501C80">
                  <w:pPr>
                    <w:spacing w:line="240" w:lineRule="auto"/>
                    <w:ind w:left="0" w:lef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800" w:type="pct"/>
                  <w:tcBorders>
                    <w:tl2br w:val="nil"/>
                    <w:tr2bl w:val="nil"/>
                  </w:tcBorders>
                  <w:shd w:val="clear" w:color="auto" w:fill="auto"/>
                  <w:noWrap w:val="0"/>
                  <w:vAlign w:val="center"/>
                </w:tcPr>
                <w:p w14:paraId="13879772">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1152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vertAlign w:val="baseline"/>
                      <w:lang w:val="en-US" w:eastAsia="zh-CN"/>
                    </w:rPr>
                    <w:t>/a</w:t>
                  </w:r>
                </w:p>
              </w:tc>
              <w:tc>
                <w:tcPr>
                  <w:tcW w:w="515" w:type="pct"/>
                  <w:tcBorders>
                    <w:tl2br w:val="nil"/>
                    <w:tr2bl w:val="nil"/>
                  </w:tcBorders>
                  <w:shd w:val="clear" w:color="auto" w:fill="auto"/>
                  <w:noWrap w:val="0"/>
                  <w:vAlign w:val="center"/>
                </w:tcPr>
                <w:p w14:paraId="53447768">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695" w:type="pct"/>
                  <w:tcBorders>
                    <w:tl2br w:val="nil"/>
                    <w:tr2bl w:val="nil"/>
                  </w:tcBorders>
                  <w:shd w:val="clear" w:color="auto" w:fill="auto"/>
                  <w:noWrap w:val="0"/>
                  <w:vAlign w:val="center"/>
                </w:tcPr>
                <w:p w14:paraId="63522CE4">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p>
              </w:tc>
              <w:tc>
                <w:tcPr>
                  <w:tcW w:w="296" w:type="pct"/>
                  <w:tcBorders>
                    <w:tl2br w:val="nil"/>
                    <w:tr2bl w:val="nil"/>
                  </w:tcBorders>
                  <w:shd w:val="clear" w:color="auto" w:fill="auto"/>
                  <w:noWrap w:val="0"/>
                  <w:vAlign w:val="center"/>
                </w:tcPr>
                <w:p w14:paraId="1131D8D9">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液态</w:t>
                  </w:r>
                </w:p>
              </w:tc>
              <w:tc>
                <w:tcPr>
                  <w:tcW w:w="341" w:type="pct"/>
                  <w:tcBorders>
                    <w:tl2br w:val="nil"/>
                    <w:tr2bl w:val="nil"/>
                  </w:tcBorders>
                  <w:shd w:val="clear" w:color="auto" w:fill="auto"/>
                  <w:noWrap w:val="0"/>
                  <w:vAlign w:val="center"/>
                </w:tcPr>
                <w:p w14:paraId="40881EEF">
                  <w:pPr>
                    <w:spacing w:line="240" w:lineRule="auto"/>
                    <w:ind w:left="0" w:leftChars="0"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389" w:type="pct"/>
                  <w:tcBorders>
                    <w:tl2br w:val="nil"/>
                    <w:tr2bl w:val="nil"/>
                  </w:tcBorders>
                  <w:shd w:val="clear" w:color="auto" w:fill="auto"/>
                  <w:noWrap w:val="0"/>
                  <w:vAlign w:val="center"/>
                </w:tcPr>
                <w:p w14:paraId="474788F4">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247" w:type="pct"/>
                  <w:tcBorders>
                    <w:tl2br w:val="nil"/>
                    <w:tr2bl w:val="nil"/>
                  </w:tcBorders>
                  <w:shd w:val="clear" w:color="auto" w:fill="auto"/>
                  <w:noWrap w:val="0"/>
                  <w:vAlign w:val="center"/>
                </w:tcPr>
                <w:p w14:paraId="4B204E24">
                  <w:pPr>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市政</w:t>
                  </w:r>
                </w:p>
              </w:tc>
            </w:tr>
            <w:tr w14:paraId="2BC40D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4" w:type="pct"/>
                  <w:vMerge w:val="continue"/>
                  <w:tcBorders>
                    <w:tl2br w:val="nil"/>
                    <w:tr2bl w:val="nil"/>
                  </w:tcBorders>
                  <w:noWrap w:val="0"/>
                  <w:vAlign w:val="center"/>
                </w:tcPr>
                <w:p w14:paraId="781F157A">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p>
              </w:tc>
              <w:tc>
                <w:tcPr>
                  <w:tcW w:w="781" w:type="pct"/>
                  <w:tcBorders>
                    <w:tl2br w:val="nil"/>
                    <w:tr2bl w:val="nil"/>
                  </w:tcBorders>
                  <w:noWrap w:val="0"/>
                  <w:vAlign w:val="center"/>
                </w:tcPr>
                <w:p w14:paraId="61011DD5">
                  <w:pPr>
                    <w:spacing w:line="240" w:lineRule="auto"/>
                    <w:ind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电</w:t>
                  </w:r>
                </w:p>
              </w:tc>
              <w:tc>
                <w:tcPr>
                  <w:tcW w:w="675" w:type="pct"/>
                  <w:tcBorders>
                    <w:tl2br w:val="nil"/>
                    <w:tr2bl w:val="nil"/>
                  </w:tcBorders>
                  <w:noWrap w:val="0"/>
                  <w:vAlign w:val="center"/>
                </w:tcPr>
                <w:p w14:paraId="6BB849A0">
                  <w:pPr>
                    <w:spacing w:line="240" w:lineRule="auto"/>
                    <w:ind w:left="0" w:lef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800" w:type="pct"/>
                  <w:tcBorders>
                    <w:tl2br w:val="nil"/>
                    <w:tr2bl w:val="nil"/>
                  </w:tcBorders>
                  <w:noWrap w:val="0"/>
                  <w:vAlign w:val="center"/>
                </w:tcPr>
                <w:p w14:paraId="39579A5B">
                  <w:pPr>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0.5</w:t>
                  </w:r>
                  <w:r>
                    <w:rPr>
                      <w:rFonts w:hint="default" w:ascii="Times New Roman" w:hAnsi="Times New Roman" w:eastAsia="宋体" w:cs="Times New Roman"/>
                      <w:b w:val="0"/>
                      <w:bCs w:val="0"/>
                      <w:color w:val="auto"/>
                      <w:sz w:val="18"/>
                      <w:szCs w:val="18"/>
                      <w:lang w:val="en-US" w:eastAsia="zh-CN"/>
                    </w:rPr>
                    <w:t>×10</w:t>
                  </w:r>
                  <w:r>
                    <w:rPr>
                      <w:rFonts w:hint="default" w:ascii="Times New Roman" w:hAnsi="Times New Roman" w:eastAsia="宋体" w:cs="Times New Roman"/>
                      <w:b w:val="0"/>
                      <w:bCs w:val="0"/>
                      <w:color w:val="auto"/>
                      <w:sz w:val="18"/>
                      <w:szCs w:val="18"/>
                      <w:vertAlign w:val="superscript"/>
                      <w:lang w:val="en-US" w:eastAsia="zh-CN"/>
                    </w:rPr>
                    <w:t xml:space="preserve">6 </w:t>
                  </w:r>
                  <w:r>
                    <w:rPr>
                      <w:rFonts w:hint="default" w:ascii="Times New Roman" w:hAnsi="Times New Roman" w:eastAsia="宋体" w:cs="Times New Roman"/>
                      <w:b w:val="0"/>
                      <w:bCs w:val="0"/>
                      <w:color w:val="auto"/>
                      <w:sz w:val="18"/>
                      <w:szCs w:val="18"/>
                      <w:lang w:val="en-US" w:eastAsia="zh-CN"/>
                    </w:rPr>
                    <w:t>kW•h/a</w:t>
                  </w:r>
                </w:p>
              </w:tc>
              <w:tc>
                <w:tcPr>
                  <w:tcW w:w="515" w:type="pct"/>
                  <w:tcBorders>
                    <w:tl2br w:val="nil"/>
                    <w:tr2bl w:val="nil"/>
                  </w:tcBorders>
                  <w:noWrap w:val="0"/>
                  <w:vAlign w:val="center"/>
                </w:tcPr>
                <w:p w14:paraId="5A9398CC">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695" w:type="pct"/>
                  <w:tcBorders>
                    <w:tl2br w:val="nil"/>
                    <w:tr2bl w:val="nil"/>
                  </w:tcBorders>
                  <w:noWrap w:val="0"/>
                  <w:vAlign w:val="center"/>
                </w:tcPr>
                <w:p w14:paraId="301631F8">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p>
              </w:tc>
              <w:tc>
                <w:tcPr>
                  <w:tcW w:w="296" w:type="pct"/>
                  <w:tcBorders>
                    <w:tl2br w:val="nil"/>
                    <w:tr2bl w:val="nil"/>
                  </w:tcBorders>
                  <w:noWrap w:val="0"/>
                  <w:vAlign w:val="center"/>
                </w:tcPr>
                <w:p w14:paraId="3FC67980">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341" w:type="pct"/>
                  <w:tcBorders>
                    <w:tl2br w:val="nil"/>
                    <w:tr2bl w:val="nil"/>
                  </w:tcBorders>
                  <w:noWrap w:val="0"/>
                  <w:vAlign w:val="center"/>
                </w:tcPr>
                <w:p w14:paraId="51EB2EDE">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389" w:type="pct"/>
                  <w:tcBorders>
                    <w:tl2br w:val="nil"/>
                    <w:tr2bl w:val="nil"/>
                  </w:tcBorders>
                  <w:noWrap w:val="0"/>
                  <w:vAlign w:val="center"/>
                </w:tcPr>
                <w:p w14:paraId="53B0CCD6">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247" w:type="pct"/>
                  <w:tcBorders>
                    <w:tl2br w:val="nil"/>
                    <w:tr2bl w:val="nil"/>
                  </w:tcBorders>
                  <w:noWrap w:val="0"/>
                  <w:vAlign w:val="center"/>
                </w:tcPr>
                <w:p w14:paraId="0EDA2DEB">
                  <w:pPr>
                    <w:spacing w:line="240" w:lineRule="auto"/>
                    <w:ind w:left="0" w:leftChars="0"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市政</w:t>
                  </w:r>
                </w:p>
              </w:tc>
            </w:tr>
          </w:tbl>
          <w:p w14:paraId="13E83B52">
            <w:pPr>
              <w:bidi w:val="0"/>
              <w:rPr>
                <w:b/>
                <w:bCs/>
              </w:rPr>
            </w:pPr>
            <w:r>
              <w:rPr>
                <w:b/>
                <w:bCs/>
              </w:rPr>
              <w:t>本项目</w:t>
            </w:r>
            <w:r>
              <w:rPr>
                <w:rFonts w:hint="eastAsia"/>
                <w:b/>
                <w:bCs/>
                <w:lang w:val="en-US" w:eastAsia="zh-CN"/>
              </w:rPr>
              <w:t>技术改造增加</w:t>
            </w:r>
            <w:r>
              <w:rPr>
                <w:rFonts w:hint="eastAsia"/>
                <w:b/>
                <w:bCs/>
              </w:rPr>
              <w:t>的</w:t>
            </w:r>
            <w:r>
              <w:rPr>
                <w:b/>
                <w:bCs/>
              </w:rPr>
              <w:t>主要原辅材料理化性质介绍：</w:t>
            </w:r>
          </w:p>
          <w:p w14:paraId="17CD47E2">
            <w:pPr>
              <w:pStyle w:val="38"/>
              <w:ind w:firstLine="48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卡夫特K-9392单组份环氧胶粘剂</w:t>
            </w:r>
          </w:p>
          <w:p w14:paraId="30F4EC73">
            <w:pPr>
              <w:rPr>
                <w:rFonts w:hint="default"/>
                <w:lang w:val="en-US"/>
              </w:rPr>
            </w:pPr>
            <w:r>
              <w:rPr>
                <w:rFonts w:hint="default"/>
                <w:lang w:val="en-US" w:eastAsia="zh-CN"/>
              </w:rPr>
              <w:t>根据建设单位提供的MSDS</w:t>
            </w:r>
            <w:r>
              <w:rPr>
                <w:rFonts w:hint="eastAsia"/>
                <w:lang w:val="en-US" w:eastAsia="zh-CN"/>
              </w:rPr>
              <w:t>，本项目使用的卡夫特K-9392单组份环氧胶粘剂</w:t>
            </w:r>
            <w:r>
              <w:t>物理状态为液</w:t>
            </w:r>
            <w:r>
              <w:rPr>
                <w:rFonts w:hint="eastAsia"/>
                <w:lang w:val="en-US" w:eastAsia="zh-CN"/>
              </w:rPr>
              <w:t>态</w:t>
            </w:r>
            <w:r>
              <w:t>，外观呈琥珀色，带有轻微气味</w:t>
            </w:r>
            <w:r>
              <w:rPr>
                <w:rFonts w:hint="eastAsia"/>
                <w:lang w:eastAsia="zh-CN"/>
              </w:rPr>
              <w:t>，</w:t>
            </w:r>
            <w:r>
              <w:t>系</w:t>
            </w:r>
            <w:r>
              <w:rPr>
                <w:rFonts w:hint="default"/>
              </w:rPr>
              <w:t>本体型胶粘剂</w:t>
            </w:r>
            <w:r>
              <w:rPr>
                <w:rFonts w:hint="eastAsia"/>
                <w:lang w:eastAsia="zh-CN"/>
              </w:rPr>
              <w:t>；</w:t>
            </w:r>
            <w:r>
              <w:rPr>
                <w:rFonts w:hint="eastAsia"/>
                <w:lang w:val="en-US" w:eastAsia="zh-CN"/>
              </w:rPr>
              <w:t>其</w:t>
            </w:r>
            <w:r>
              <w:t>比重为1.1</w:t>
            </w:r>
            <w:r>
              <w:rPr>
                <w:rFonts w:hint="eastAsia"/>
                <w:lang w:eastAsia="zh-CN"/>
              </w:rPr>
              <w:t>～</w:t>
            </w:r>
            <w:r>
              <w:t>1.2g/cm</w:t>
            </w:r>
            <w:r>
              <w:rPr>
                <w:rFonts w:hint="eastAsia"/>
                <w:vertAlign w:val="superscript"/>
                <w:lang w:val="en-US" w:eastAsia="zh-CN"/>
              </w:rPr>
              <w:t>3</w:t>
            </w:r>
            <w:r>
              <w:t>，水溶性轻微</w:t>
            </w:r>
            <w:r>
              <w:rPr>
                <w:rFonts w:hint="eastAsia"/>
                <w:lang w:eastAsia="zh-CN"/>
              </w:rPr>
              <w:t>（</w:t>
            </w:r>
            <w:r>
              <w:rPr>
                <w:rFonts w:hint="eastAsia"/>
                <w:lang w:val="en-US" w:eastAsia="zh-CN"/>
              </w:rPr>
              <w:t>附件9</w:t>
            </w:r>
            <w:r>
              <w:rPr>
                <w:rFonts w:hint="eastAsia"/>
                <w:lang w:eastAsia="zh-CN"/>
              </w:rPr>
              <w:t>）</w:t>
            </w:r>
            <w:r>
              <w:t>；该物质</w:t>
            </w:r>
            <w:r>
              <w:rPr>
                <w:rFonts w:hint="default"/>
                <w:lang w:val="en-US" w:eastAsia="zh-CN"/>
              </w:rPr>
              <w:t>闪点大于200℃</w:t>
            </w:r>
            <w:r>
              <w:rPr>
                <w:rFonts w:hint="eastAsia"/>
                <w:lang w:val="en-US" w:eastAsia="zh-CN"/>
              </w:rPr>
              <w:t>，</w:t>
            </w:r>
            <w:r>
              <w:t>在正常储存和使用条件下稳定。</w:t>
            </w:r>
            <w:r>
              <w:rPr>
                <w:rFonts w:hint="default"/>
              </w:rPr>
              <w:t>根据</w:t>
            </w:r>
            <w:r>
              <w:rPr>
                <w:rFonts w:hint="default"/>
                <w:lang w:val="en-US" w:eastAsia="zh-CN"/>
              </w:rPr>
              <w:t>卡夫特K-9392单组份环氧胶粘剂</w:t>
            </w:r>
            <w:r>
              <w:rPr>
                <w:rFonts w:hint="default"/>
              </w:rPr>
              <w:t>VOC含量测定报告（</w:t>
            </w:r>
            <w:r>
              <w:rPr>
                <w:rFonts w:hint="eastAsia"/>
                <w:lang w:val="en-US" w:eastAsia="zh-CN"/>
              </w:rPr>
              <w:t>附件10</w:t>
            </w:r>
            <w:r>
              <w:rPr>
                <w:rFonts w:hint="default"/>
              </w:rPr>
              <w:t>），其VOC含量为6.14g/kg，远低于</w:t>
            </w:r>
            <w:r>
              <w:rPr>
                <w:rFonts w:hint="default"/>
              </w:rPr>
              <w:fldChar w:fldCharType="begin"/>
            </w:r>
            <w:r>
              <w:rPr>
                <w:rFonts w:hint="default"/>
              </w:rPr>
              <w:instrText xml:space="preserve"> HYPERLINK "https://www.gzns.gov.cn/attachment/6/6722/6722588/6931066.pdf" \t "https://www.gzns.gov.cn/zwgk/zdlyxxgk/hjbh/cjgjstgyyqzl/qjsc/content/_blank" </w:instrText>
            </w:r>
            <w:r>
              <w:rPr>
                <w:rFonts w:hint="default"/>
              </w:rPr>
              <w:fldChar w:fldCharType="separate"/>
            </w:r>
            <w:r>
              <w:rPr>
                <w:rFonts w:hint="default"/>
              </w:rPr>
              <w:t>胶粘剂挥发性有机化合物限量（GB 33372-2020）</w:t>
            </w:r>
            <w:r>
              <w:rPr>
                <w:rFonts w:hint="default"/>
              </w:rPr>
              <w:fldChar w:fldCharType="end"/>
            </w:r>
            <w:r>
              <w:rPr>
                <w:rFonts w:hint="default"/>
              </w:rPr>
              <w:t>标准中“环氧树脂类”胶粘剂规定的100g/kg限值，属于低VOC含量产品。</w:t>
            </w:r>
          </w:p>
          <w:p w14:paraId="58FD580A">
            <w:pPr>
              <w:bidi w:val="0"/>
              <w:rPr>
                <w:lang w:val="eu-ES"/>
              </w:rPr>
            </w:pPr>
            <w:r>
              <w:rPr>
                <w:rFonts w:hint="eastAsia"/>
                <w:lang w:val="en-US" w:eastAsia="zh-CN"/>
              </w:rPr>
              <w:t>（2）</w:t>
            </w:r>
            <w:r>
              <w:rPr>
                <w:rFonts w:hint="default"/>
                <w:lang w:val="en-US" w:eastAsia="zh-CN"/>
              </w:rPr>
              <w:t>氢封5885单组分改性聚硅氧烷封装剂</w:t>
            </w:r>
          </w:p>
          <w:p w14:paraId="313E54F9">
            <w:pPr>
              <w:bidi w:val="0"/>
              <w:rPr>
                <w:rFonts w:hint="default"/>
              </w:rPr>
            </w:pPr>
            <w:r>
              <w:rPr>
                <w:rFonts w:hint="default"/>
                <w:lang w:val="en-US" w:eastAsia="zh-CN"/>
              </w:rPr>
              <w:t>根据建设单位提供的MSDS</w:t>
            </w:r>
            <w:r>
              <w:rPr>
                <w:rFonts w:hint="eastAsia"/>
                <w:lang w:val="en-US" w:eastAsia="zh-CN"/>
              </w:rPr>
              <w:t>，本项目使用的</w:t>
            </w:r>
            <w:r>
              <w:rPr>
                <w:rFonts w:hint="default"/>
                <w:lang w:val="en-US" w:eastAsia="zh-CN"/>
              </w:rPr>
              <w:t>氢封5885单组分改性聚硅氧烷封装剂</w:t>
            </w:r>
            <w:r>
              <w:rPr>
                <w:rFonts w:hint="eastAsia"/>
              </w:rPr>
              <w:t>物理形态为</w:t>
            </w:r>
            <w:r>
              <w:rPr>
                <w:rFonts w:hint="eastAsia"/>
                <w:lang w:val="en-US" w:eastAsia="zh-CN"/>
              </w:rPr>
              <w:t>液</w:t>
            </w:r>
            <w:r>
              <w:rPr>
                <w:rFonts w:hint="eastAsia"/>
              </w:rPr>
              <w:t>态，外观呈灰色，带有轻微刺激性气味</w:t>
            </w:r>
            <w:r>
              <w:rPr>
                <w:rFonts w:hint="eastAsia"/>
                <w:lang w:eastAsia="zh-CN"/>
              </w:rPr>
              <w:t>，</w:t>
            </w:r>
            <w:r>
              <w:rPr>
                <w:rFonts w:ascii="Times New Roman" w:hAnsi="Times New Roman" w:eastAsia="宋体" w:cs="Times New Roman"/>
                <w:i w:val="0"/>
                <w:iCs w:val="0"/>
                <w:caps w:val="0"/>
                <w:color w:val="auto"/>
                <w:spacing w:val="0"/>
                <w:sz w:val="24"/>
                <w:szCs w:val="20"/>
                <w:shd w:val="clear" w:fill="auto"/>
              </w:rPr>
              <w:t>系</w:t>
            </w:r>
            <w:r>
              <w:rPr>
                <w:rStyle w:val="33"/>
                <w:rFonts w:hint="default" w:ascii="Times New Roman" w:hAnsi="Times New Roman" w:eastAsia="宋体" w:cs="Times New Roman"/>
                <w:b w:val="0"/>
                <w:bCs w:val="0"/>
                <w:i w:val="0"/>
                <w:iCs w:val="0"/>
                <w:caps w:val="0"/>
                <w:color w:val="auto"/>
                <w:spacing w:val="0"/>
                <w:sz w:val="24"/>
                <w:szCs w:val="20"/>
                <w:shd w:val="clear" w:fill="auto"/>
              </w:rPr>
              <w:t>本体型</w:t>
            </w:r>
            <w:r>
              <w:rPr>
                <w:rStyle w:val="33"/>
                <w:rFonts w:hint="default" w:ascii="Times New Roman" w:hAnsi="Times New Roman" w:eastAsia="宋体" w:cs="Times New Roman"/>
                <w:b w:val="0"/>
                <w:bCs w:val="0"/>
                <w:i w:val="0"/>
                <w:iCs w:val="0"/>
                <w:caps w:val="0"/>
                <w:color w:val="auto"/>
                <w:spacing w:val="0"/>
                <w:sz w:val="24"/>
                <w:szCs w:val="20"/>
                <w:shd w:val="clear" w:fill="auto"/>
                <w:lang w:val="en-US" w:eastAsia="zh-CN"/>
              </w:rPr>
              <w:t>胶粘剂</w:t>
            </w:r>
            <w:r>
              <w:rPr>
                <w:rFonts w:hint="eastAsia"/>
              </w:rPr>
              <w:t>；</w:t>
            </w:r>
            <w:r>
              <w:rPr>
                <w:rFonts w:hint="eastAsia"/>
                <w:lang w:val="en-US" w:eastAsia="zh-CN"/>
              </w:rPr>
              <w:t>其</w:t>
            </w:r>
            <w:r>
              <w:rPr>
                <w:rFonts w:hint="eastAsia"/>
              </w:rPr>
              <w:t>密度为1.07g/cm</w:t>
            </w:r>
            <w:r>
              <w:rPr>
                <w:rFonts w:hint="eastAsia"/>
                <w:vertAlign w:val="superscript"/>
                <w:lang w:val="en-US" w:eastAsia="zh-CN"/>
              </w:rPr>
              <w:t>3</w:t>
            </w:r>
            <w:r>
              <w:rPr>
                <w:rFonts w:hint="eastAsia"/>
              </w:rPr>
              <w:t>，不溶于水</w:t>
            </w:r>
            <w:r>
              <w:rPr>
                <w:rFonts w:hint="eastAsia"/>
                <w:lang w:eastAsia="zh-CN"/>
              </w:rPr>
              <w:t>（</w:t>
            </w:r>
            <w:r>
              <w:rPr>
                <w:rFonts w:hint="eastAsia"/>
                <w:lang w:val="en-US" w:eastAsia="zh-CN"/>
              </w:rPr>
              <w:t>附件11</w:t>
            </w:r>
            <w:r>
              <w:rPr>
                <w:rFonts w:hint="eastAsia"/>
                <w:lang w:eastAsia="zh-CN"/>
              </w:rPr>
              <w:t>）。</w:t>
            </w:r>
            <w:r>
              <w:rPr>
                <w:rFonts w:hint="eastAsia"/>
              </w:rPr>
              <w:t>性质稳定且无爆炸性，在正常储存和使用条件下不易分解、变质，且不会发生危险性聚合反应。</w:t>
            </w:r>
            <w:r>
              <w:rPr>
                <w:rFonts w:hint="default"/>
              </w:rPr>
              <w:t>根据</w:t>
            </w:r>
            <w:r>
              <w:rPr>
                <w:rFonts w:hint="default"/>
                <w:lang w:val="en-US" w:eastAsia="zh-CN"/>
              </w:rPr>
              <w:t>氢封5885单组分改性聚硅氧烷封装剂</w:t>
            </w:r>
            <w:r>
              <w:rPr>
                <w:rFonts w:hint="default"/>
              </w:rPr>
              <w:t>VOC含量测定报告（</w:t>
            </w:r>
            <w:r>
              <w:rPr>
                <w:rFonts w:hint="eastAsia"/>
                <w:lang w:val="en-US" w:eastAsia="zh-CN"/>
              </w:rPr>
              <w:t>附件12</w:t>
            </w:r>
            <w:r>
              <w:rPr>
                <w:rFonts w:hint="default"/>
              </w:rPr>
              <w:t>）</w:t>
            </w:r>
            <w:r>
              <w:rPr>
                <w:rFonts w:hint="eastAsia"/>
                <w:lang w:eastAsia="zh-CN"/>
              </w:rPr>
              <w:t>，</w:t>
            </w:r>
            <w:r>
              <w:rPr>
                <w:rFonts w:hint="default"/>
              </w:rPr>
              <w:t>其VOC含量为</w:t>
            </w:r>
            <w:r>
              <w:rPr>
                <w:rFonts w:hint="eastAsia"/>
                <w:lang w:val="en-US" w:eastAsia="zh-CN"/>
              </w:rPr>
              <w:t>42</w:t>
            </w:r>
            <w:r>
              <w:rPr>
                <w:rFonts w:hint="default"/>
              </w:rPr>
              <w:t>g/kg，低于</w:t>
            </w:r>
            <w:r>
              <w:rPr>
                <w:rFonts w:hint="default"/>
              </w:rPr>
              <w:fldChar w:fldCharType="begin"/>
            </w:r>
            <w:r>
              <w:rPr>
                <w:rFonts w:hint="default"/>
              </w:rPr>
              <w:instrText xml:space="preserve"> HYPERLINK "https://www.gzns.gov.cn/attachment/6/6722/6722588/6931066.pdf" \t "https://www.gzns.gov.cn/zwgk/zdlyxxgk/hjbh/cjgjstgyyqzl/qjsc/content/_blank" </w:instrText>
            </w:r>
            <w:r>
              <w:rPr>
                <w:rFonts w:hint="default"/>
              </w:rPr>
              <w:fldChar w:fldCharType="separate"/>
            </w:r>
            <w:r>
              <w:rPr>
                <w:rFonts w:hint="default"/>
              </w:rPr>
              <w:t>胶粘剂挥发性有机化合物限量（GB 33372-2020）</w:t>
            </w:r>
            <w:r>
              <w:rPr>
                <w:rFonts w:hint="default"/>
              </w:rPr>
              <w:fldChar w:fldCharType="end"/>
            </w:r>
            <w:r>
              <w:rPr>
                <w:rFonts w:hint="default"/>
              </w:rPr>
              <w:t>标准中“有机硅类”胶粘剂规定的</w:t>
            </w:r>
            <w:r>
              <w:rPr>
                <w:rFonts w:hint="default"/>
                <w:lang w:val="en-US" w:eastAsia="zh-CN"/>
              </w:rPr>
              <w:t>5</w:t>
            </w:r>
            <w:r>
              <w:rPr>
                <w:rStyle w:val="33"/>
                <w:rFonts w:hint="default" w:ascii="Times New Roman" w:hAnsi="Times New Roman" w:eastAsia="宋体" w:cs="Times New Roman"/>
                <w:b w:val="0"/>
                <w:bCs w:val="0"/>
                <w:i w:val="0"/>
                <w:iCs w:val="0"/>
                <w:caps w:val="0"/>
                <w:color w:val="auto"/>
                <w:spacing w:val="0"/>
                <w:sz w:val="24"/>
                <w:szCs w:val="20"/>
                <w:shd w:val="clear" w:fill="auto"/>
              </w:rPr>
              <w:t>0g/kg</w:t>
            </w:r>
            <w:r>
              <w:rPr>
                <w:rFonts w:hint="eastAsia" w:cs="Times New Roman"/>
                <w:i w:val="0"/>
                <w:iCs w:val="0"/>
                <w:caps w:val="0"/>
                <w:spacing w:val="0"/>
                <w:sz w:val="24"/>
                <w:szCs w:val="20"/>
                <w:shd w:val="clear"/>
                <w:lang w:val="en-US" w:eastAsia="zh-CN"/>
              </w:rPr>
              <w:t>限值</w:t>
            </w:r>
            <w:r>
              <w:rPr>
                <w:rFonts w:hint="default"/>
              </w:rPr>
              <w:t>，属于低VOC含量产品。</w:t>
            </w:r>
            <w:r>
              <w:rPr>
                <w:rFonts w:hint="eastAsia"/>
              </w:rPr>
              <w:t>本项目</w:t>
            </w:r>
            <w:r>
              <w:rPr>
                <w:rFonts w:hint="default"/>
                <w:lang w:val="en-US" w:eastAsia="zh-CN"/>
              </w:rPr>
              <w:t>氢封5885单组分改性聚硅氧烷封装剂</w:t>
            </w:r>
            <w:r>
              <w:rPr>
                <w:rFonts w:hint="eastAsia"/>
              </w:rPr>
              <w:t>与</w:t>
            </w:r>
            <w:r>
              <w:rPr>
                <w:rFonts w:hint="eastAsia"/>
                <w:lang w:val="en-US" w:eastAsia="zh-CN"/>
              </w:rPr>
              <w:t>卡夫特K-9392单组份环氧胶粘剂混合后使用。</w:t>
            </w:r>
          </w:p>
          <w:p w14:paraId="3E0A7C1F">
            <w:pPr>
              <w:bidi w:val="0"/>
              <w:rPr>
                <w:b/>
                <w:bCs w:val="0"/>
              </w:rPr>
            </w:pPr>
            <w:r>
              <w:rPr>
                <w:rFonts w:hint="eastAsia"/>
                <w:b/>
                <w:bCs w:val="0"/>
                <w:lang w:val="en-US" w:eastAsia="zh-CN"/>
              </w:rPr>
              <w:t>项目原有</w:t>
            </w:r>
            <w:r>
              <w:rPr>
                <w:rFonts w:hint="eastAsia"/>
                <w:b/>
                <w:bCs w:val="0"/>
              </w:rPr>
              <w:t>主要</w:t>
            </w:r>
            <w:r>
              <w:rPr>
                <w:b/>
                <w:bCs w:val="0"/>
              </w:rPr>
              <w:t>原辅料</w:t>
            </w:r>
            <w:r>
              <w:rPr>
                <w:rFonts w:hint="eastAsia"/>
                <w:b/>
                <w:bCs w:val="0"/>
              </w:rPr>
              <w:t>成分或</w:t>
            </w:r>
            <w:r>
              <w:rPr>
                <w:b/>
                <w:bCs w:val="0"/>
              </w:rPr>
              <w:t>理化性质如下：</w:t>
            </w:r>
          </w:p>
          <w:p w14:paraId="7D8297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vertAlign w:val="baseline"/>
                <w:lang w:val="en-US" w:eastAsia="zh-CN"/>
              </w:rPr>
            </w:pPr>
            <w:r>
              <w:rPr>
                <w:rFonts w:hint="eastAsia" w:ascii="Times New Roman" w:hAnsi="Times New Roman" w:eastAsia="宋体" w:cs="Times New Roman"/>
                <w:kern w:val="2"/>
                <w:sz w:val="24"/>
                <w:vertAlign w:val="baseline"/>
                <w:lang w:val="en-US" w:eastAsia="zh-CN" w:bidi="ar-SA"/>
              </w:rPr>
              <w:t>（1）</w:t>
            </w:r>
            <w:r>
              <w:rPr>
                <w:rFonts w:hint="eastAsia"/>
                <w:sz w:val="24"/>
                <w:vertAlign w:val="baseline"/>
                <w:lang w:val="en-US" w:eastAsia="zh-CN"/>
              </w:rPr>
              <w:t>全氟磺酸聚合膜</w:t>
            </w:r>
          </w:p>
          <w:p w14:paraId="387EB3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vertAlign w:val="baseline"/>
                <w:lang w:val="en-US" w:eastAsia="zh-CN"/>
              </w:rPr>
            </w:pPr>
            <w:r>
              <w:rPr>
                <w:rFonts w:hint="eastAsia"/>
                <w:sz w:val="24"/>
                <w:vertAlign w:val="baseline"/>
                <w:lang w:val="en-US" w:eastAsia="zh-CN"/>
              </w:rPr>
              <w:t>该膜主要成分为全氟磺酸树脂，其结构以聚四氟乙烯为骨架，侧链末端的磺酸基团（-SO</w:t>
            </w:r>
            <w:r>
              <w:rPr>
                <w:rFonts w:hint="eastAsia"/>
                <w:sz w:val="24"/>
                <w:vertAlign w:val="subscript"/>
                <w:lang w:val="en-US" w:eastAsia="zh-CN"/>
              </w:rPr>
              <w:t>3</w:t>
            </w:r>
            <w:r>
              <w:rPr>
                <w:rFonts w:hint="eastAsia"/>
                <w:sz w:val="24"/>
                <w:vertAlign w:val="baseline"/>
                <w:lang w:val="en-US" w:eastAsia="zh-CN"/>
              </w:rPr>
              <w:t>H）为功能基团，从而实现质子传导的关键。其最佳工作温度区间通常为80℃至90℃，运行需维持一定湿度以保证质子传导效率。全氟磺酸聚合膜能高效传导质子（H</w:t>
            </w:r>
            <w:r>
              <w:rPr>
                <w:rFonts w:hint="eastAsia"/>
                <w:sz w:val="24"/>
                <w:vertAlign w:val="superscript"/>
                <w:lang w:val="en-US" w:eastAsia="zh-CN"/>
              </w:rPr>
              <w:t>+</w:t>
            </w:r>
            <w:r>
              <w:rPr>
                <w:rFonts w:hint="eastAsia"/>
                <w:sz w:val="24"/>
                <w:vertAlign w:val="baseline"/>
                <w:lang w:val="en-US" w:eastAsia="zh-CN"/>
              </w:rPr>
              <w:t>）的同时，对氢气与氧气具有极佳的阻隔性，防止气体互窜，保障运行安全；同时具有良好的热稳定性与化学稳定性，可耐受燃料电池内部的酸性及氧化环境。该膜本身化学性质稳定，在正常运行条件下无挥发性有机物释放。</w:t>
            </w:r>
          </w:p>
          <w:p w14:paraId="066D1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vertAlign w:val="baseline"/>
                <w:lang w:val="en-US" w:eastAsia="zh-CN"/>
              </w:rPr>
            </w:pPr>
            <w:r>
              <w:rPr>
                <w:rFonts w:hint="eastAsia" w:ascii="Times New Roman" w:hAnsi="Times New Roman" w:eastAsia="宋体" w:cs="Times New Roman"/>
                <w:kern w:val="2"/>
                <w:sz w:val="24"/>
                <w:vertAlign w:val="baseline"/>
                <w:lang w:val="en-US" w:eastAsia="zh-CN" w:bidi="ar-SA"/>
              </w:rPr>
              <w:t>（2）</w:t>
            </w:r>
            <w:r>
              <w:rPr>
                <w:rFonts w:hint="eastAsia"/>
                <w:sz w:val="24"/>
                <w:vertAlign w:val="baseline"/>
                <w:lang w:val="en-US" w:eastAsia="zh-CN"/>
              </w:rPr>
              <w:t>极板</w:t>
            </w:r>
          </w:p>
          <w:p w14:paraId="5055C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vertAlign w:val="baseline"/>
                <w:lang w:val="en-US" w:eastAsia="zh-CN"/>
              </w:rPr>
            </w:pPr>
            <w:r>
              <w:rPr>
                <w:rFonts w:hint="default"/>
                <w:sz w:val="24"/>
                <w:vertAlign w:val="baseline"/>
                <w:lang w:val="en-US" w:eastAsia="zh-CN"/>
              </w:rPr>
              <w:t>其主要成分为高纯度石墨，</w:t>
            </w:r>
            <w:r>
              <w:rPr>
                <w:rFonts w:hint="eastAsia"/>
                <w:sz w:val="24"/>
                <w:vertAlign w:val="baseline"/>
                <w:lang w:val="en-US" w:eastAsia="zh-CN"/>
              </w:rPr>
              <w:t>或</w:t>
            </w:r>
            <w:r>
              <w:rPr>
                <w:rFonts w:hint="default"/>
                <w:sz w:val="24"/>
                <w:vertAlign w:val="baseline"/>
                <w:lang w:val="en-US" w:eastAsia="zh-CN"/>
              </w:rPr>
              <w:t>石墨与树脂复合而成的各向同性石墨材料。该材料在燃料电池常温至约90℃的工作环境下具有优异的稳定性。</w:t>
            </w:r>
            <w:r>
              <w:rPr>
                <w:rFonts w:hint="eastAsia"/>
                <w:sz w:val="24"/>
                <w:vertAlign w:val="baseline"/>
                <w:lang w:val="en-US" w:eastAsia="zh-CN"/>
              </w:rPr>
              <w:t>石墨极板不但能</w:t>
            </w:r>
            <w:r>
              <w:rPr>
                <w:rFonts w:hint="default"/>
                <w:sz w:val="24"/>
                <w:vertAlign w:val="baseline"/>
                <w:lang w:val="en-US" w:eastAsia="zh-CN"/>
              </w:rPr>
              <w:t>高效收集电流并在电池内部形成串联回路</w:t>
            </w:r>
            <w:r>
              <w:rPr>
                <w:rFonts w:hint="eastAsia"/>
                <w:sz w:val="24"/>
                <w:vertAlign w:val="baseline"/>
                <w:lang w:val="en-US" w:eastAsia="zh-CN"/>
              </w:rPr>
              <w:t>，还能</w:t>
            </w:r>
            <w:r>
              <w:rPr>
                <w:rFonts w:hint="default"/>
                <w:sz w:val="24"/>
                <w:vertAlign w:val="baseline"/>
                <w:lang w:val="en-US" w:eastAsia="zh-CN"/>
              </w:rPr>
              <w:t>长期耐受电池堆内部的酸性环境，有效避免金属离子溶出对膜电极的毒化；</w:t>
            </w:r>
            <w:r>
              <w:rPr>
                <w:rFonts w:hint="eastAsia"/>
                <w:sz w:val="24"/>
                <w:vertAlign w:val="baseline"/>
                <w:lang w:val="en-US" w:eastAsia="zh-CN"/>
              </w:rPr>
              <w:t>此外还具有良</w:t>
            </w:r>
            <w:r>
              <w:rPr>
                <w:rFonts w:hint="default"/>
                <w:sz w:val="24"/>
                <w:vertAlign w:val="baseline"/>
                <w:lang w:val="en-US" w:eastAsia="zh-CN"/>
              </w:rPr>
              <w:t>好的导热性，有助于电池堆运行时的热管理。石墨极板与膜电极之间的兼容性良好，接触电阻稳定，有助于提升电池堆的功率密度与一致性。</w:t>
            </w:r>
          </w:p>
          <w:p w14:paraId="5781567A">
            <w:pPr>
              <w:pStyle w:val="38"/>
              <w:ind w:firstLine="480"/>
              <w:rPr>
                <w:b/>
                <w:bCs/>
                <w:color w:val="auto"/>
              </w:rPr>
            </w:pPr>
            <w:r>
              <w:rPr>
                <w:rFonts w:hint="eastAsia"/>
                <w:b/>
                <w:bCs/>
                <w:color w:val="auto"/>
              </w:rPr>
              <w:t>6、主要设备清单</w:t>
            </w:r>
          </w:p>
          <w:p w14:paraId="1DB5AC52">
            <w:pPr>
              <w:pStyle w:val="38"/>
              <w:ind w:left="480" w:leftChars="200" w:firstLine="0" w:firstLineChars="0"/>
              <w:rPr>
                <w:rFonts w:hint="eastAsia"/>
                <w:color w:val="auto"/>
              </w:rPr>
            </w:pPr>
            <w:r>
              <w:rPr>
                <w:color w:val="auto"/>
              </w:rPr>
              <w:t>本项目</w:t>
            </w:r>
            <w:r>
              <w:rPr>
                <w:rFonts w:hint="eastAsia"/>
                <w:color w:val="auto"/>
              </w:rPr>
              <w:t>技改</w:t>
            </w:r>
            <w:r>
              <w:rPr>
                <w:rFonts w:hint="eastAsia"/>
                <w:color w:val="auto"/>
                <w:lang w:val="en-US" w:eastAsia="zh-CN"/>
              </w:rPr>
              <w:t>前后</w:t>
            </w:r>
            <w:r>
              <w:rPr>
                <w:rFonts w:hint="eastAsia"/>
                <w:color w:val="auto"/>
              </w:rPr>
              <w:t>主要设备情况</w:t>
            </w:r>
            <w:r>
              <w:rPr>
                <w:color w:val="auto"/>
              </w:rPr>
              <w:t>见</w:t>
            </w:r>
            <w:r>
              <w:rPr>
                <w:rFonts w:hint="eastAsia"/>
                <w:color w:val="auto"/>
              </w:rPr>
              <w:t>下表</w:t>
            </w:r>
            <w:r>
              <w:rPr>
                <w:rFonts w:hint="eastAsia"/>
                <w:color w:val="auto"/>
                <w:lang w:val="en-US" w:eastAsia="zh-CN"/>
              </w:rPr>
              <w:t>2-7</w:t>
            </w:r>
            <w:r>
              <w:rPr>
                <w:rFonts w:hint="eastAsia"/>
                <w:color w:val="auto"/>
              </w:rPr>
              <w:t>。</w:t>
            </w:r>
          </w:p>
          <w:p w14:paraId="628FBD06">
            <w:pPr>
              <w:pStyle w:val="7"/>
              <w:bidi w:val="0"/>
              <w:rPr>
                <w:rFonts w:hint="eastAsia"/>
                <w:lang w:val="en-US" w:eastAsia="zh-CN"/>
              </w:rPr>
            </w:pPr>
            <w:r>
              <w:rPr>
                <w:rFonts w:hint="eastAsia"/>
                <w:lang w:val="en-US" w:eastAsia="zh-CN"/>
              </w:rPr>
              <w:t>表2-7  主要生产及辅助设备一览表</w:t>
            </w:r>
          </w:p>
          <w:tbl>
            <w:tblPr>
              <w:tblStyle w:val="31"/>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493"/>
              <w:gridCol w:w="1770"/>
              <w:gridCol w:w="965"/>
              <w:gridCol w:w="1104"/>
              <w:gridCol w:w="849"/>
              <w:gridCol w:w="937"/>
              <w:gridCol w:w="1173"/>
            </w:tblGrid>
            <w:tr w14:paraId="192740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589893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1849" w:type="pct"/>
                  <w:gridSpan w:val="2"/>
                  <w:tcBorders>
                    <w:tl2br w:val="nil"/>
                    <w:tr2bl w:val="nil"/>
                  </w:tcBorders>
                  <w:noWrap w:val="0"/>
                  <w:vAlign w:val="center"/>
                </w:tcPr>
                <w:p w14:paraId="275BF1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设备名称</w:t>
                  </w:r>
                </w:p>
              </w:tc>
              <w:tc>
                <w:tcPr>
                  <w:tcW w:w="546" w:type="pct"/>
                  <w:tcBorders>
                    <w:tl2br w:val="nil"/>
                    <w:tr2bl w:val="nil"/>
                  </w:tcBorders>
                  <w:noWrap w:val="0"/>
                  <w:vAlign w:val="center"/>
                </w:tcPr>
                <w:p w14:paraId="4E199F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功率（kW）</w:t>
                  </w:r>
                </w:p>
              </w:tc>
              <w:tc>
                <w:tcPr>
                  <w:tcW w:w="626" w:type="pct"/>
                  <w:tcBorders>
                    <w:tl2br w:val="nil"/>
                    <w:tr2bl w:val="nil"/>
                  </w:tcBorders>
                  <w:noWrap w:val="0"/>
                  <w:vAlign w:val="center"/>
                </w:tcPr>
                <w:p w14:paraId="5A518B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lang w:val="en-US" w:eastAsia="zh-CN"/>
                    </w:rPr>
                    <w:t>技改前</w:t>
                  </w:r>
                  <w:r>
                    <w:rPr>
                      <w:rFonts w:hint="default" w:ascii="Times New Roman" w:hAnsi="Times New Roman" w:eastAsia="宋体" w:cs="Times New Roman"/>
                      <w:b/>
                      <w:bCs w:val="0"/>
                      <w:color w:val="auto"/>
                      <w:sz w:val="21"/>
                      <w:szCs w:val="21"/>
                    </w:rPr>
                    <w:t>数量</w:t>
                  </w:r>
                </w:p>
                <w:p w14:paraId="6FB80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（台/套）</w:t>
                  </w:r>
                </w:p>
              </w:tc>
              <w:tc>
                <w:tcPr>
                  <w:tcW w:w="470" w:type="pct"/>
                  <w:tcBorders>
                    <w:tl2br w:val="nil"/>
                    <w:tr2bl w:val="nil"/>
                  </w:tcBorders>
                  <w:shd w:val="clear" w:color="auto" w:fill="auto"/>
                  <w:noWrap w:val="0"/>
                  <w:vAlign w:val="center"/>
                </w:tcPr>
                <w:p w14:paraId="0C55A9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增减数量</w:t>
                  </w:r>
                </w:p>
                <w:p w14:paraId="65CDD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宋体"/>
                      <w:b/>
                      <w:bCs/>
                      <w:color w:val="auto"/>
                      <w:kern w:val="2"/>
                      <w:sz w:val="21"/>
                      <w:szCs w:val="24"/>
                      <w:lang w:val="en-US" w:eastAsia="zh-CN" w:bidi="ar-SA"/>
                    </w:rPr>
                  </w:pPr>
                  <w:r>
                    <w:rPr>
                      <w:rFonts w:hint="eastAsia" w:ascii="Times New Roman" w:hAnsi="Times New Roman" w:eastAsia="宋体" w:cs="Times New Roman"/>
                      <w:b/>
                      <w:bCs w:val="0"/>
                      <w:color w:val="auto"/>
                      <w:sz w:val="21"/>
                      <w:szCs w:val="21"/>
                      <w:lang w:val="en-US" w:eastAsia="zh-CN"/>
                    </w:rPr>
                    <w:t>（台）</w:t>
                  </w:r>
                </w:p>
              </w:tc>
              <w:tc>
                <w:tcPr>
                  <w:tcW w:w="532" w:type="pct"/>
                  <w:tcBorders>
                    <w:tl2br w:val="nil"/>
                    <w:tr2bl w:val="nil"/>
                  </w:tcBorders>
                  <w:shd w:val="clear" w:color="auto" w:fill="auto"/>
                  <w:noWrap w:val="0"/>
                  <w:vAlign w:val="center"/>
                </w:tcPr>
                <w:p w14:paraId="37249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技改后全厂数量</w:t>
                  </w:r>
                </w:p>
                <w:p w14:paraId="5587E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宋体"/>
                      <w:b/>
                      <w:bCs/>
                      <w:color w:val="auto"/>
                      <w:kern w:val="2"/>
                      <w:sz w:val="21"/>
                      <w:szCs w:val="24"/>
                      <w:lang w:val="en-US" w:eastAsia="zh-CN" w:bidi="ar-SA"/>
                    </w:rPr>
                  </w:pPr>
                  <w:r>
                    <w:rPr>
                      <w:rFonts w:hint="eastAsia" w:ascii="Times New Roman" w:hAnsi="Times New Roman" w:eastAsia="宋体" w:cs="Times New Roman"/>
                      <w:b/>
                      <w:bCs w:val="0"/>
                      <w:color w:val="auto"/>
                      <w:sz w:val="21"/>
                      <w:szCs w:val="21"/>
                      <w:lang w:val="en-US" w:eastAsia="zh-CN"/>
                    </w:rPr>
                    <w:t>（台）</w:t>
                  </w:r>
                </w:p>
              </w:tc>
              <w:tc>
                <w:tcPr>
                  <w:tcW w:w="663" w:type="pct"/>
                  <w:tcBorders>
                    <w:tl2br w:val="nil"/>
                    <w:tr2bl w:val="nil"/>
                  </w:tcBorders>
                  <w:noWrap w:val="0"/>
                  <w:vAlign w:val="center"/>
                </w:tcPr>
                <w:p w14:paraId="68A7BD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使用工序</w:t>
                  </w:r>
                </w:p>
              </w:tc>
            </w:tr>
            <w:tr w14:paraId="09E284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5D2CA1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一</w:t>
                  </w:r>
                </w:p>
              </w:tc>
              <w:tc>
                <w:tcPr>
                  <w:tcW w:w="4688" w:type="pct"/>
                  <w:gridSpan w:val="7"/>
                  <w:tcBorders>
                    <w:tl2br w:val="nil"/>
                    <w:tr2bl w:val="nil"/>
                  </w:tcBorders>
                  <w:noWrap w:val="0"/>
                  <w:vAlign w:val="center"/>
                </w:tcPr>
                <w:p w14:paraId="3DEDB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eastAsia" w:cs="Times New Roman"/>
                      <w:b w:val="0"/>
                      <w:bCs/>
                      <w:color w:val="auto"/>
                      <w:sz w:val="21"/>
                      <w:szCs w:val="21"/>
                      <w:lang w:val="en-US" w:eastAsia="zh-CN"/>
                    </w:rPr>
                    <w:t>本次改建新增设备</w:t>
                  </w:r>
                </w:p>
              </w:tc>
            </w:tr>
            <w:tr w14:paraId="477080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1211B4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1849" w:type="pct"/>
                  <w:gridSpan w:val="2"/>
                  <w:tcBorders>
                    <w:tl2br w:val="nil"/>
                    <w:tr2bl w:val="nil"/>
                  </w:tcBorders>
                  <w:shd w:val="clear" w:color="auto" w:fill="auto"/>
                  <w:noWrap w:val="0"/>
                  <w:vAlign w:val="center"/>
                </w:tcPr>
                <w:p w14:paraId="4ED5CA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点胶机</w:t>
                  </w:r>
                </w:p>
              </w:tc>
              <w:tc>
                <w:tcPr>
                  <w:tcW w:w="546" w:type="pct"/>
                  <w:tcBorders>
                    <w:tl2br w:val="nil"/>
                    <w:tr2bl w:val="nil"/>
                  </w:tcBorders>
                  <w:shd w:val="clear" w:color="auto" w:fill="auto"/>
                  <w:noWrap w:val="0"/>
                  <w:vAlign w:val="center"/>
                </w:tcPr>
                <w:p w14:paraId="383BA14C">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45</w:t>
                  </w:r>
                </w:p>
              </w:tc>
              <w:tc>
                <w:tcPr>
                  <w:tcW w:w="626" w:type="pct"/>
                  <w:tcBorders>
                    <w:tl2br w:val="nil"/>
                    <w:tr2bl w:val="nil"/>
                  </w:tcBorders>
                  <w:shd w:val="clear" w:color="auto" w:fill="auto"/>
                  <w:noWrap w:val="0"/>
                  <w:vAlign w:val="center"/>
                </w:tcPr>
                <w:p w14:paraId="3BE8D4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470" w:type="pct"/>
                  <w:tcBorders>
                    <w:tl2br w:val="nil"/>
                    <w:tr2bl w:val="nil"/>
                  </w:tcBorders>
                  <w:shd w:val="clear" w:color="auto" w:fill="auto"/>
                  <w:noWrap w:val="0"/>
                  <w:vAlign w:val="center"/>
                </w:tcPr>
                <w:p w14:paraId="2CC666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+15</w:t>
                  </w:r>
                </w:p>
              </w:tc>
              <w:tc>
                <w:tcPr>
                  <w:tcW w:w="532" w:type="pct"/>
                  <w:tcBorders>
                    <w:tl2br w:val="nil"/>
                    <w:tr2bl w:val="nil"/>
                  </w:tcBorders>
                  <w:shd w:val="clear" w:color="auto" w:fill="auto"/>
                  <w:noWrap w:val="0"/>
                  <w:vAlign w:val="center"/>
                </w:tcPr>
                <w:p w14:paraId="7FCFEF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15</w:t>
                  </w:r>
                </w:p>
              </w:tc>
              <w:tc>
                <w:tcPr>
                  <w:tcW w:w="663" w:type="pct"/>
                  <w:tcBorders>
                    <w:tl2br w:val="nil"/>
                    <w:tr2bl w:val="nil"/>
                  </w:tcBorders>
                  <w:shd w:val="clear" w:color="auto" w:fill="auto"/>
                  <w:noWrap w:val="0"/>
                  <w:vAlign w:val="center"/>
                </w:tcPr>
                <w:p w14:paraId="3EB10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点胶</w:t>
                  </w:r>
                </w:p>
              </w:tc>
            </w:tr>
            <w:tr w14:paraId="1172E2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311" w:type="pct"/>
                  <w:tcBorders>
                    <w:tl2br w:val="nil"/>
                    <w:tr2bl w:val="nil"/>
                  </w:tcBorders>
                  <w:noWrap w:val="0"/>
                  <w:vAlign w:val="center"/>
                </w:tcPr>
                <w:p w14:paraId="584C40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p>
              </w:tc>
              <w:tc>
                <w:tcPr>
                  <w:tcW w:w="1849" w:type="pct"/>
                  <w:gridSpan w:val="2"/>
                  <w:tcBorders>
                    <w:tl2br w:val="nil"/>
                    <w:tr2bl w:val="nil"/>
                  </w:tcBorders>
                  <w:shd w:val="clear" w:color="auto" w:fill="auto"/>
                  <w:noWrap w:val="0"/>
                  <w:vAlign w:val="center"/>
                </w:tcPr>
                <w:p w14:paraId="49339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固化箱</w:t>
                  </w:r>
                </w:p>
              </w:tc>
              <w:tc>
                <w:tcPr>
                  <w:tcW w:w="546" w:type="pct"/>
                  <w:tcBorders>
                    <w:tl2br w:val="nil"/>
                    <w:tr2bl w:val="nil"/>
                  </w:tcBorders>
                  <w:shd w:val="clear" w:color="auto" w:fill="auto"/>
                  <w:noWrap w:val="0"/>
                  <w:vAlign w:val="center"/>
                </w:tcPr>
                <w:p w14:paraId="4EEC9EE1">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48</w:t>
                  </w:r>
                </w:p>
              </w:tc>
              <w:tc>
                <w:tcPr>
                  <w:tcW w:w="626" w:type="pct"/>
                  <w:tcBorders>
                    <w:tl2br w:val="nil"/>
                    <w:tr2bl w:val="nil"/>
                  </w:tcBorders>
                  <w:shd w:val="clear" w:color="auto" w:fill="auto"/>
                  <w:noWrap w:val="0"/>
                  <w:vAlign w:val="center"/>
                </w:tcPr>
                <w:p w14:paraId="4F62BA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470" w:type="pct"/>
                  <w:tcBorders>
                    <w:tl2br w:val="nil"/>
                    <w:tr2bl w:val="nil"/>
                  </w:tcBorders>
                  <w:shd w:val="clear" w:color="auto" w:fill="auto"/>
                  <w:noWrap w:val="0"/>
                  <w:vAlign w:val="center"/>
                </w:tcPr>
                <w:p w14:paraId="5B0FA9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w:t>
                  </w:r>
                </w:p>
              </w:tc>
              <w:tc>
                <w:tcPr>
                  <w:tcW w:w="532" w:type="pct"/>
                  <w:tcBorders>
                    <w:tl2br w:val="nil"/>
                    <w:tr2bl w:val="nil"/>
                  </w:tcBorders>
                  <w:shd w:val="clear" w:color="auto" w:fill="auto"/>
                  <w:noWrap w:val="0"/>
                  <w:vAlign w:val="center"/>
                </w:tcPr>
                <w:p w14:paraId="59109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w:t>
                  </w:r>
                </w:p>
              </w:tc>
              <w:tc>
                <w:tcPr>
                  <w:tcW w:w="663" w:type="pct"/>
                  <w:tcBorders>
                    <w:tl2br w:val="nil"/>
                    <w:tr2bl w:val="nil"/>
                  </w:tcBorders>
                  <w:shd w:val="clear" w:color="auto" w:fill="auto"/>
                  <w:noWrap w:val="0"/>
                  <w:vAlign w:val="center"/>
                </w:tcPr>
                <w:p w14:paraId="7960B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固化</w:t>
                  </w:r>
                </w:p>
              </w:tc>
            </w:tr>
            <w:tr w14:paraId="17CCEB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15C004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p>
              </w:tc>
              <w:tc>
                <w:tcPr>
                  <w:tcW w:w="1849" w:type="pct"/>
                  <w:gridSpan w:val="2"/>
                  <w:tcBorders>
                    <w:tl2br w:val="nil"/>
                    <w:tr2bl w:val="nil"/>
                  </w:tcBorders>
                  <w:shd w:val="clear" w:color="auto" w:fill="auto"/>
                  <w:noWrap w:val="0"/>
                  <w:vAlign w:val="center"/>
                </w:tcPr>
                <w:p w14:paraId="6C310C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影像</w:t>
                  </w:r>
                  <w:r>
                    <w:rPr>
                      <w:rFonts w:hint="eastAsia" w:cs="Times New Roman"/>
                      <w:b w:val="0"/>
                      <w:bCs/>
                      <w:color w:val="auto"/>
                      <w:sz w:val="21"/>
                      <w:szCs w:val="21"/>
                      <w:lang w:val="en-US" w:eastAsia="zh-CN"/>
                    </w:rPr>
                    <w:t>测量</w:t>
                  </w:r>
                  <w:r>
                    <w:rPr>
                      <w:rFonts w:hint="eastAsia" w:ascii="Times New Roman" w:hAnsi="Times New Roman" w:eastAsia="宋体" w:cs="Times New Roman"/>
                      <w:b w:val="0"/>
                      <w:bCs/>
                      <w:color w:val="auto"/>
                      <w:sz w:val="21"/>
                      <w:szCs w:val="21"/>
                      <w:lang w:val="en-US" w:eastAsia="zh-CN"/>
                    </w:rPr>
                    <w:t>仪</w:t>
                  </w:r>
                </w:p>
              </w:tc>
              <w:tc>
                <w:tcPr>
                  <w:tcW w:w="546" w:type="pct"/>
                  <w:tcBorders>
                    <w:tl2br w:val="nil"/>
                    <w:tr2bl w:val="nil"/>
                  </w:tcBorders>
                  <w:shd w:val="clear" w:color="auto" w:fill="auto"/>
                  <w:noWrap w:val="0"/>
                  <w:vAlign w:val="center"/>
                </w:tcPr>
                <w:p w14:paraId="19D9226E">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3</w:t>
                  </w:r>
                </w:p>
              </w:tc>
              <w:tc>
                <w:tcPr>
                  <w:tcW w:w="626" w:type="pct"/>
                  <w:tcBorders>
                    <w:tl2br w:val="nil"/>
                    <w:tr2bl w:val="nil"/>
                  </w:tcBorders>
                  <w:shd w:val="clear" w:color="auto" w:fill="auto"/>
                  <w:noWrap w:val="0"/>
                  <w:vAlign w:val="center"/>
                </w:tcPr>
                <w:p w14:paraId="22A8C0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470" w:type="pct"/>
                  <w:tcBorders>
                    <w:tl2br w:val="nil"/>
                    <w:tr2bl w:val="nil"/>
                  </w:tcBorders>
                  <w:shd w:val="clear" w:color="auto" w:fill="auto"/>
                  <w:noWrap w:val="0"/>
                  <w:vAlign w:val="center"/>
                </w:tcPr>
                <w:p w14:paraId="37D3A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p>
              </w:tc>
              <w:tc>
                <w:tcPr>
                  <w:tcW w:w="532" w:type="pct"/>
                  <w:tcBorders>
                    <w:tl2br w:val="nil"/>
                    <w:tr2bl w:val="nil"/>
                  </w:tcBorders>
                  <w:shd w:val="clear" w:color="auto" w:fill="auto"/>
                  <w:noWrap w:val="0"/>
                  <w:vAlign w:val="center"/>
                </w:tcPr>
                <w:p w14:paraId="178F1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11EE1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检测</w:t>
                  </w:r>
                </w:p>
              </w:tc>
            </w:tr>
            <w:tr w14:paraId="63E0D2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6F8CDA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4</w:t>
                  </w:r>
                </w:p>
              </w:tc>
              <w:tc>
                <w:tcPr>
                  <w:tcW w:w="1849" w:type="pct"/>
                  <w:gridSpan w:val="2"/>
                  <w:tcBorders>
                    <w:tl2br w:val="nil"/>
                    <w:tr2bl w:val="nil"/>
                  </w:tcBorders>
                  <w:shd w:val="clear" w:color="auto" w:fill="auto"/>
                  <w:noWrap w:val="0"/>
                  <w:vAlign w:val="center"/>
                </w:tcPr>
                <w:p w14:paraId="1D4CE2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冷藏柜（异丁烷制冷剂</w:t>
                  </w:r>
                  <w:r>
                    <w:rPr>
                      <w:rFonts w:hint="eastAsia"/>
                      <w:bCs/>
                      <w:color w:val="auto"/>
                      <w:sz w:val="21"/>
                      <w:szCs w:val="21"/>
                      <w:lang w:eastAsia="zh-CN"/>
                    </w:rPr>
                    <w:t>，</w:t>
                  </w:r>
                  <w:r>
                    <w:rPr>
                      <w:rFonts w:hint="eastAsia"/>
                      <w:bCs/>
                      <w:color w:val="auto"/>
                      <w:sz w:val="21"/>
                      <w:szCs w:val="21"/>
                      <w:lang w:val="en-US" w:eastAsia="zh-CN"/>
                    </w:rPr>
                    <w:t>正常情况下不涉及</w:t>
                  </w:r>
                  <w:r>
                    <w:rPr>
                      <w:rFonts w:hint="eastAsia" w:ascii="Times New Roman" w:hAnsi="Times New Roman" w:eastAsia="宋体" w:cs="Times New Roman"/>
                      <w:bCs/>
                      <w:color w:val="auto"/>
                      <w:sz w:val="21"/>
                      <w:szCs w:val="21"/>
                      <w:lang w:val="en-US" w:eastAsia="zh-CN"/>
                    </w:rPr>
                    <w:t>制冷剂的</w:t>
                  </w:r>
                  <w:r>
                    <w:rPr>
                      <w:rFonts w:hint="eastAsia"/>
                      <w:bCs/>
                      <w:color w:val="auto"/>
                      <w:sz w:val="21"/>
                      <w:szCs w:val="21"/>
                      <w:lang w:val="en-US" w:eastAsia="zh-CN"/>
                    </w:rPr>
                    <w:t>添加和更换</w:t>
                  </w:r>
                  <w:r>
                    <w:rPr>
                      <w:rFonts w:hint="eastAsia" w:cs="Times New Roman"/>
                      <w:b w:val="0"/>
                      <w:bCs/>
                      <w:color w:val="auto"/>
                      <w:sz w:val="21"/>
                      <w:szCs w:val="21"/>
                      <w:lang w:val="en-US" w:eastAsia="zh-CN"/>
                    </w:rPr>
                    <w:t>）</w:t>
                  </w:r>
                </w:p>
              </w:tc>
              <w:tc>
                <w:tcPr>
                  <w:tcW w:w="546" w:type="pct"/>
                  <w:tcBorders>
                    <w:tl2br w:val="nil"/>
                    <w:tr2bl w:val="nil"/>
                  </w:tcBorders>
                  <w:shd w:val="clear" w:color="auto" w:fill="auto"/>
                  <w:noWrap w:val="0"/>
                  <w:vAlign w:val="center"/>
                </w:tcPr>
                <w:p w14:paraId="16BF216F">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1.06</w:t>
                  </w:r>
                </w:p>
              </w:tc>
              <w:tc>
                <w:tcPr>
                  <w:tcW w:w="626" w:type="pct"/>
                  <w:tcBorders>
                    <w:tl2br w:val="nil"/>
                    <w:tr2bl w:val="nil"/>
                  </w:tcBorders>
                  <w:shd w:val="clear" w:color="auto" w:fill="auto"/>
                  <w:noWrap w:val="0"/>
                  <w:vAlign w:val="center"/>
                </w:tcPr>
                <w:p w14:paraId="56FB3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470" w:type="pct"/>
                  <w:tcBorders>
                    <w:tl2br w:val="nil"/>
                    <w:tr2bl w:val="nil"/>
                  </w:tcBorders>
                  <w:shd w:val="clear" w:color="auto" w:fill="auto"/>
                  <w:noWrap w:val="0"/>
                  <w:vAlign w:val="center"/>
                </w:tcPr>
                <w:p w14:paraId="156566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p>
              </w:tc>
              <w:tc>
                <w:tcPr>
                  <w:tcW w:w="532" w:type="pct"/>
                  <w:tcBorders>
                    <w:tl2br w:val="nil"/>
                    <w:tr2bl w:val="nil"/>
                  </w:tcBorders>
                  <w:shd w:val="clear" w:color="auto" w:fill="auto"/>
                  <w:noWrap w:val="0"/>
                  <w:vAlign w:val="center"/>
                </w:tcPr>
                <w:p w14:paraId="3723D1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6216D1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冷藏</w:t>
                  </w:r>
                </w:p>
              </w:tc>
            </w:tr>
            <w:tr w14:paraId="511352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16BD4D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5</w:t>
                  </w:r>
                </w:p>
              </w:tc>
              <w:tc>
                <w:tcPr>
                  <w:tcW w:w="1849" w:type="pct"/>
                  <w:gridSpan w:val="2"/>
                  <w:tcBorders>
                    <w:tl2br w:val="nil"/>
                    <w:tr2bl w:val="nil"/>
                  </w:tcBorders>
                  <w:shd w:val="clear" w:color="auto" w:fill="auto"/>
                  <w:noWrap w:val="0"/>
                  <w:vAlign w:val="center"/>
                </w:tcPr>
                <w:p w14:paraId="60B097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风机+二级活性炭装置+25m高排气筒</w:t>
                  </w:r>
                </w:p>
              </w:tc>
              <w:tc>
                <w:tcPr>
                  <w:tcW w:w="546" w:type="pct"/>
                  <w:tcBorders>
                    <w:tl2br w:val="nil"/>
                    <w:tr2bl w:val="nil"/>
                  </w:tcBorders>
                  <w:shd w:val="clear" w:color="auto" w:fill="auto"/>
                  <w:noWrap w:val="0"/>
                  <w:vAlign w:val="center"/>
                </w:tcPr>
                <w:p w14:paraId="6085DC2F">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26" w:type="pct"/>
                  <w:tcBorders>
                    <w:tl2br w:val="nil"/>
                    <w:tr2bl w:val="nil"/>
                  </w:tcBorders>
                  <w:shd w:val="clear" w:color="auto" w:fill="auto"/>
                  <w:noWrap w:val="0"/>
                  <w:vAlign w:val="center"/>
                </w:tcPr>
                <w:p w14:paraId="3B1AC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470" w:type="pct"/>
                  <w:tcBorders>
                    <w:tl2br w:val="nil"/>
                    <w:tr2bl w:val="nil"/>
                  </w:tcBorders>
                  <w:shd w:val="clear" w:color="auto" w:fill="auto"/>
                  <w:noWrap w:val="0"/>
                  <w:vAlign w:val="center"/>
                </w:tcPr>
                <w:p w14:paraId="510B2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532" w:type="pct"/>
                  <w:tcBorders>
                    <w:tl2br w:val="nil"/>
                    <w:tr2bl w:val="nil"/>
                  </w:tcBorders>
                  <w:shd w:val="clear" w:color="auto" w:fill="auto"/>
                  <w:noWrap w:val="0"/>
                  <w:vAlign w:val="center"/>
                </w:tcPr>
                <w:p w14:paraId="205F54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5C37A9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废气处理</w:t>
                  </w:r>
                </w:p>
              </w:tc>
            </w:tr>
            <w:tr w14:paraId="65C71E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311" w:type="pct"/>
                  <w:tcBorders>
                    <w:tl2br w:val="nil"/>
                    <w:tr2bl w:val="nil"/>
                  </w:tcBorders>
                  <w:noWrap w:val="0"/>
                  <w:vAlign w:val="center"/>
                </w:tcPr>
                <w:p w14:paraId="21B1F6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二</w:t>
                  </w:r>
                </w:p>
              </w:tc>
              <w:tc>
                <w:tcPr>
                  <w:tcW w:w="4688" w:type="pct"/>
                  <w:gridSpan w:val="7"/>
                  <w:tcBorders>
                    <w:tl2br w:val="nil"/>
                    <w:tr2bl w:val="nil"/>
                  </w:tcBorders>
                  <w:shd w:val="clear" w:color="auto" w:fill="auto"/>
                  <w:noWrap w:val="0"/>
                  <w:vAlign w:val="center"/>
                </w:tcPr>
                <w:p w14:paraId="0D9F8A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原有项目生产设备</w:t>
                  </w:r>
                </w:p>
              </w:tc>
            </w:tr>
            <w:tr w14:paraId="49A43D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672A8E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846" w:type="pct"/>
                  <w:vMerge w:val="restart"/>
                  <w:tcBorders>
                    <w:tl2br w:val="nil"/>
                    <w:tr2bl w:val="nil"/>
                  </w:tcBorders>
                  <w:shd w:val="clear" w:color="auto" w:fill="auto"/>
                  <w:noWrap w:val="0"/>
                  <w:vAlign w:val="center"/>
                </w:tcPr>
                <w:p w14:paraId="789FC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氢能源混合动力系统</w:t>
                  </w:r>
                </w:p>
              </w:tc>
              <w:tc>
                <w:tcPr>
                  <w:tcW w:w="1003" w:type="pct"/>
                  <w:tcBorders>
                    <w:tl2br w:val="nil"/>
                    <w:tr2bl w:val="nil"/>
                  </w:tcBorders>
                  <w:shd w:val="clear" w:color="auto" w:fill="auto"/>
                  <w:noWrap w:val="0"/>
                  <w:vAlign w:val="center"/>
                </w:tcPr>
                <w:p w14:paraId="6E40F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分条机</w:t>
                  </w:r>
                </w:p>
              </w:tc>
              <w:tc>
                <w:tcPr>
                  <w:tcW w:w="546" w:type="pct"/>
                  <w:tcBorders>
                    <w:tl2br w:val="nil"/>
                    <w:tr2bl w:val="nil"/>
                  </w:tcBorders>
                  <w:shd w:val="clear" w:color="auto" w:fill="auto"/>
                  <w:noWrap w:val="0"/>
                  <w:vAlign w:val="center"/>
                </w:tcPr>
                <w:p w14:paraId="126F36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w:t>
                  </w:r>
                </w:p>
              </w:tc>
              <w:tc>
                <w:tcPr>
                  <w:tcW w:w="626" w:type="pct"/>
                  <w:tcBorders>
                    <w:tl2br w:val="nil"/>
                    <w:tr2bl w:val="nil"/>
                  </w:tcBorders>
                  <w:shd w:val="clear" w:color="auto" w:fill="auto"/>
                  <w:noWrap w:val="0"/>
                  <w:vAlign w:val="center"/>
                </w:tcPr>
                <w:p w14:paraId="19B938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11EE71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6DEEAE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1AF2C4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分切</w:t>
                  </w:r>
                </w:p>
              </w:tc>
            </w:tr>
            <w:tr w14:paraId="097756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40A46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846" w:type="pct"/>
                  <w:vMerge w:val="continue"/>
                  <w:tcBorders>
                    <w:tl2br w:val="nil"/>
                    <w:tr2bl w:val="nil"/>
                  </w:tcBorders>
                  <w:shd w:val="clear" w:color="auto" w:fill="auto"/>
                  <w:noWrap w:val="0"/>
                  <w:vAlign w:val="center"/>
                </w:tcPr>
                <w:p w14:paraId="7F8FC9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p>
              </w:tc>
              <w:tc>
                <w:tcPr>
                  <w:tcW w:w="1003" w:type="pct"/>
                  <w:tcBorders>
                    <w:tl2br w:val="nil"/>
                    <w:tr2bl w:val="nil"/>
                  </w:tcBorders>
                  <w:shd w:val="clear" w:color="auto" w:fill="auto"/>
                  <w:noWrap w:val="0"/>
                  <w:vAlign w:val="center"/>
                </w:tcPr>
                <w:p w14:paraId="0116B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裁切机</w:t>
                  </w:r>
                </w:p>
              </w:tc>
              <w:tc>
                <w:tcPr>
                  <w:tcW w:w="546" w:type="pct"/>
                  <w:tcBorders>
                    <w:tl2br w:val="nil"/>
                    <w:tr2bl w:val="nil"/>
                  </w:tcBorders>
                  <w:shd w:val="clear" w:color="auto" w:fill="auto"/>
                  <w:noWrap w:val="0"/>
                  <w:vAlign w:val="center"/>
                </w:tcPr>
                <w:p w14:paraId="49CD3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16</w:t>
                  </w:r>
                </w:p>
              </w:tc>
              <w:tc>
                <w:tcPr>
                  <w:tcW w:w="626" w:type="pct"/>
                  <w:tcBorders>
                    <w:tl2br w:val="nil"/>
                    <w:tr2bl w:val="nil"/>
                  </w:tcBorders>
                  <w:shd w:val="clear" w:color="auto" w:fill="auto"/>
                  <w:noWrap w:val="0"/>
                  <w:vAlign w:val="center"/>
                </w:tcPr>
                <w:p w14:paraId="6D9A84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c>
                <w:tcPr>
                  <w:tcW w:w="470" w:type="pct"/>
                  <w:tcBorders>
                    <w:tl2br w:val="nil"/>
                    <w:tr2bl w:val="nil"/>
                  </w:tcBorders>
                  <w:shd w:val="clear" w:color="auto" w:fill="auto"/>
                  <w:noWrap w:val="0"/>
                  <w:vAlign w:val="center"/>
                </w:tcPr>
                <w:p w14:paraId="6D7AF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4672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c>
                <w:tcPr>
                  <w:tcW w:w="663" w:type="pct"/>
                  <w:tcBorders>
                    <w:tl2br w:val="nil"/>
                    <w:tr2bl w:val="nil"/>
                  </w:tcBorders>
                  <w:shd w:val="clear" w:color="auto" w:fill="auto"/>
                  <w:noWrap w:val="0"/>
                  <w:vAlign w:val="center"/>
                </w:tcPr>
                <w:p w14:paraId="1D2CF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裁切</w:t>
                  </w:r>
                </w:p>
              </w:tc>
            </w:tr>
            <w:tr w14:paraId="13D1A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2C7CF3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846" w:type="pct"/>
                  <w:vMerge w:val="continue"/>
                  <w:tcBorders>
                    <w:tl2br w:val="nil"/>
                    <w:tr2bl w:val="nil"/>
                  </w:tcBorders>
                  <w:shd w:val="clear" w:color="auto" w:fill="auto"/>
                  <w:noWrap w:val="0"/>
                  <w:vAlign w:val="center"/>
                </w:tcPr>
                <w:p w14:paraId="4862EC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p>
              </w:tc>
              <w:tc>
                <w:tcPr>
                  <w:tcW w:w="1003" w:type="pct"/>
                  <w:tcBorders>
                    <w:tl2br w:val="nil"/>
                    <w:tr2bl w:val="nil"/>
                  </w:tcBorders>
                  <w:shd w:val="clear" w:color="auto" w:fill="auto"/>
                  <w:noWrap w:val="0"/>
                  <w:vAlign w:val="center"/>
                </w:tcPr>
                <w:p w14:paraId="64235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五合一封装机</w:t>
                  </w:r>
                </w:p>
              </w:tc>
              <w:tc>
                <w:tcPr>
                  <w:tcW w:w="546" w:type="pct"/>
                  <w:tcBorders>
                    <w:tl2br w:val="nil"/>
                    <w:tr2bl w:val="nil"/>
                  </w:tcBorders>
                  <w:shd w:val="clear" w:color="auto" w:fill="auto"/>
                  <w:noWrap w:val="0"/>
                  <w:vAlign w:val="center"/>
                </w:tcPr>
                <w:p w14:paraId="02349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12</w:t>
                  </w:r>
                </w:p>
              </w:tc>
              <w:tc>
                <w:tcPr>
                  <w:tcW w:w="626" w:type="pct"/>
                  <w:tcBorders>
                    <w:tl2br w:val="nil"/>
                    <w:tr2bl w:val="nil"/>
                  </w:tcBorders>
                  <w:shd w:val="clear" w:color="auto" w:fill="auto"/>
                  <w:noWrap w:val="0"/>
                  <w:vAlign w:val="center"/>
                </w:tcPr>
                <w:p w14:paraId="79718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c>
                <w:tcPr>
                  <w:tcW w:w="470" w:type="pct"/>
                  <w:tcBorders>
                    <w:tl2br w:val="nil"/>
                    <w:tr2bl w:val="nil"/>
                  </w:tcBorders>
                  <w:shd w:val="clear" w:color="auto" w:fill="auto"/>
                  <w:noWrap w:val="0"/>
                  <w:vAlign w:val="center"/>
                </w:tcPr>
                <w:p w14:paraId="5DA01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49D3F3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c>
                <w:tcPr>
                  <w:tcW w:w="663" w:type="pct"/>
                  <w:tcBorders>
                    <w:tl2br w:val="nil"/>
                    <w:tr2bl w:val="nil"/>
                  </w:tcBorders>
                  <w:shd w:val="clear" w:color="auto" w:fill="auto"/>
                  <w:noWrap w:val="0"/>
                  <w:vAlign w:val="center"/>
                </w:tcPr>
                <w:p w14:paraId="0BF0E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封装</w:t>
                  </w:r>
                </w:p>
              </w:tc>
            </w:tr>
            <w:tr w14:paraId="49823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6A1073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846" w:type="pct"/>
                  <w:vMerge w:val="continue"/>
                  <w:tcBorders>
                    <w:tl2br w:val="nil"/>
                    <w:tr2bl w:val="nil"/>
                  </w:tcBorders>
                  <w:shd w:val="clear" w:color="auto" w:fill="auto"/>
                  <w:noWrap w:val="0"/>
                  <w:vAlign w:val="center"/>
                </w:tcPr>
                <w:p w14:paraId="76B026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p>
              </w:tc>
              <w:tc>
                <w:tcPr>
                  <w:tcW w:w="1003" w:type="pct"/>
                  <w:tcBorders>
                    <w:tl2br w:val="nil"/>
                    <w:tr2bl w:val="nil"/>
                  </w:tcBorders>
                  <w:shd w:val="clear" w:color="auto" w:fill="auto"/>
                  <w:noWrap w:val="0"/>
                  <w:vAlign w:val="center"/>
                </w:tcPr>
                <w:p w14:paraId="1F02A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七合一封装机</w:t>
                  </w:r>
                </w:p>
              </w:tc>
              <w:tc>
                <w:tcPr>
                  <w:tcW w:w="546" w:type="pct"/>
                  <w:tcBorders>
                    <w:tl2br w:val="nil"/>
                    <w:tr2bl w:val="nil"/>
                  </w:tcBorders>
                  <w:shd w:val="clear" w:color="auto" w:fill="auto"/>
                  <w:noWrap w:val="0"/>
                  <w:vAlign w:val="center"/>
                </w:tcPr>
                <w:p w14:paraId="36B053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w:t>
                  </w:r>
                </w:p>
              </w:tc>
              <w:tc>
                <w:tcPr>
                  <w:tcW w:w="626" w:type="pct"/>
                  <w:tcBorders>
                    <w:tl2br w:val="nil"/>
                    <w:tr2bl w:val="nil"/>
                  </w:tcBorders>
                  <w:shd w:val="clear" w:color="auto" w:fill="auto"/>
                  <w:noWrap w:val="0"/>
                  <w:vAlign w:val="center"/>
                </w:tcPr>
                <w:p w14:paraId="0CD976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c>
                <w:tcPr>
                  <w:tcW w:w="470" w:type="pct"/>
                  <w:tcBorders>
                    <w:tl2br w:val="nil"/>
                    <w:tr2bl w:val="nil"/>
                  </w:tcBorders>
                  <w:shd w:val="clear" w:color="auto" w:fill="auto"/>
                  <w:noWrap w:val="0"/>
                  <w:vAlign w:val="center"/>
                </w:tcPr>
                <w:p w14:paraId="5C586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3C2807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c>
                <w:tcPr>
                  <w:tcW w:w="663" w:type="pct"/>
                  <w:tcBorders>
                    <w:tl2br w:val="nil"/>
                    <w:tr2bl w:val="nil"/>
                  </w:tcBorders>
                  <w:shd w:val="clear" w:color="auto" w:fill="auto"/>
                  <w:noWrap w:val="0"/>
                  <w:vAlign w:val="center"/>
                </w:tcPr>
                <w:p w14:paraId="21B7A6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封装</w:t>
                  </w:r>
                </w:p>
              </w:tc>
            </w:tr>
            <w:tr w14:paraId="55B40A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noWrap w:val="0"/>
                  <w:vAlign w:val="center"/>
                </w:tcPr>
                <w:p w14:paraId="618EF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846" w:type="pct"/>
                  <w:vMerge w:val="continue"/>
                  <w:tcBorders>
                    <w:tl2br w:val="nil"/>
                    <w:tr2bl w:val="nil"/>
                  </w:tcBorders>
                  <w:shd w:val="clear" w:color="auto" w:fill="auto"/>
                  <w:noWrap w:val="0"/>
                  <w:vAlign w:val="center"/>
                </w:tcPr>
                <w:p w14:paraId="762642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p>
              </w:tc>
              <w:tc>
                <w:tcPr>
                  <w:tcW w:w="1003" w:type="pct"/>
                  <w:tcBorders>
                    <w:tl2br w:val="nil"/>
                    <w:tr2bl w:val="nil"/>
                  </w:tcBorders>
                  <w:shd w:val="clear" w:color="auto" w:fill="auto"/>
                  <w:noWrap w:val="0"/>
                  <w:vAlign w:val="center"/>
                </w:tcPr>
                <w:p w14:paraId="39399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自动装堆线</w:t>
                  </w:r>
                </w:p>
              </w:tc>
              <w:tc>
                <w:tcPr>
                  <w:tcW w:w="546" w:type="pct"/>
                  <w:tcBorders>
                    <w:tl2br w:val="nil"/>
                    <w:tr2bl w:val="nil"/>
                  </w:tcBorders>
                  <w:shd w:val="clear" w:color="auto" w:fill="auto"/>
                  <w:noWrap w:val="0"/>
                  <w:vAlign w:val="center"/>
                </w:tcPr>
                <w:p w14:paraId="09107D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20</w:t>
                  </w:r>
                </w:p>
              </w:tc>
              <w:tc>
                <w:tcPr>
                  <w:tcW w:w="626" w:type="pct"/>
                  <w:tcBorders>
                    <w:tl2br w:val="nil"/>
                    <w:tr2bl w:val="nil"/>
                  </w:tcBorders>
                  <w:shd w:val="clear" w:color="auto" w:fill="auto"/>
                  <w:noWrap w:val="0"/>
                  <w:vAlign w:val="center"/>
                </w:tcPr>
                <w:p w14:paraId="09A120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c>
                <w:tcPr>
                  <w:tcW w:w="470" w:type="pct"/>
                  <w:tcBorders>
                    <w:tl2br w:val="nil"/>
                    <w:tr2bl w:val="nil"/>
                  </w:tcBorders>
                  <w:shd w:val="clear" w:color="auto" w:fill="auto"/>
                  <w:noWrap w:val="0"/>
                  <w:vAlign w:val="center"/>
                </w:tcPr>
                <w:p w14:paraId="404C9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07432D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c>
                <w:tcPr>
                  <w:tcW w:w="663" w:type="pct"/>
                  <w:tcBorders>
                    <w:tl2br w:val="nil"/>
                    <w:tr2bl w:val="nil"/>
                  </w:tcBorders>
                  <w:shd w:val="clear" w:color="auto" w:fill="auto"/>
                  <w:noWrap w:val="0"/>
                  <w:vAlign w:val="center"/>
                </w:tcPr>
                <w:p w14:paraId="464D36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装堆</w:t>
                  </w:r>
                </w:p>
              </w:tc>
            </w:tr>
            <w:tr w14:paraId="6A84A0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3983F8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6</w:t>
                  </w:r>
                </w:p>
              </w:tc>
              <w:tc>
                <w:tcPr>
                  <w:tcW w:w="846" w:type="pct"/>
                  <w:vMerge w:val="continue"/>
                  <w:tcBorders>
                    <w:tl2br w:val="nil"/>
                    <w:tr2bl w:val="nil"/>
                  </w:tcBorders>
                  <w:shd w:val="clear" w:color="auto" w:fill="auto"/>
                  <w:noWrap w:val="0"/>
                  <w:vAlign w:val="center"/>
                </w:tcPr>
                <w:p w14:paraId="4CDA8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p>
              </w:tc>
              <w:tc>
                <w:tcPr>
                  <w:tcW w:w="1003" w:type="pct"/>
                  <w:tcBorders>
                    <w:tl2br w:val="nil"/>
                    <w:tr2bl w:val="nil"/>
                  </w:tcBorders>
                  <w:shd w:val="clear" w:color="auto" w:fill="auto"/>
                  <w:noWrap w:val="0"/>
                  <w:vAlign w:val="center"/>
                </w:tcPr>
                <w:p w14:paraId="78EC47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膜电极</w:t>
                  </w:r>
                  <w:r>
                    <w:rPr>
                      <w:rFonts w:hint="default" w:ascii="Times New Roman" w:hAnsi="Times New Roman" w:eastAsia="宋体" w:cs="Times New Roman"/>
                      <w:b w:val="0"/>
                      <w:bCs/>
                      <w:color w:val="auto"/>
                      <w:sz w:val="21"/>
                      <w:szCs w:val="21"/>
                      <w:lang w:val="en-US" w:eastAsia="zh-CN"/>
                    </w:rPr>
                    <w:t>生产线</w:t>
                  </w:r>
                </w:p>
              </w:tc>
              <w:tc>
                <w:tcPr>
                  <w:tcW w:w="546" w:type="pct"/>
                  <w:tcBorders>
                    <w:tl2br w:val="nil"/>
                    <w:tr2bl w:val="nil"/>
                  </w:tcBorders>
                  <w:shd w:val="clear" w:color="auto" w:fill="auto"/>
                  <w:noWrap w:val="0"/>
                  <w:vAlign w:val="center"/>
                </w:tcPr>
                <w:p w14:paraId="192C23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60</w:t>
                  </w:r>
                </w:p>
              </w:tc>
              <w:tc>
                <w:tcPr>
                  <w:tcW w:w="626" w:type="pct"/>
                  <w:tcBorders>
                    <w:tl2br w:val="nil"/>
                    <w:tr2bl w:val="nil"/>
                  </w:tcBorders>
                  <w:shd w:val="clear" w:color="auto" w:fill="auto"/>
                  <w:noWrap w:val="0"/>
                  <w:vAlign w:val="center"/>
                </w:tcPr>
                <w:p w14:paraId="66803A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5E0278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766CB0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4C4F11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封装</w:t>
                  </w:r>
                </w:p>
              </w:tc>
            </w:tr>
            <w:tr w14:paraId="6A1F61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793DF2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green"/>
                      <w:lang w:val="en-US" w:eastAsia="zh-CN" w:bidi="ar-SA"/>
                    </w:rPr>
                  </w:pPr>
                  <w:r>
                    <w:rPr>
                      <w:rFonts w:hint="default" w:ascii="Times New Roman" w:hAnsi="Times New Roman" w:eastAsia="宋体" w:cs="Times New Roman"/>
                      <w:bCs/>
                      <w:color w:val="auto"/>
                      <w:sz w:val="21"/>
                      <w:szCs w:val="21"/>
                      <w:highlight w:val="none"/>
                      <w:lang w:val="en-US" w:eastAsia="zh-CN"/>
                    </w:rPr>
                    <w:t>7</w:t>
                  </w:r>
                </w:p>
              </w:tc>
              <w:tc>
                <w:tcPr>
                  <w:tcW w:w="846" w:type="pct"/>
                  <w:vMerge w:val="restart"/>
                  <w:tcBorders>
                    <w:tl2br w:val="nil"/>
                    <w:tr2bl w:val="nil"/>
                  </w:tcBorders>
                  <w:shd w:val="clear" w:color="auto" w:fill="auto"/>
                  <w:noWrap w:val="0"/>
                  <w:vAlign w:val="center"/>
                </w:tcPr>
                <w:p w14:paraId="22763D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氢能源两轮车</w:t>
                  </w:r>
                </w:p>
              </w:tc>
              <w:tc>
                <w:tcPr>
                  <w:tcW w:w="1003" w:type="pct"/>
                  <w:tcBorders>
                    <w:tl2br w:val="nil"/>
                    <w:tr2bl w:val="nil"/>
                  </w:tcBorders>
                  <w:shd w:val="clear" w:color="auto" w:fill="auto"/>
                  <w:noWrap w:val="0"/>
                  <w:vAlign w:val="center"/>
                </w:tcPr>
                <w:p w14:paraId="37E9A4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整车装配线</w:t>
                  </w:r>
                </w:p>
              </w:tc>
              <w:tc>
                <w:tcPr>
                  <w:tcW w:w="546" w:type="pct"/>
                  <w:tcBorders>
                    <w:tl2br w:val="nil"/>
                    <w:tr2bl w:val="nil"/>
                  </w:tcBorders>
                  <w:shd w:val="clear" w:color="auto" w:fill="auto"/>
                  <w:noWrap w:val="0"/>
                  <w:vAlign w:val="center"/>
                </w:tcPr>
                <w:p w14:paraId="2AA9A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15</w:t>
                  </w:r>
                </w:p>
              </w:tc>
              <w:tc>
                <w:tcPr>
                  <w:tcW w:w="626" w:type="pct"/>
                  <w:tcBorders>
                    <w:tl2br w:val="nil"/>
                    <w:tr2bl w:val="nil"/>
                  </w:tcBorders>
                  <w:shd w:val="clear" w:color="auto" w:fill="auto"/>
                  <w:noWrap w:val="0"/>
                  <w:vAlign w:val="center"/>
                </w:tcPr>
                <w:p w14:paraId="5321A2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47050C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03D9C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4F64D6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装配</w:t>
                  </w:r>
                </w:p>
              </w:tc>
            </w:tr>
            <w:tr w14:paraId="18464D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736A3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8</w:t>
                  </w:r>
                </w:p>
              </w:tc>
              <w:tc>
                <w:tcPr>
                  <w:tcW w:w="846" w:type="pct"/>
                  <w:vMerge w:val="continue"/>
                  <w:tcBorders>
                    <w:tl2br w:val="nil"/>
                    <w:tr2bl w:val="nil"/>
                  </w:tcBorders>
                  <w:shd w:val="clear" w:color="auto" w:fill="auto"/>
                  <w:noWrap w:val="0"/>
                  <w:vAlign w:val="center"/>
                </w:tcPr>
                <w:p w14:paraId="74531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5434FC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自动包装线</w:t>
                  </w:r>
                </w:p>
              </w:tc>
              <w:tc>
                <w:tcPr>
                  <w:tcW w:w="546" w:type="pct"/>
                  <w:tcBorders>
                    <w:tl2br w:val="nil"/>
                    <w:tr2bl w:val="nil"/>
                  </w:tcBorders>
                  <w:shd w:val="clear" w:color="auto" w:fill="auto"/>
                  <w:noWrap w:val="0"/>
                  <w:vAlign w:val="center"/>
                </w:tcPr>
                <w:p w14:paraId="317150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5</w:t>
                  </w:r>
                </w:p>
              </w:tc>
              <w:tc>
                <w:tcPr>
                  <w:tcW w:w="626" w:type="pct"/>
                  <w:tcBorders>
                    <w:tl2br w:val="nil"/>
                    <w:tr2bl w:val="nil"/>
                  </w:tcBorders>
                  <w:shd w:val="clear" w:color="auto" w:fill="auto"/>
                  <w:noWrap w:val="0"/>
                  <w:vAlign w:val="center"/>
                </w:tcPr>
                <w:p w14:paraId="7337F6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374781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25A51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7D34E7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包装</w:t>
                  </w:r>
                </w:p>
              </w:tc>
            </w:tr>
            <w:tr w14:paraId="3BCC27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3DBA1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w:t>
                  </w:r>
                </w:p>
              </w:tc>
              <w:tc>
                <w:tcPr>
                  <w:tcW w:w="846" w:type="pct"/>
                  <w:vMerge w:val="restart"/>
                  <w:tcBorders>
                    <w:tl2br w:val="nil"/>
                    <w:tr2bl w:val="nil"/>
                  </w:tcBorders>
                  <w:shd w:val="clear" w:color="auto" w:fill="auto"/>
                  <w:noWrap w:val="0"/>
                  <w:vAlign w:val="center"/>
                </w:tcPr>
                <w:p w14:paraId="4049C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公用</w:t>
                  </w:r>
                </w:p>
              </w:tc>
              <w:tc>
                <w:tcPr>
                  <w:tcW w:w="1003" w:type="pct"/>
                  <w:tcBorders>
                    <w:tl2br w:val="nil"/>
                    <w:tr2bl w:val="nil"/>
                  </w:tcBorders>
                  <w:shd w:val="clear" w:color="auto" w:fill="auto"/>
                  <w:noWrap w:val="0"/>
                  <w:vAlign w:val="center"/>
                </w:tcPr>
                <w:p w14:paraId="5653F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无油涡旋空压机</w:t>
                  </w:r>
                </w:p>
              </w:tc>
              <w:tc>
                <w:tcPr>
                  <w:tcW w:w="546" w:type="pct"/>
                  <w:tcBorders>
                    <w:tl2br w:val="nil"/>
                    <w:tr2bl w:val="nil"/>
                  </w:tcBorders>
                  <w:shd w:val="clear" w:color="auto" w:fill="auto"/>
                  <w:noWrap w:val="0"/>
                  <w:vAlign w:val="center"/>
                </w:tcPr>
                <w:p w14:paraId="7EFA8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33</w:t>
                  </w:r>
                </w:p>
              </w:tc>
              <w:tc>
                <w:tcPr>
                  <w:tcW w:w="626" w:type="pct"/>
                  <w:tcBorders>
                    <w:tl2br w:val="nil"/>
                    <w:tr2bl w:val="nil"/>
                  </w:tcBorders>
                  <w:shd w:val="clear" w:color="auto" w:fill="auto"/>
                  <w:noWrap w:val="0"/>
                  <w:vAlign w:val="center"/>
                </w:tcPr>
                <w:p w14:paraId="2433BD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34CF60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7B6F53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1E8F86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压缩空气</w:t>
                  </w:r>
                </w:p>
              </w:tc>
            </w:tr>
            <w:tr w14:paraId="38C2F1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3899D2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10</w:t>
                  </w:r>
                </w:p>
              </w:tc>
              <w:tc>
                <w:tcPr>
                  <w:tcW w:w="846" w:type="pct"/>
                  <w:vMerge w:val="continue"/>
                  <w:tcBorders>
                    <w:tl2br w:val="nil"/>
                    <w:tr2bl w:val="nil"/>
                  </w:tcBorders>
                  <w:shd w:val="clear" w:color="auto" w:fill="auto"/>
                  <w:noWrap w:val="0"/>
                  <w:vAlign w:val="center"/>
                </w:tcPr>
                <w:p w14:paraId="053BB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5956C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无油涡旋空压机</w:t>
                  </w:r>
                </w:p>
              </w:tc>
              <w:tc>
                <w:tcPr>
                  <w:tcW w:w="546" w:type="pct"/>
                  <w:tcBorders>
                    <w:tl2br w:val="nil"/>
                    <w:tr2bl w:val="nil"/>
                  </w:tcBorders>
                  <w:shd w:val="clear" w:color="auto" w:fill="auto"/>
                  <w:noWrap w:val="0"/>
                  <w:vAlign w:val="center"/>
                </w:tcPr>
                <w:p w14:paraId="49D072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22</w:t>
                  </w:r>
                </w:p>
              </w:tc>
              <w:tc>
                <w:tcPr>
                  <w:tcW w:w="626" w:type="pct"/>
                  <w:tcBorders>
                    <w:tl2br w:val="nil"/>
                    <w:tr2bl w:val="nil"/>
                  </w:tcBorders>
                  <w:shd w:val="clear" w:color="auto" w:fill="auto"/>
                  <w:noWrap w:val="0"/>
                  <w:vAlign w:val="center"/>
                </w:tcPr>
                <w:p w14:paraId="29ECC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2907CC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38EBA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4CB5F7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压缩空气</w:t>
                  </w:r>
                </w:p>
              </w:tc>
            </w:tr>
            <w:tr w14:paraId="2138CD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4A07BD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11</w:t>
                  </w:r>
                </w:p>
              </w:tc>
              <w:tc>
                <w:tcPr>
                  <w:tcW w:w="846" w:type="pct"/>
                  <w:vMerge w:val="continue"/>
                  <w:tcBorders>
                    <w:tl2br w:val="nil"/>
                    <w:tr2bl w:val="nil"/>
                  </w:tcBorders>
                  <w:shd w:val="clear" w:color="auto" w:fill="auto"/>
                  <w:noWrap w:val="0"/>
                  <w:vAlign w:val="center"/>
                </w:tcPr>
                <w:p w14:paraId="66D90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397ED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螺杆空压机</w:t>
                  </w:r>
                </w:p>
              </w:tc>
              <w:tc>
                <w:tcPr>
                  <w:tcW w:w="546" w:type="pct"/>
                  <w:tcBorders>
                    <w:tl2br w:val="nil"/>
                    <w:tr2bl w:val="nil"/>
                  </w:tcBorders>
                  <w:shd w:val="clear" w:color="auto" w:fill="auto"/>
                  <w:noWrap w:val="0"/>
                  <w:vAlign w:val="center"/>
                </w:tcPr>
                <w:p w14:paraId="1A51DE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55</w:t>
                  </w:r>
                </w:p>
              </w:tc>
              <w:tc>
                <w:tcPr>
                  <w:tcW w:w="626" w:type="pct"/>
                  <w:tcBorders>
                    <w:tl2br w:val="nil"/>
                    <w:tr2bl w:val="nil"/>
                  </w:tcBorders>
                  <w:shd w:val="clear" w:color="auto" w:fill="auto"/>
                  <w:noWrap w:val="0"/>
                  <w:vAlign w:val="center"/>
                </w:tcPr>
                <w:p w14:paraId="76E62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516FDF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0D449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350B84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压缩空气</w:t>
                  </w:r>
                </w:p>
              </w:tc>
            </w:tr>
            <w:tr w14:paraId="09B40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l2br w:val="nil"/>
                    <w:tr2bl w:val="nil"/>
                  </w:tcBorders>
                  <w:shd w:val="clear" w:color="auto" w:fill="auto"/>
                  <w:noWrap w:val="0"/>
                  <w:vAlign w:val="center"/>
                </w:tcPr>
                <w:p w14:paraId="7DFA34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12</w:t>
                  </w:r>
                </w:p>
              </w:tc>
              <w:tc>
                <w:tcPr>
                  <w:tcW w:w="846" w:type="pct"/>
                  <w:vMerge w:val="continue"/>
                  <w:tcBorders>
                    <w:tl2br w:val="nil"/>
                    <w:tr2bl w:val="nil"/>
                  </w:tcBorders>
                  <w:shd w:val="clear" w:color="auto" w:fill="auto"/>
                  <w:noWrap w:val="0"/>
                  <w:vAlign w:val="center"/>
                </w:tcPr>
                <w:p w14:paraId="2BAC26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500D9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螺杆空压机</w:t>
                  </w:r>
                </w:p>
              </w:tc>
              <w:tc>
                <w:tcPr>
                  <w:tcW w:w="546" w:type="pct"/>
                  <w:tcBorders>
                    <w:tl2br w:val="nil"/>
                    <w:tr2bl w:val="nil"/>
                  </w:tcBorders>
                  <w:shd w:val="clear" w:color="auto" w:fill="auto"/>
                  <w:noWrap w:val="0"/>
                  <w:vAlign w:val="center"/>
                </w:tcPr>
                <w:p w14:paraId="4A3FDF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55</w:t>
                  </w:r>
                </w:p>
              </w:tc>
              <w:tc>
                <w:tcPr>
                  <w:tcW w:w="626" w:type="pct"/>
                  <w:tcBorders>
                    <w:tl2br w:val="nil"/>
                    <w:tr2bl w:val="nil"/>
                  </w:tcBorders>
                  <w:shd w:val="clear" w:color="auto" w:fill="auto"/>
                  <w:noWrap w:val="0"/>
                  <w:vAlign w:val="center"/>
                </w:tcPr>
                <w:p w14:paraId="7EFFF8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7076E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37F1B2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3B1E71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压缩空气</w:t>
                  </w:r>
                </w:p>
              </w:tc>
            </w:tr>
            <w:tr w14:paraId="2FCBF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11" w:type="pct"/>
                  <w:tcBorders>
                    <w:tl2br w:val="nil"/>
                    <w:tr2bl w:val="nil"/>
                  </w:tcBorders>
                  <w:shd w:val="clear" w:color="auto" w:fill="auto"/>
                  <w:noWrap w:val="0"/>
                  <w:vAlign w:val="center"/>
                </w:tcPr>
                <w:p w14:paraId="496978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13</w:t>
                  </w:r>
                </w:p>
              </w:tc>
              <w:tc>
                <w:tcPr>
                  <w:tcW w:w="846" w:type="pct"/>
                  <w:vMerge w:val="continue"/>
                  <w:tcBorders>
                    <w:tl2br w:val="nil"/>
                    <w:tr2bl w:val="nil"/>
                  </w:tcBorders>
                  <w:shd w:val="clear" w:color="auto" w:fill="auto"/>
                  <w:noWrap w:val="0"/>
                  <w:vAlign w:val="center"/>
                </w:tcPr>
                <w:p w14:paraId="783F05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2C902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螺杆空压机</w:t>
                  </w:r>
                </w:p>
              </w:tc>
              <w:tc>
                <w:tcPr>
                  <w:tcW w:w="546" w:type="pct"/>
                  <w:tcBorders>
                    <w:tl2br w:val="nil"/>
                    <w:tr2bl w:val="nil"/>
                  </w:tcBorders>
                  <w:shd w:val="clear" w:color="auto" w:fill="auto"/>
                  <w:noWrap w:val="0"/>
                  <w:vAlign w:val="center"/>
                </w:tcPr>
                <w:p w14:paraId="277E8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55</w:t>
                  </w:r>
                </w:p>
              </w:tc>
              <w:tc>
                <w:tcPr>
                  <w:tcW w:w="626" w:type="pct"/>
                  <w:tcBorders>
                    <w:tl2br w:val="nil"/>
                    <w:tr2bl w:val="nil"/>
                  </w:tcBorders>
                  <w:shd w:val="clear" w:color="auto" w:fill="auto"/>
                  <w:noWrap w:val="0"/>
                  <w:vAlign w:val="center"/>
                </w:tcPr>
                <w:p w14:paraId="132C8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522333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51940A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709351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压缩空气</w:t>
                  </w:r>
                </w:p>
              </w:tc>
            </w:tr>
            <w:tr w14:paraId="24BF52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311" w:type="pct"/>
                  <w:tcBorders>
                    <w:tl2br w:val="nil"/>
                    <w:tr2bl w:val="nil"/>
                  </w:tcBorders>
                  <w:shd w:val="clear" w:color="auto" w:fill="auto"/>
                  <w:noWrap w:val="0"/>
                  <w:vAlign w:val="center"/>
                </w:tcPr>
                <w:p w14:paraId="48544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14</w:t>
                  </w:r>
                </w:p>
              </w:tc>
              <w:tc>
                <w:tcPr>
                  <w:tcW w:w="846" w:type="pct"/>
                  <w:vMerge w:val="continue"/>
                  <w:tcBorders>
                    <w:tl2br w:val="nil"/>
                    <w:tr2bl w:val="nil"/>
                  </w:tcBorders>
                  <w:shd w:val="clear" w:color="auto" w:fill="auto"/>
                  <w:noWrap w:val="0"/>
                  <w:vAlign w:val="center"/>
                </w:tcPr>
                <w:p w14:paraId="4CD4C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003" w:type="pct"/>
                  <w:tcBorders>
                    <w:tl2br w:val="nil"/>
                    <w:tr2bl w:val="nil"/>
                  </w:tcBorders>
                  <w:shd w:val="clear" w:color="auto" w:fill="auto"/>
                  <w:noWrap w:val="0"/>
                  <w:vAlign w:val="center"/>
                </w:tcPr>
                <w:p w14:paraId="4B4AB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升降机</w:t>
                  </w:r>
                </w:p>
              </w:tc>
              <w:tc>
                <w:tcPr>
                  <w:tcW w:w="546" w:type="pct"/>
                  <w:tcBorders>
                    <w:tl2br w:val="nil"/>
                    <w:tr2bl w:val="nil"/>
                  </w:tcBorders>
                  <w:shd w:val="clear" w:color="auto" w:fill="auto"/>
                  <w:noWrap w:val="0"/>
                  <w:vAlign w:val="center"/>
                </w:tcPr>
                <w:p w14:paraId="1549E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w:t>
                  </w:r>
                </w:p>
              </w:tc>
              <w:tc>
                <w:tcPr>
                  <w:tcW w:w="626" w:type="pct"/>
                  <w:tcBorders>
                    <w:tl2br w:val="nil"/>
                    <w:tr2bl w:val="nil"/>
                  </w:tcBorders>
                  <w:shd w:val="clear" w:color="auto" w:fill="auto"/>
                  <w:noWrap w:val="0"/>
                  <w:vAlign w:val="center"/>
                </w:tcPr>
                <w:p w14:paraId="68EDE3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470" w:type="pct"/>
                  <w:tcBorders>
                    <w:tl2br w:val="nil"/>
                    <w:tr2bl w:val="nil"/>
                  </w:tcBorders>
                  <w:shd w:val="clear" w:color="auto" w:fill="auto"/>
                  <w:noWrap w:val="0"/>
                  <w:vAlign w:val="center"/>
                </w:tcPr>
                <w:p w14:paraId="2A4F7D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32" w:type="pct"/>
                  <w:tcBorders>
                    <w:tl2br w:val="nil"/>
                    <w:tr2bl w:val="nil"/>
                  </w:tcBorders>
                  <w:shd w:val="clear" w:color="auto" w:fill="auto"/>
                  <w:noWrap w:val="0"/>
                  <w:vAlign w:val="center"/>
                </w:tcPr>
                <w:p w14:paraId="3F5A2A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663" w:type="pct"/>
                  <w:tcBorders>
                    <w:tl2br w:val="nil"/>
                    <w:tr2bl w:val="nil"/>
                  </w:tcBorders>
                  <w:shd w:val="clear" w:color="auto" w:fill="auto"/>
                  <w:noWrap w:val="0"/>
                  <w:vAlign w:val="center"/>
                </w:tcPr>
                <w:p w14:paraId="07DD2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转运</w:t>
                  </w:r>
                </w:p>
              </w:tc>
            </w:tr>
          </w:tbl>
          <w:p w14:paraId="276ADC4D">
            <w:pPr>
              <w:pStyle w:val="38"/>
              <w:ind w:firstLine="480"/>
              <w:rPr>
                <w:rFonts w:hint="eastAsia" w:ascii="Times New Roman" w:hAnsi="Times New Roman" w:eastAsia="宋体" w:cs="Times New Roman"/>
                <w:b/>
                <w:bCs/>
                <w:color w:val="auto"/>
                <w:kern w:val="24"/>
                <w:sz w:val="24"/>
                <w:lang w:val="en-US" w:eastAsia="zh-CN" w:bidi="ar-SA"/>
              </w:rPr>
            </w:pPr>
            <w:bookmarkStart w:id="19" w:name="_Toc178172268"/>
            <w:r>
              <w:rPr>
                <w:rFonts w:hint="eastAsia" w:ascii="Times New Roman" w:hAnsi="Times New Roman" w:eastAsia="宋体" w:cs="Times New Roman"/>
                <w:b/>
                <w:bCs/>
                <w:color w:val="auto"/>
                <w:kern w:val="24"/>
                <w:sz w:val="24"/>
                <w:lang w:val="en-US" w:eastAsia="zh-CN" w:bidi="ar-SA"/>
              </w:rPr>
              <w:t>8、水平衡</w:t>
            </w:r>
            <w:bookmarkEnd w:id="19"/>
          </w:p>
          <w:p w14:paraId="375F5FEB">
            <w:pPr>
              <w:bidi w:val="0"/>
              <w:rPr>
                <w:rFonts w:hint="eastAsia"/>
                <w:lang w:val="en-US" w:eastAsia="zh-CN"/>
              </w:rPr>
            </w:pPr>
            <w:r>
              <w:rPr>
                <w:rFonts w:hint="eastAsia"/>
                <w:lang w:val="en-US" w:eastAsia="zh-CN"/>
              </w:rPr>
              <w:t>技改后，全厂营运期不涉及新增劳动定员，也不涉及新增生产用水设备，因此，技改前后本项目全厂水平衡不变。本项目生活用水取自自来水。本次根据《四川省用水定额》（2021年），项目用水情况见下表2-8。</w:t>
            </w:r>
          </w:p>
          <w:p w14:paraId="0982E4AE">
            <w:pPr>
              <w:pStyle w:val="7"/>
              <w:bidi w:val="0"/>
              <w:rPr>
                <w:lang w:val="en-US" w:eastAsia="zh-CN"/>
              </w:rPr>
            </w:pPr>
            <w:r>
              <w:rPr>
                <w:rFonts w:hint="eastAsia"/>
                <w:lang w:val="en-US" w:eastAsia="zh-CN"/>
              </w:rPr>
              <w:t>表2-8  建设单位全厂用水情况一览表    单位：m</w:t>
            </w:r>
            <w:r>
              <w:rPr>
                <w:rFonts w:hint="eastAsia"/>
                <w:vertAlign w:val="superscript"/>
                <w:lang w:val="en-US" w:eastAsia="zh-CN"/>
              </w:rPr>
              <w:t>3</w:t>
            </w:r>
            <w:r>
              <w:rPr>
                <w:rFonts w:hint="eastAsia"/>
                <w:lang w:val="en-US" w:eastAsia="zh-CN"/>
              </w:rPr>
              <w:t>/d</w:t>
            </w:r>
          </w:p>
          <w:tbl>
            <w:tblPr>
              <w:tblStyle w:val="31"/>
              <w:tblW w:w="8558"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843"/>
              <w:gridCol w:w="1223"/>
              <w:gridCol w:w="1696"/>
              <w:gridCol w:w="1269"/>
              <w:gridCol w:w="1950"/>
            </w:tblGrid>
            <w:tr w14:paraId="2141F7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77" w:type="dxa"/>
                  <w:tcBorders>
                    <w:tl2br w:val="nil"/>
                    <w:tr2bl w:val="nil"/>
                  </w:tcBorders>
                  <w:shd w:val="clear" w:color="auto" w:fill="auto"/>
                  <w:tcMar>
                    <w:top w:w="0" w:type="dxa"/>
                    <w:left w:w="23" w:type="dxa"/>
                    <w:bottom w:w="0" w:type="dxa"/>
                    <w:right w:w="23" w:type="dxa"/>
                  </w:tcMar>
                  <w:vAlign w:val="center"/>
                </w:tcPr>
                <w:p w14:paraId="70832ACF">
                  <w:pPr>
                    <w:pStyle w:val="5"/>
                    <w:bidi w:val="0"/>
                    <w:rPr>
                      <w:b/>
                      <w:bCs/>
                      <w:lang w:val="en-US" w:eastAsia="zh-CN"/>
                    </w:rPr>
                  </w:pPr>
                  <w:r>
                    <w:rPr>
                      <w:b/>
                      <w:bCs/>
                      <w:lang w:val="en-US" w:eastAsia="zh-CN"/>
                    </w:rPr>
                    <w:t>用水性质</w:t>
                  </w:r>
                </w:p>
              </w:tc>
              <w:tc>
                <w:tcPr>
                  <w:tcW w:w="843" w:type="dxa"/>
                  <w:tcBorders>
                    <w:tl2br w:val="nil"/>
                    <w:tr2bl w:val="nil"/>
                  </w:tcBorders>
                  <w:shd w:val="clear" w:color="auto" w:fill="auto"/>
                  <w:tcMar>
                    <w:top w:w="0" w:type="dxa"/>
                    <w:left w:w="23" w:type="dxa"/>
                    <w:bottom w:w="0" w:type="dxa"/>
                    <w:right w:w="23" w:type="dxa"/>
                  </w:tcMar>
                  <w:vAlign w:val="center"/>
                </w:tcPr>
                <w:p w14:paraId="702E1014">
                  <w:pPr>
                    <w:pStyle w:val="5"/>
                    <w:bidi w:val="0"/>
                    <w:rPr>
                      <w:b/>
                      <w:bCs/>
                      <w:lang w:val="en-US" w:eastAsia="zh-CN"/>
                    </w:rPr>
                  </w:pPr>
                  <w:r>
                    <w:rPr>
                      <w:b/>
                      <w:bCs/>
                      <w:lang w:val="en-US" w:eastAsia="zh-CN"/>
                    </w:rPr>
                    <w:t>数量</w:t>
                  </w:r>
                </w:p>
              </w:tc>
              <w:tc>
                <w:tcPr>
                  <w:tcW w:w="1223" w:type="dxa"/>
                  <w:tcBorders>
                    <w:tl2br w:val="nil"/>
                    <w:tr2bl w:val="nil"/>
                  </w:tcBorders>
                  <w:shd w:val="clear" w:color="auto" w:fill="auto"/>
                  <w:tcMar>
                    <w:top w:w="0" w:type="dxa"/>
                    <w:left w:w="23" w:type="dxa"/>
                    <w:bottom w:w="0" w:type="dxa"/>
                    <w:right w:w="23" w:type="dxa"/>
                  </w:tcMar>
                  <w:vAlign w:val="center"/>
                </w:tcPr>
                <w:p w14:paraId="2DE1C952">
                  <w:pPr>
                    <w:pStyle w:val="5"/>
                    <w:bidi w:val="0"/>
                    <w:rPr>
                      <w:b/>
                      <w:bCs/>
                      <w:lang w:val="en-US" w:eastAsia="zh-CN"/>
                    </w:rPr>
                  </w:pPr>
                  <w:r>
                    <w:rPr>
                      <w:b/>
                      <w:bCs/>
                      <w:lang w:val="en-US" w:eastAsia="zh-CN"/>
                    </w:rPr>
                    <w:t>用水定额</w:t>
                  </w:r>
                  <w:r>
                    <w:rPr>
                      <w:rFonts w:hint="eastAsia"/>
                      <w:b/>
                      <w:bCs/>
                      <w:lang w:val="en-US" w:eastAsia="zh-CN"/>
                    </w:rPr>
                    <w:t>*</w:t>
                  </w:r>
                </w:p>
              </w:tc>
              <w:tc>
                <w:tcPr>
                  <w:tcW w:w="1696" w:type="dxa"/>
                  <w:tcBorders>
                    <w:tl2br w:val="nil"/>
                    <w:tr2bl w:val="nil"/>
                  </w:tcBorders>
                  <w:shd w:val="clear" w:color="auto" w:fill="auto"/>
                  <w:tcMar>
                    <w:top w:w="0" w:type="dxa"/>
                    <w:left w:w="23" w:type="dxa"/>
                    <w:bottom w:w="0" w:type="dxa"/>
                    <w:right w:w="23" w:type="dxa"/>
                  </w:tcMar>
                  <w:vAlign w:val="center"/>
                </w:tcPr>
                <w:p w14:paraId="521E3C55">
                  <w:pPr>
                    <w:pStyle w:val="5"/>
                    <w:bidi w:val="0"/>
                    <w:rPr>
                      <w:b/>
                      <w:bCs/>
                      <w:lang w:val="en-US" w:eastAsia="zh-CN"/>
                    </w:rPr>
                  </w:pPr>
                  <w:r>
                    <w:rPr>
                      <w:b/>
                      <w:bCs/>
                      <w:lang w:val="en-US" w:eastAsia="zh-CN"/>
                    </w:rPr>
                    <w:t>最大日用水量</w:t>
                  </w:r>
                </w:p>
                <w:p w14:paraId="67775664">
                  <w:pPr>
                    <w:pStyle w:val="5"/>
                    <w:bidi w:val="0"/>
                    <w:rPr>
                      <w:b/>
                      <w:bCs/>
                      <w:lang w:val="en-US" w:eastAsia="zh-CN"/>
                    </w:rPr>
                  </w:pPr>
                  <w:r>
                    <w:rPr>
                      <w:b/>
                      <w:bCs/>
                      <w:lang w:val="en-US" w:eastAsia="zh-CN"/>
                    </w:rPr>
                    <w:t>（m</w:t>
                  </w:r>
                  <w:r>
                    <w:rPr>
                      <w:b/>
                      <w:bCs/>
                      <w:vertAlign w:val="superscript"/>
                      <w:lang w:val="en-US" w:eastAsia="zh-CN"/>
                    </w:rPr>
                    <w:t>3</w:t>
                  </w:r>
                  <w:r>
                    <w:rPr>
                      <w:b/>
                      <w:bCs/>
                      <w:lang w:val="en-US" w:eastAsia="zh-CN"/>
                    </w:rPr>
                    <w:t>/d）</w:t>
                  </w:r>
                </w:p>
              </w:tc>
              <w:tc>
                <w:tcPr>
                  <w:tcW w:w="1269" w:type="dxa"/>
                  <w:tcBorders>
                    <w:tl2br w:val="nil"/>
                    <w:tr2bl w:val="nil"/>
                  </w:tcBorders>
                  <w:shd w:val="clear" w:color="auto" w:fill="auto"/>
                  <w:tcMar>
                    <w:top w:w="0" w:type="dxa"/>
                    <w:left w:w="23" w:type="dxa"/>
                    <w:bottom w:w="0" w:type="dxa"/>
                    <w:right w:w="23" w:type="dxa"/>
                  </w:tcMar>
                  <w:vAlign w:val="center"/>
                </w:tcPr>
                <w:p w14:paraId="15595CD6">
                  <w:pPr>
                    <w:pStyle w:val="5"/>
                    <w:bidi w:val="0"/>
                    <w:rPr>
                      <w:b/>
                      <w:bCs/>
                      <w:lang w:val="en-US" w:eastAsia="zh-CN"/>
                    </w:rPr>
                  </w:pPr>
                  <w:r>
                    <w:rPr>
                      <w:b/>
                      <w:bCs/>
                      <w:lang w:val="en-US" w:eastAsia="zh-CN"/>
                    </w:rPr>
                    <w:t>排水系数</w:t>
                  </w:r>
                </w:p>
              </w:tc>
              <w:tc>
                <w:tcPr>
                  <w:tcW w:w="1950" w:type="dxa"/>
                  <w:tcBorders>
                    <w:tl2br w:val="nil"/>
                    <w:tr2bl w:val="nil"/>
                  </w:tcBorders>
                  <w:shd w:val="clear" w:color="auto" w:fill="auto"/>
                  <w:tcMar>
                    <w:top w:w="0" w:type="dxa"/>
                    <w:left w:w="23" w:type="dxa"/>
                    <w:bottom w:w="0" w:type="dxa"/>
                    <w:right w:w="23" w:type="dxa"/>
                  </w:tcMar>
                  <w:vAlign w:val="center"/>
                </w:tcPr>
                <w:p w14:paraId="3B50034A">
                  <w:pPr>
                    <w:pStyle w:val="5"/>
                    <w:bidi w:val="0"/>
                    <w:rPr>
                      <w:b/>
                      <w:bCs/>
                      <w:lang w:val="en-US" w:eastAsia="zh-CN"/>
                    </w:rPr>
                  </w:pPr>
                  <w:r>
                    <w:rPr>
                      <w:b/>
                      <w:bCs/>
                      <w:lang w:val="en-US" w:eastAsia="zh-CN"/>
                    </w:rPr>
                    <w:t>最大日排水量</w:t>
                  </w:r>
                </w:p>
                <w:p w14:paraId="7CB0C96A">
                  <w:pPr>
                    <w:pStyle w:val="5"/>
                    <w:bidi w:val="0"/>
                    <w:rPr>
                      <w:b/>
                      <w:bCs/>
                      <w:lang w:val="en-US" w:eastAsia="zh-CN"/>
                    </w:rPr>
                  </w:pPr>
                  <w:r>
                    <w:rPr>
                      <w:b/>
                      <w:bCs/>
                      <w:lang w:val="en-US" w:eastAsia="zh-CN"/>
                    </w:rPr>
                    <w:t>（m</w:t>
                  </w:r>
                  <w:r>
                    <w:rPr>
                      <w:b/>
                      <w:bCs/>
                      <w:vertAlign w:val="superscript"/>
                      <w:lang w:val="en-US" w:eastAsia="zh-CN"/>
                    </w:rPr>
                    <w:t>3</w:t>
                  </w:r>
                  <w:r>
                    <w:rPr>
                      <w:b/>
                      <w:bCs/>
                      <w:lang w:val="en-US" w:eastAsia="zh-CN"/>
                    </w:rPr>
                    <w:t>/d）</w:t>
                  </w:r>
                </w:p>
              </w:tc>
            </w:tr>
            <w:tr w14:paraId="367D99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77" w:type="dxa"/>
                  <w:tcBorders>
                    <w:tl2br w:val="nil"/>
                    <w:tr2bl w:val="nil"/>
                  </w:tcBorders>
                  <w:shd w:val="clear" w:color="auto" w:fill="auto"/>
                  <w:tcMar>
                    <w:top w:w="0" w:type="dxa"/>
                    <w:left w:w="23" w:type="dxa"/>
                    <w:bottom w:w="0" w:type="dxa"/>
                    <w:right w:w="23" w:type="dxa"/>
                  </w:tcMar>
                  <w:vAlign w:val="center"/>
                </w:tcPr>
                <w:p w14:paraId="2969A8FB">
                  <w:pPr>
                    <w:pStyle w:val="5"/>
                    <w:bidi w:val="0"/>
                    <w:rPr>
                      <w:lang w:val="en-US" w:eastAsia="zh-CN"/>
                    </w:rPr>
                  </w:pPr>
                  <w:r>
                    <w:rPr>
                      <w:rFonts w:hint="eastAsia"/>
                      <w:lang w:val="en-US" w:eastAsia="zh-CN"/>
                    </w:rPr>
                    <w:t>办公</w:t>
                  </w:r>
                  <w:r>
                    <w:rPr>
                      <w:lang w:val="en-US" w:eastAsia="zh-CN"/>
                    </w:rPr>
                    <w:t>生活用水</w:t>
                  </w:r>
                </w:p>
              </w:tc>
              <w:tc>
                <w:tcPr>
                  <w:tcW w:w="843" w:type="dxa"/>
                  <w:tcBorders>
                    <w:tl2br w:val="nil"/>
                    <w:tr2bl w:val="nil"/>
                  </w:tcBorders>
                  <w:shd w:val="clear" w:color="auto" w:fill="auto"/>
                  <w:tcMar>
                    <w:top w:w="0" w:type="dxa"/>
                    <w:left w:w="23" w:type="dxa"/>
                    <w:bottom w:w="0" w:type="dxa"/>
                    <w:right w:w="23" w:type="dxa"/>
                  </w:tcMar>
                  <w:vAlign w:val="center"/>
                </w:tcPr>
                <w:p w14:paraId="3F3B2B59">
                  <w:pPr>
                    <w:pStyle w:val="5"/>
                    <w:bidi w:val="0"/>
                    <w:rPr>
                      <w:lang w:val="en-US" w:eastAsia="zh-CN"/>
                    </w:rPr>
                  </w:pPr>
                  <w:r>
                    <w:rPr>
                      <w:rFonts w:hint="eastAsia"/>
                      <w:lang w:val="en-US" w:eastAsia="zh-CN"/>
                    </w:rPr>
                    <w:t>120人</w:t>
                  </w:r>
                </w:p>
              </w:tc>
              <w:tc>
                <w:tcPr>
                  <w:tcW w:w="1223" w:type="dxa"/>
                  <w:tcBorders>
                    <w:tl2br w:val="nil"/>
                    <w:tr2bl w:val="nil"/>
                  </w:tcBorders>
                  <w:shd w:val="clear" w:color="auto" w:fill="auto"/>
                  <w:tcMar>
                    <w:top w:w="0" w:type="dxa"/>
                    <w:left w:w="23" w:type="dxa"/>
                    <w:bottom w:w="0" w:type="dxa"/>
                    <w:right w:w="23" w:type="dxa"/>
                  </w:tcMar>
                  <w:vAlign w:val="center"/>
                </w:tcPr>
                <w:p w14:paraId="239D8454">
                  <w:pPr>
                    <w:pStyle w:val="5"/>
                    <w:bidi w:val="0"/>
                    <w:rPr>
                      <w:lang w:val="en-US" w:eastAsia="zh-CN"/>
                    </w:rPr>
                  </w:pPr>
                  <w:r>
                    <w:rPr>
                      <w:rFonts w:hint="eastAsia"/>
                      <w:lang w:val="en-US" w:eastAsia="zh-CN"/>
                    </w:rPr>
                    <w:t>40</w:t>
                  </w:r>
                  <w:r>
                    <w:rPr>
                      <w:lang w:val="en-US" w:eastAsia="zh-CN"/>
                    </w:rPr>
                    <w:t>L/人·d</w:t>
                  </w:r>
                </w:p>
              </w:tc>
              <w:tc>
                <w:tcPr>
                  <w:tcW w:w="1696" w:type="dxa"/>
                  <w:tcBorders>
                    <w:tl2br w:val="nil"/>
                    <w:tr2bl w:val="nil"/>
                  </w:tcBorders>
                  <w:shd w:val="clear" w:color="auto" w:fill="auto"/>
                  <w:tcMar>
                    <w:top w:w="0" w:type="dxa"/>
                    <w:left w:w="23" w:type="dxa"/>
                    <w:bottom w:w="0" w:type="dxa"/>
                    <w:right w:w="23" w:type="dxa"/>
                  </w:tcMar>
                  <w:vAlign w:val="center"/>
                </w:tcPr>
                <w:p w14:paraId="1636A711">
                  <w:pPr>
                    <w:pStyle w:val="5"/>
                    <w:bidi w:val="0"/>
                    <w:rPr>
                      <w:rFonts w:hint="default"/>
                      <w:lang w:val="en-US" w:eastAsia="zh-CN"/>
                    </w:rPr>
                  </w:pPr>
                  <w:r>
                    <w:rPr>
                      <w:rFonts w:hint="eastAsia"/>
                      <w:lang w:val="en-US" w:eastAsia="zh-CN"/>
                    </w:rPr>
                    <w:t>4.8</w:t>
                  </w:r>
                </w:p>
              </w:tc>
              <w:tc>
                <w:tcPr>
                  <w:tcW w:w="1269" w:type="dxa"/>
                  <w:tcBorders>
                    <w:tl2br w:val="nil"/>
                    <w:tr2bl w:val="nil"/>
                  </w:tcBorders>
                  <w:shd w:val="clear" w:color="auto" w:fill="auto"/>
                  <w:tcMar>
                    <w:top w:w="0" w:type="dxa"/>
                    <w:left w:w="23" w:type="dxa"/>
                    <w:bottom w:w="0" w:type="dxa"/>
                    <w:right w:w="23" w:type="dxa"/>
                  </w:tcMar>
                  <w:vAlign w:val="center"/>
                </w:tcPr>
                <w:p w14:paraId="3959EB68">
                  <w:pPr>
                    <w:pStyle w:val="5"/>
                    <w:bidi w:val="0"/>
                    <w:rPr>
                      <w:lang w:val="en-US" w:eastAsia="zh-CN"/>
                    </w:rPr>
                  </w:pPr>
                  <w:r>
                    <w:rPr>
                      <w:rFonts w:hint="eastAsia"/>
                      <w:lang w:val="en-US" w:eastAsia="zh-CN"/>
                    </w:rPr>
                    <w:t>0.80</w:t>
                  </w:r>
                </w:p>
              </w:tc>
              <w:tc>
                <w:tcPr>
                  <w:tcW w:w="1950" w:type="dxa"/>
                  <w:tcBorders>
                    <w:tl2br w:val="nil"/>
                    <w:tr2bl w:val="nil"/>
                  </w:tcBorders>
                  <w:shd w:val="clear" w:color="auto" w:fill="auto"/>
                  <w:tcMar>
                    <w:top w:w="0" w:type="dxa"/>
                    <w:left w:w="23" w:type="dxa"/>
                    <w:bottom w:w="0" w:type="dxa"/>
                    <w:right w:w="23" w:type="dxa"/>
                  </w:tcMar>
                  <w:vAlign w:val="center"/>
                </w:tcPr>
                <w:p w14:paraId="57129A59">
                  <w:pPr>
                    <w:pStyle w:val="5"/>
                    <w:bidi w:val="0"/>
                    <w:rPr>
                      <w:rFonts w:hint="default"/>
                      <w:lang w:val="en-US" w:eastAsia="zh-CN"/>
                    </w:rPr>
                  </w:pPr>
                  <w:r>
                    <w:rPr>
                      <w:rFonts w:hint="eastAsia"/>
                      <w:lang w:val="en-US" w:eastAsia="zh-CN"/>
                    </w:rPr>
                    <w:t>3.84</w:t>
                  </w:r>
                </w:p>
              </w:tc>
            </w:tr>
            <w:tr w14:paraId="21958E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558" w:type="dxa"/>
                  <w:gridSpan w:val="6"/>
                  <w:tcBorders>
                    <w:tl2br w:val="nil"/>
                    <w:tr2bl w:val="nil"/>
                  </w:tcBorders>
                  <w:shd w:val="clear" w:color="auto" w:fill="auto"/>
                  <w:tcMar>
                    <w:top w:w="0" w:type="dxa"/>
                    <w:left w:w="23" w:type="dxa"/>
                    <w:bottom w:w="0" w:type="dxa"/>
                    <w:right w:w="23" w:type="dxa"/>
                  </w:tcMar>
                  <w:vAlign w:val="center"/>
                </w:tcPr>
                <w:p w14:paraId="6E987E5A">
                  <w:pPr>
                    <w:pStyle w:val="5"/>
                    <w:bidi w:val="0"/>
                    <w:jc w:val="left"/>
                    <w:rPr>
                      <w:rFonts w:hint="eastAsia"/>
                      <w:lang w:val="en-US" w:eastAsia="zh-CN"/>
                    </w:rPr>
                  </w:pPr>
                  <w:r>
                    <w:rPr>
                      <w:rFonts w:hint="eastAsia"/>
                    </w:rPr>
                    <w:t>注：办公生活用水、食堂用水取自《四川省用水定额》（DB51/T 2138-2022）。</w:t>
                  </w:r>
                </w:p>
              </w:tc>
            </w:tr>
          </w:tbl>
          <w:p w14:paraId="5617A4AC">
            <w:pPr>
              <w:wordWrap/>
              <w:ind w:firstLine="0" w:firstLineChars="0"/>
              <w:jc w:val="center"/>
              <w:rPr>
                <w:rFonts w:hint="eastAsia" w:ascii="Times New Roman" w:hAnsi="Times New Roman" w:eastAsiaTheme="minorEastAsia" w:cstheme="minorBidi"/>
                <w:szCs w:val="24"/>
              </w:rPr>
            </w:pPr>
            <w:r>
              <w:rPr>
                <w:rFonts w:ascii="Times New Roman" w:hAnsi="Times New Roman" w:eastAsiaTheme="minorEastAsia" w:cstheme="minorBidi"/>
                <w:szCs w:val="24"/>
              </w:rPr>
              <w:object>
                <v:shape id="_x0000_i1025" o:spt="75" type="#_x0000_t75" style="height:59.75pt;width:419.6pt;" o:ole="t" filled="f" o:preferrelative="t" stroked="f" coordsize="21600,21600">
                  <v:path/>
                  <v:fill on="f" focussize="0,0"/>
                  <v:stroke on="f"/>
                  <v:imagedata r:id="rId23" o:title=""/>
                  <o:lock v:ext="edit" aspectratio="f"/>
                  <w10:wrap type="none"/>
                  <w10:anchorlock/>
                </v:shape>
                <o:OLEObject Type="Embed" ProgID="Visio.Drawing.15" ShapeID="_x0000_i1025" DrawAspect="Content" ObjectID="_1468075725" r:id="rId22">
                  <o:LockedField>false</o:LockedField>
                </o:OLEObject>
              </w:object>
            </w:r>
          </w:p>
          <w:p w14:paraId="3F21167B">
            <w:pPr>
              <w:pStyle w:val="7"/>
              <w:bidi w:val="0"/>
              <w:rPr>
                <w:lang w:val="en-US" w:eastAsia="zh-CN"/>
              </w:rPr>
            </w:pPr>
            <w:r>
              <w:rPr>
                <w:rFonts w:hint="eastAsia"/>
                <w:lang w:val="en-US" w:eastAsia="zh-CN"/>
              </w:rPr>
              <w:t>图2-1  全厂水平衡图（单位：m</w:t>
            </w:r>
            <w:r>
              <w:rPr>
                <w:rFonts w:hint="eastAsia"/>
                <w:vertAlign w:val="superscript"/>
                <w:lang w:val="en-US" w:eastAsia="zh-CN"/>
              </w:rPr>
              <w:t>3</w:t>
            </w:r>
            <w:r>
              <w:rPr>
                <w:rFonts w:hint="eastAsia"/>
                <w:lang w:val="en-US" w:eastAsia="zh-CN"/>
              </w:rPr>
              <w:t>/d）</w:t>
            </w:r>
          </w:p>
          <w:p w14:paraId="35F2E1F7">
            <w:pPr>
              <w:pStyle w:val="38"/>
              <w:ind w:firstLine="480"/>
              <w:rPr>
                <w:rFonts w:hint="eastAsia"/>
                <w:color w:val="auto"/>
                <w:highlight w:val="none"/>
                <w:lang w:val="en-US" w:eastAsia="zh-CN"/>
              </w:rPr>
            </w:pPr>
            <w:r>
              <w:rPr>
                <w:rFonts w:hint="eastAsia"/>
                <w:color w:val="auto"/>
                <w:highlight w:val="none"/>
                <w:lang w:val="en-US" w:eastAsia="zh-CN"/>
              </w:rPr>
              <w:t>9、VOCs平衡</w:t>
            </w:r>
          </w:p>
          <w:p w14:paraId="5BD35B2D">
            <w:pPr>
              <w:pStyle w:val="38"/>
              <w:ind w:firstLine="480"/>
              <w:rPr>
                <w:rFonts w:hint="eastAsia"/>
                <w:color w:val="auto"/>
                <w:highlight w:val="none"/>
                <w:lang w:val="en-US" w:eastAsia="zh-CN"/>
              </w:rPr>
            </w:pPr>
            <w:r>
              <w:rPr>
                <w:rFonts w:hint="eastAsia"/>
                <w:color w:val="auto"/>
                <w:highlight w:val="none"/>
                <w:lang w:val="en-US" w:eastAsia="zh-CN"/>
              </w:rPr>
              <w:t>本项目实施涉及的VOCs平衡见图2-2。</w:t>
            </w:r>
          </w:p>
          <w:p w14:paraId="722C8216">
            <w:pPr>
              <w:pStyle w:val="38"/>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b/>
                <w:bCs/>
                <w:color w:val="auto"/>
                <w:lang w:val="en-US" w:eastAsia="zh-CN"/>
              </w:rPr>
            </w:pPr>
            <w:r>
              <w:object>
                <v:shape id="_x0000_i1026" o:spt="75" type="#_x0000_t75" style="height:80.2pt;width:393.8pt;" o:ole="t" filled="f" o:preferrelative="t" stroked="f" coordsize="21600,21600">
                  <v:path/>
                  <v:fill on="f" focussize="0,0"/>
                  <v:stroke on="f"/>
                  <v:imagedata r:id="rId25" o:title=""/>
                  <o:lock v:ext="edit" aspectratio="f"/>
                  <w10:wrap type="none"/>
                  <w10:anchorlock/>
                </v:shape>
                <o:OLEObject Type="Embed" ProgID="Visio.Drawing.15" ShapeID="_x0000_i1026" DrawAspect="Content" ObjectID="_1468075726" r:id="rId24">
                  <o:LockedField>false</o:LockedField>
                </o:OLEObject>
              </w:object>
            </w:r>
          </w:p>
          <w:p w14:paraId="2330849F">
            <w:pPr>
              <w:pStyle w:val="7"/>
              <w:bidi w:val="0"/>
              <w:rPr>
                <w:rFonts w:hint="eastAsia"/>
                <w:lang w:val="en-US" w:eastAsia="zh-CN"/>
              </w:rPr>
            </w:pPr>
            <w:r>
              <w:rPr>
                <w:rFonts w:hint="eastAsia"/>
                <w:lang w:val="en-US" w:eastAsia="zh-CN"/>
              </w:rPr>
              <w:t>图2-2  本项目VOCs平衡图（单位：kg/a）</w:t>
            </w:r>
          </w:p>
          <w:p w14:paraId="0E81CCFF">
            <w:pPr>
              <w:pStyle w:val="38"/>
              <w:ind w:firstLine="482"/>
              <w:rPr>
                <w:b/>
                <w:bCs/>
                <w:color w:val="auto"/>
              </w:rPr>
            </w:pPr>
            <w:r>
              <w:rPr>
                <w:rFonts w:hint="eastAsia"/>
                <w:b/>
                <w:bCs/>
                <w:color w:val="auto"/>
                <w:lang w:val="en-US" w:eastAsia="zh-CN"/>
              </w:rPr>
              <w:t>10、</w:t>
            </w:r>
            <w:r>
              <w:rPr>
                <w:rFonts w:hint="eastAsia"/>
                <w:b/>
                <w:bCs/>
                <w:color w:val="auto"/>
              </w:rPr>
              <w:t>平面布置合理性分析</w:t>
            </w:r>
          </w:p>
          <w:p w14:paraId="4BE48A54">
            <w:pPr>
              <w:pStyle w:val="38"/>
              <w:ind w:firstLine="480"/>
              <w:rPr>
                <w:color w:val="auto"/>
                <w:szCs w:val="21"/>
              </w:rPr>
            </w:pPr>
            <w:r>
              <w:rPr>
                <w:rFonts w:hint="eastAsia"/>
                <w:color w:val="auto"/>
              </w:rPr>
              <w:t>本项目根</w:t>
            </w:r>
            <w:r>
              <w:rPr>
                <w:rFonts w:hint="eastAsia"/>
                <w:color w:val="auto"/>
                <w:highlight w:val="none"/>
              </w:rPr>
              <w:t>据《工业企业总平面设计规范》（GB50187-2012）的</w:t>
            </w:r>
            <w:r>
              <w:rPr>
                <w:rFonts w:hint="eastAsia"/>
                <w:color w:val="auto"/>
              </w:rPr>
              <w:t>相关规定，按照“合理分区、物流便捷、突出环保、和谐统一”的原则，结合场地的用地条件及生产工艺，综合考虑了生产、环保、绿化、劳动卫生要求，对</w:t>
            </w:r>
            <w:r>
              <w:rPr>
                <w:rFonts w:hint="eastAsia"/>
                <w:color w:val="auto"/>
                <w:lang w:val="en-US" w:eastAsia="zh-CN"/>
              </w:rPr>
              <w:t>厂房</w:t>
            </w:r>
            <w:r>
              <w:rPr>
                <w:rFonts w:hint="eastAsia"/>
                <w:color w:val="auto"/>
              </w:rPr>
              <w:t>进行了统筹安排</w:t>
            </w:r>
            <w:r>
              <w:rPr>
                <w:rFonts w:hint="eastAsia"/>
                <w:color w:val="auto"/>
                <w:szCs w:val="21"/>
              </w:rPr>
              <w:t>。</w:t>
            </w:r>
          </w:p>
          <w:p w14:paraId="146302E7">
            <w:pPr>
              <w:pStyle w:val="38"/>
              <w:ind w:firstLine="480"/>
              <w:rPr>
                <w:color w:val="auto"/>
              </w:rPr>
            </w:pPr>
            <w:r>
              <w:rPr>
                <w:rFonts w:hint="eastAsia"/>
                <w:color w:val="auto"/>
              </w:rPr>
              <w:t>本项目技改实施主要</w:t>
            </w:r>
            <w:r>
              <w:rPr>
                <w:rFonts w:hint="eastAsia"/>
                <w:color w:val="auto"/>
                <w:lang w:val="en-US" w:eastAsia="zh-CN"/>
              </w:rPr>
              <w:t>利用预留区域</w:t>
            </w:r>
            <w:r>
              <w:rPr>
                <w:rFonts w:hint="eastAsia"/>
                <w:color w:val="auto"/>
              </w:rPr>
              <w:t>，安装新增设备，其他依托设备保持位置不变。项目内生产线布置紧凑，有利于生产组织。总体看，项目内生产车间布设便于生产的开展，各区交通运输组织合理，符</w:t>
            </w:r>
            <w:r>
              <w:rPr>
                <w:rFonts w:hint="eastAsia"/>
                <w:color w:val="auto"/>
                <w:highlight w:val="none"/>
              </w:rPr>
              <w:t>合《工业企业总平面设计</w:t>
            </w:r>
            <w:r>
              <w:rPr>
                <w:rFonts w:hint="eastAsia"/>
                <w:color w:val="auto"/>
                <w:highlight w:val="none"/>
                <w:lang w:val="en-US" w:eastAsia="zh-CN"/>
              </w:rPr>
              <w:t>规范</w:t>
            </w:r>
            <w:r>
              <w:rPr>
                <w:rFonts w:hint="eastAsia"/>
                <w:color w:val="auto"/>
                <w:highlight w:val="none"/>
              </w:rPr>
              <w:t>》（GB50187-2012）</w:t>
            </w:r>
            <w:r>
              <w:rPr>
                <w:rFonts w:hint="eastAsia"/>
                <w:color w:val="auto"/>
              </w:rPr>
              <w:t>中的要求。</w:t>
            </w:r>
          </w:p>
          <w:p w14:paraId="5CBCFF00">
            <w:pPr>
              <w:pStyle w:val="38"/>
              <w:ind w:firstLine="480"/>
              <w:rPr>
                <w:color w:val="auto"/>
              </w:rPr>
            </w:pPr>
            <w:r>
              <w:rPr>
                <w:rFonts w:hint="eastAsia"/>
                <w:color w:val="auto"/>
              </w:rPr>
              <w:t>因此，本项目的总平面布置合理。</w:t>
            </w:r>
          </w:p>
        </w:tc>
      </w:tr>
      <w:tr w14:paraId="66FC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1" w:hRule="atLeast"/>
          <w:jc w:val="center"/>
        </w:trPr>
        <w:tc>
          <w:tcPr>
            <w:tcW w:w="223" w:type="pct"/>
            <w:vAlign w:val="center"/>
          </w:tcPr>
          <w:p w14:paraId="01522D0E">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eastAsia="宋体"/>
                <w:color w:val="auto"/>
                <w:lang w:val="en-US" w:eastAsia="zh-CN"/>
              </w:rPr>
            </w:pPr>
            <w:r>
              <w:rPr>
                <w:rFonts w:hint="eastAsia"/>
                <w:color w:val="auto"/>
                <w:lang w:val="en-US" w:eastAsia="zh-CN"/>
              </w:rPr>
              <w:t>工艺流程和产排污环节</w:t>
            </w:r>
          </w:p>
        </w:tc>
        <w:tc>
          <w:tcPr>
            <w:tcW w:w="4775" w:type="pct"/>
            <w:vAlign w:val="top"/>
          </w:tcPr>
          <w:p w14:paraId="49E371D2">
            <w:pPr>
              <w:pStyle w:val="38"/>
              <w:ind w:firstLine="482"/>
              <w:jc w:val="both"/>
              <w:rPr>
                <w:color w:val="auto"/>
              </w:rPr>
            </w:pPr>
            <w:r>
              <w:rPr>
                <w:rFonts w:hint="eastAsia"/>
                <w:b/>
                <w:bCs/>
                <w:color w:val="auto"/>
              </w:rPr>
              <w:t>1、施工期工艺流程及产污分析</w:t>
            </w:r>
          </w:p>
          <w:p w14:paraId="4A568559">
            <w:pPr>
              <w:bidi w:val="0"/>
              <w:rPr>
                <w:rFonts w:hint="eastAsia"/>
                <w:lang w:val="en-US" w:eastAsia="zh-CN"/>
              </w:rPr>
            </w:pPr>
            <w:r>
              <w:rPr>
                <w:rFonts w:hint="eastAsia"/>
                <w:lang w:val="en-US" w:eastAsia="zh-CN"/>
              </w:rPr>
              <w:t>本项目技改主要涉及新增设备的安装和调试，不涉及土建施工。施工阶段产生的污染物主要包括</w:t>
            </w:r>
            <w:r>
              <w:rPr>
                <w:rFonts w:hint="eastAsia"/>
                <w:highlight w:val="none"/>
                <w:lang w:val="en-US" w:eastAsia="zh-CN"/>
              </w:rPr>
              <w:t>施工扬尘、</w:t>
            </w:r>
            <w:r>
              <w:rPr>
                <w:rFonts w:hint="eastAsia"/>
                <w:lang w:val="en-US" w:eastAsia="zh-CN"/>
              </w:rPr>
              <w:t>施工噪声、</w:t>
            </w:r>
            <w:r>
              <w:rPr>
                <w:rFonts w:hint="eastAsia"/>
                <w:highlight w:val="none"/>
                <w:lang w:val="en-US" w:eastAsia="zh-CN"/>
              </w:rPr>
              <w:t>废</w:t>
            </w:r>
            <w:r>
              <w:rPr>
                <w:rFonts w:hint="eastAsia"/>
                <w:lang w:val="en-US" w:eastAsia="zh-CN"/>
              </w:rPr>
              <w:t>包装材料、施工人员生活污水和生活垃圾。工艺流程及产污位置见下图。</w:t>
            </w:r>
          </w:p>
          <w:p w14:paraId="5A871B6B">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3283585" cy="1125855"/>
                  <wp:effectExtent l="0" t="0" r="12065" b="1714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3283585" cy="1125855"/>
                          </a:xfrm>
                          <a:prstGeom prst="rect">
                            <a:avLst/>
                          </a:prstGeom>
                          <a:noFill/>
                          <a:ln>
                            <a:noFill/>
                          </a:ln>
                        </pic:spPr>
                      </pic:pic>
                    </a:graphicData>
                  </a:graphic>
                </wp:inline>
              </w:drawing>
            </w:r>
          </w:p>
          <w:p w14:paraId="5537F211">
            <w:pPr>
              <w:pStyle w:val="7"/>
              <w:bidi w:val="0"/>
              <w:rPr>
                <w:rFonts w:hint="eastAsia"/>
                <w:lang w:val="en-US" w:eastAsia="zh-CN"/>
              </w:rPr>
            </w:pPr>
            <w:r>
              <w:rPr>
                <w:rFonts w:hint="eastAsia"/>
                <w:lang w:val="en-US" w:eastAsia="zh-CN"/>
              </w:rPr>
              <w:t>图2-3  施工期工艺流程及产污环节图</w:t>
            </w:r>
          </w:p>
          <w:p w14:paraId="0A96E27F">
            <w:pPr>
              <w:bidi w:val="0"/>
              <w:rPr>
                <w:rFonts w:hint="eastAsia"/>
                <w:lang w:val="en-US" w:eastAsia="zh-CN"/>
              </w:rPr>
            </w:pPr>
            <w:r>
              <w:rPr>
                <w:rFonts w:hint="eastAsia"/>
                <w:lang w:val="en-US" w:eastAsia="zh-CN"/>
              </w:rPr>
              <w:t>施工期工艺流程及产排污分析：</w:t>
            </w:r>
          </w:p>
          <w:p w14:paraId="45D6306E">
            <w:pPr>
              <w:bidi w:val="0"/>
              <w:rPr>
                <w:rFonts w:hint="eastAsia"/>
                <w:lang w:val="en-US" w:eastAsia="zh-CN"/>
              </w:rPr>
            </w:pPr>
            <w:r>
              <w:rPr>
                <w:rFonts w:hint="eastAsia"/>
                <w:b/>
                <w:bCs/>
                <w:lang w:val="en-US" w:eastAsia="zh-CN"/>
              </w:rPr>
              <w:t>新增设备安装：</w:t>
            </w:r>
            <w:r>
              <w:rPr>
                <w:rFonts w:hint="eastAsia"/>
                <w:lang w:val="en-US" w:eastAsia="zh-CN"/>
              </w:rPr>
              <w:t>产生扬尘、设备安装噪声、设备的废包装材料以及施工人员产生的生活污水和生活垃圾。</w:t>
            </w:r>
          </w:p>
          <w:p w14:paraId="4668FBBD">
            <w:pPr>
              <w:bidi w:val="0"/>
              <w:rPr>
                <w:rFonts w:hint="eastAsia"/>
                <w:color w:val="auto"/>
                <w:lang w:val="en-US" w:eastAsia="zh-CN"/>
              </w:rPr>
            </w:pPr>
            <w:r>
              <w:rPr>
                <w:rFonts w:hint="eastAsia"/>
                <w:b/>
                <w:bCs/>
                <w:lang w:val="en-US" w:eastAsia="zh-CN"/>
              </w:rPr>
              <w:t>新增设备调试：</w:t>
            </w:r>
            <w:r>
              <w:rPr>
                <w:rFonts w:hint="eastAsia"/>
                <w:lang w:val="en-US" w:eastAsia="zh-CN"/>
              </w:rPr>
              <w:t>产生设备调试噪声、安装人员生活污水及生活垃圾。</w:t>
            </w:r>
          </w:p>
          <w:p w14:paraId="5C70CC2C">
            <w:pPr>
              <w:pStyle w:val="38"/>
              <w:ind w:firstLine="482"/>
              <w:rPr>
                <w:b/>
                <w:bCs/>
                <w:color w:val="auto"/>
              </w:rPr>
            </w:pPr>
            <w:r>
              <w:rPr>
                <w:rFonts w:hint="eastAsia"/>
                <w:b/>
                <w:bCs/>
                <w:color w:val="auto"/>
              </w:rPr>
              <w:t>2、运营期工艺流程及产污分析</w:t>
            </w:r>
          </w:p>
          <w:p w14:paraId="6E558B59">
            <w:pPr>
              <w:pStyle w:val="38"/>
              <w:ind w:firstLine="480"/>
              <w:rPr>
                <w:color w:val="auto"/>
              </w:rPr>
            </w:pPr>
            <w:r>
              <w:rPr>
                <w:rFonts w:hint="eastAsia"/>
                <w:color w:val="auto"/>
              </w:rPr>
              <w:t>本项目</w:t>
            </w:r>
            <w:r>
              <w:rPr>
                <w:rFonts w:hint="eastAsia"/>
                <w:color w:val="auto"/>
                <w:lang w:val="en-US" w:eastAsia="zh-CN"/>
              </w:rPr>
              <w:t>属于氢能源混合动力系统中的双极板生产线技改，新增了双极板生产线中点胶、固化和影像测量工艺</w:t>
            </w:r>
            <w:r>
              <w:rPr>
                <w:rFonts w:hint="eastAsia"/>
                <w:color w:val="auto"/>
              </w:rPr>
              <w:t>。</w:t>
            </w:r>
            <w:r>
              <w:rPr>
                <w:rFonts w:hint="eastAsia"/>
                <w:color w:val="auto"/>
                <w:lang w:val="en-US" w:eastAsia="zh-CN"/>
              </w:rPr>
              <w:t>项目</w:t>
            </w:r>
            <w:r>
              <w:rPr>
                <w:rFonts w:hint="eastAsia"/>
                <w:color w:val="auto"/>
              </w:rPr>
              <w:t>技改后工艺流程如下：</w:t>
            </w:r>
          </w:p>
          <w:p w14:paraId="590F0839">
            <w:pPr>
              <w:pStyle w:val="38"/>
              <w:numPr>
                <w:ilvl w:val="0"/>
                <w:numId w:val="0"/>
              </w:numPr>
              <w:ind w:firstLine="482" w:firstLineChars="200"/>
              <w:rPr>
                <w:rFonts w:hint="eastAsia"/>
                <w:b/>
                <w:bCs/>
                <w:color w:val="auto"/>
                <w:highlight w:val="none"/>
              </w:rPr>
            </w:pPr>
            <w:r>
              <w:rPr>
                <w:rFonts w:hint="eastAsia" w:ascii="Times New Roman" w:hAnsi="Times New Roman" w:eastAsia="宋体" w:cs="Times New Roman"/>
                <w:b/>
                <w:bCs/>
                <w:color w:val="auto"/>
                <w:kern w:val="24"/>
                <w:sz w:val="24"/>
                <w:lang w:val="en-US" w:eastAsia="zh-CN" w:bidi="ar-SA"/>
              </w:rPr>
              <w:t>（1）</w:t>
            </w:r>
            <w:r>
              <w:rPr>
                <w:rFonts w:hint="eastAsia"/>
                <w:b/>
                <w:bCs/>
                <w:color w:val="auto"/>
                <w:highlight w:val="none"/>
                <w:lang w:val="en-US" w:eastAsia="zh-CN"/>
              </w:rPr>
              <w:t>氢能源混合动力系统</w:t>
            </w:r>
          </w:p>
          <w:p w14:paraId="749EF034">
            <w:pPr>
              <w:pStyle w:val="3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highlight w:val="none"/>
              </w:rPr>
            </w:pPr>
            <w:r>
              <w:rPr>
                <w:rFonts w:hint="eastAsia" w:eastAsiaTheme="minorEastAsia" w:cstheme="minorBidi"/>
                <w:sz w:val="24"/>
                <w:szCs w:val="24"/>
                <w:lang w:val="en-US" w:eastAsia="zh-CN"/>
              </w:rPr>
              <w:t>建设单位氢能源混合动力系统的</w:t>
            </w:r>
            <w:r>
              <w:rPr>
                <w:rFonts w:eastAsiaTheme="minorEastAsia" w:cstheme="minorBidi"/>
                <w:sz w:val="24"/>
                <w:szCs w:val="24"/>
              </w:rPr>
              <w:t>生产</w:t>
            </w:r>
            <w:r>
              <w:rPr>
                <w:rFonts w:hint="eastAsia" w:eastAsiaTheme="minorEastAsia" w:cstheme="minorBidi"/>
                <w:sz w:val="24"/>
                <w:szCs w:val="24"/>
                <w:lang w:val="en-US" w:eastAsia="zh-CN"/>
              </w:rPr>
              <w:t>组装包括膜电极组装、双极板组装和电堆组装生产，不包含氢气气瓶装配。本次技术改造主要在双极板</w:t>
            </w:r>
            <w:r>
              <w:rPr>
                <w:rFonts w:hint="eastAsia"/>
                <w:color w:val="auto"/>
                <w:lang w:val="en-US" w:eastAsia="zh-CN"/>
              </w:rPr>
              <w:t>生产线中增加点胶和固化工艺</w:t>
            </w:r>
            <w:r>
              <w:rPr>
                <w:rFonts w:hint="eastAsia" w:eastAsiaTheme="minorEastAsia" w:cstheme="minorBidi"/>
                <w:sz w:val="24"/>
                <w:szCs w:val="24"/>
                <w:lang w:val="en-US" w:eastAsia="zh-CN"/>
              </w:rPr>
              <w:t>，</w:t>
            </w:r>
            <w:r>
              <w:rPr>
                <w:rFonts w:eastAsiaTheme="minorEastAsia" w:cstheme="minorBidi"/>
                <w:sz w:val="24"/>
                <w:szCs w:val="24"/>
              </w:rPr>
              <w:t>工艺流程及产污环节</w:t>
            </w:r>
            <w:r>
              <w:rPr>
                <w:rFonts w:hint="eastAsia" w:eastAsiaTheme="minorEastAsia" w:cstheme="minorBidi"/>
                <w:sz w:val="24"/>
                <w:szCs w:val="24"/>
              </w:rPr>
              <w:t>见</w:t>
            </w:r>
            <w:r>
              <w:rPr>
                <w:rFonts w:hint="eastAsia" w:eastAsiaTheme="minorEastAsia" w:cstheme="minorBidi"/>
                <w:sz w:val="24"/>
                <w:szCs w:val="24"/>
                <w:lang w:eastAsia="zh-CN"/>
              </w:rPr>
              <w:t>图</w:t>
            </w:r>
            <w:r>
              <w:rPr>
                <w:rFonts w:hint="eastAsia" w:eastAsiaTheme="minorEastAsia" w:cstheme="minorBidi"/>
                <w:sz w:val="24"/>
                <w:szCs w:val="24"/>
              </w:rPr>
              <w:t>2</w:t>
            </w:r>
            <w:r>
              <w:rPr>
                <w:rFonts w:hint="eastAsia" w:eastAsiaTheme="minorEastAsia" w:cstheme="minorBidi"/>
                <w:sz w:val="24"/>
                <w:szCs w:val="24"/>
                <w:lang w:val="en-US" w:eastAsia="zh-CN"/>
              </w:rPr>
              <w:t>-4</w:t>
            </w:r>
            <w:r>
              <w:rPr>
                <w:rFonts w:hint="eastAsia" w:eastAsiaTheme="minorEastAsia" w:cstheme="minorBidi"/>
                <w:sz w:val="24"/>
                <w:szCs w:val="24"/>
              </w:rPr>
              <w:t>所示。</w:t>
            </w:r>
          </w:p>
          <w:p w14:paraId="35C86FCE">
            <w:pPr>
              <w:pStyle w:val="3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object>
                <v:shape id="_x0000_i1027" o:spt="75" type="#_x0000_t75" style="height:185.7pt;width:405.45pt;" o:ole="t" filled="f" o:preferrelative="t" stroked="f" coordsize="21600,21600">
                  <v:path/>
                  <v:fill on="f" focussize="0,0"/>
                  <v:stroke on="f"/>
                  <v:imagedata r:id="rId28" o:title=""/>
                  <o:lock v:ext="edit" aspectratio="f"/>
                  <w10:wrap type="none"/>
                  <w10:anchorlock/>
                </v:shape>
                <o:OLEObject Type="Embed" ProgID="Visio.Drawing.15" ShapeID="_x0000_i1027" DrawAspect="Content" ObjectID="_1468075727" r:id="rId27">
                  <o:LockedField>false</o:LockedField>
                </o:OLEObject>
              </w:object>
            </w:r>
          </w:p>
          <w:p w14:paraId="42CA23ED">
            <w:pPr>
              <w:pStyle w:val="7"/>
              <w:bidi w:val="0"/>
            </w:pPr>
            <w:r>
              <w:t>图2</w:t>
            </w:r>
            <w:r>
              <w:rPr>
                <w:rFonts w:hint="eastAsia"/>
                <w:lang w:val="en-US" w:eastAsia="zh-CN"/>
              </w:rPr>
              <w:t>-4  氢能源混合动力系统组装</w:t>
            </w:r>
            <w:r>
              <w:rPr>
                <w:rFonts w:hint="eastAsia"/>
              </w:rPr>
              <w:t>工艺流程及产污环节</w:t>
            </w:r>
            <w:r>
              <w:t>位置示意图</w:t>
            </w:r>
          </w:p>
          <w:p w14:paraId="70EA5FA5">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pPr>
            <w:r>
              <w:rPr>
                <w:rFonts w:hint="eastAsia"/>
                <w:lang w:val="en-US" w:eastAsia="zh-CN"/>
              </w:rPr>
              <w:t>本项目技改前后膜电极组装工艺不变，</w:t>
            </w:r>
            <w:r>
              <w:rPr>
                <w:rFonts w:hint="eastAsia"/>
                <w:b w:val="0"/>
                <w:bCs w:val="0"/>
                <w:lang w:val="en-US" w:eastAsia="zh-CN"/>
              </w:rPr>
              <w:t>膜电极</w:t>
            </w:r>
            <w:r>
              <w:rPr>
                <w:b w:val="0"/>
                <w:bCs w:val="0"/>
              </w:rPr>
              <w:t>工艺流程简述：</w:t>
            </w:r>
          </w:p>
          <w:p w14:paraId="677D0F70">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u w:val="single"/>
                <w:lang w:val="en-US" w:eastAsia="zh-CN"/>
              </w:rPr>
            </w:pPr>
            <w:r>
              <w:rPr>
                <w:rFonts w:hint="eastAsia"/>
                <w:lang w:val="en-US" w:eastAsia="zh-CN"/>
              </w:rPr>
              <w:t>①分条：</w:t>
            </w:r>
            <w:r>
              <w:rPr>
                <w:rFonts w:hint="eastAsia"/>
                <w:u w:val="single"/>
                <w:lang w:val="en-US" w:eastAsia="zh-CN"/>
              </w:rPr>
              <w:t>该工序旨在将宽幅的整张全氟磺酸膜原料转换为适合后续加工的长条状。操作人员使用分条机对整张膜卷进行连续分切，得到所需宽度的长条状膜卷。</w:t>
            </w:r>
            <w:r>
              <w:rPr>
                <w:u w:val="single"/>
              </w:rPr>
              <w:t>此过程产生</w:t>
            </w:r>
            <w:r>
              <w:rPr>
                <w:rFonts w:hint="eastAsia"/>
                <w:u w:val="single"/>
                <w:lang w:val="en-US" w:eastAsia="zh-CN"/>
              </w:rPr>
              <w:t>全氟磺酸膜边角料、噪声。</w:t>
            </w:r>
          </w:p>
          <w:p w14:paraId="0231442B">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u w:val="single"/>
                <w:lang w:val="en-US" w:eastAsia="zh-CN"/>
              </w:rPr>
            </w:pPr>
            <w:r>
              <w:rPr>
                <w:rFonts w:hint="eastAsia"/>
                <w:u w:val="single"/>
                <w:lang w:val="en-US" w:eastAsia="zh-CN"/>
              </w:rPr>
              <w:t>②裁切：裁切是分条后的精细化定长工序。在此环节，操作人员通过裁切机，将分条后的长卷状全氟磺酸膜，切割成统一尺寸的长方形片状膜。</w:t>
            </w:r>
            <w:r>
              <w:rPr>
                <w:u w:val="single"/>
              </w:rPr>
              <w:t>此过程产生</w:t>
            </w:r>
            <w:r>
              <w:rPr>
                <w:rFonts w:hint="eastAsia"/>
                <w:u w:val="single"/>
                <w:lang w:val="en-US" w:eastAsia="zh-CN"/>
              </w:rPr>
              <w:t>全氟磺酸膜边角料、噪声。</w:t>
            </w:r>
          </w:p>
          <w:p w14:paraId="4340C5CD">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pPr>
            <w:r>
              <w:rPr>
                <w:rFonts w:hint="eastAsia"/>
                <w:lang w:val="en-US" w:eastAsia="zh-CN"/>
              </w:rPr>
              <w:t>③五合一封装：</w:t>
            </w:r>
            <w:r>
              <w:rPr>
                <w:rFonts w:ascii="Segoe UI" w:hAnsi="Segoe UI" w:eastAsia="Segoe UI" w:cs="Segoe UI"/>
                <w:i w:val="0"/>
                <w:iCs w:val="0"/>
                <w:caps w:val="0"/>
                <w:color w:val="0F1115"/>
                <w:spacing w:val="0"/>
                <w:sz w:val="24"/>
                <w:szCs w:val="24"/>
                <w:shd w:val="clear" w:fill="FFFFFF"/>
              </w:rPr>
              <w:t>该工艺在五合一密封机中完成，其核心任务是将长方形状的全氟磺酸质子交换膜与两侧的碳纸（或碳布）气体扩散层进行精密对位和封装。通过精确控制热压的温度、压力与时间，机器将各层材料边缘牢固地密封在一起</w:t>
            </w:r>
            <w:r>
              <w:rPr>
                <w:rFonts w:hint="eastAsia"/>
                <w:lang w:eastAsia="zh-CN"/>
              </w:rPr>
              <w:t>。</w:t>
            </w:r>
            <w:r>
              <w:rPr>
                <w:u w:val="single"/>
              </w:rPr>
              <w:t>此过程产生</w:t>
            </w:r>
            <w:r>
              <w:rPr>
                <w:rFonts w:hint="eastAsia"/>
                <w:u w:val="single"/>
                <w:lang w:val="en-US" w:eastAsia="zh-CN"/>
              </w:rPr>
              <w:t>噪声、废包装材料。</w:t>
            </w:r>
          </w:p>
          <w:p w14:paraId="113C128C">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u w:val="single"/>
                <w:lang w:val="en-US" w:eastAsia="zh-CN"/>
              </w:rPr>
            </w:pPr>
            <w:r>
              <w:rPr>
                <w:rFonts w:hint="eastAsia"/>
                <w:lang w:val="en-US" w:eastAsia="zh-CN"/>
              </w:rPr>
              <w:t>④七合一封装：</w:t>
            </w:r>
            <w:r>
              <w:rPr>
                <w:rFonts w:ascii="Segoe UI" w:hAnsi="Segoe UI" w:eastAsia="Segoe UI" w:cs="Segoe UI"/>
                <w:i w:val="0"/>
                <w:iCs w:val="0"/>
                <w:caps w:val="0"/>
                <w:color w:val="0F1115"/>
                <w:spacing w:val="0"/>
                <w:sz w:val="24"/>
                <w:szCs w:val="24"/>
                <w:shd w:val="clear" w:fill="FFFFFF"/>
              </w:rPr>
              <w:t>七合一封装是在五合一封装基础上的总成工序</w:t>
            </w:r>
            <w:r>
              <w:rPr>
                <w:rFonts w:hint="eastAsia" w:ascii="Segoe UI" w:hAnsi="Segoe UI" w:eastAsia="宋体" w:cs="Segoe UI"/>
                <w:i w:val="0"/>
                <w:iCs w:val="0"/>
                <w:caps w:val="0"/>
                <w:color w:val="0F1115"/>
                <w:spacing w:val="0"/>
                <w:sz w:val="24"/>
                <w:szCs w:val="24"/>
                <w:shd w:val="clear" w:fill="FFFFFF"/>
                <w:lang w:eastAsia="zh-CN"/>
              </w:rPr>
              <w:t>。</w:t>
            </w:r>
            <w:r>
              <w:rPr>
                <w:rFonts w:ascii="Segoe UI" w:hAnsi="Segoe UI" w:eastAsia="Segoe UI" w:cs="Segoe UI"/>
                <w:i w:val="0"/>
                <w:iCs w:val="0"/>
                <w:caps w:val="0"/>
                <w:color w:val="0F1115"/>
                <w:spacing w:val="0"/>
                <w:sz w:val="24"/>
                <w:szCs w:val="24"/>
                <w:shd w:val="clear" w:fill="FFFFFF"/>
              </w:rPr>
              <w:t>此工艺在七合一密封机中进行，将上道工序产成的五合一膜电极与密封圈、结构边框等部件进行叠层组装。通过更高参数的热压固化，机器将这些部件集成为一个结构坚固、密封可靠的整体，即最终的七合一膜电极。</w:t>
            </w:r>
            <w:r>
              <w:rPr>
                <w:u w:val="single"/>
              </w:rPr>
              <w:t>此过程产生</w:t>
            </w:r>
            <w:r>
              <w:rPr>
                <w:rFonts w:hint="eastAsia"/>
                <w:u w:val="single"/>
                <w:lang w:val="en-US" w:eastAsia="zh-CN"/>
              </w:rPr>
              <w:t>噪声、废包装材料。</w:t>
            </w:r>
          </w:p>
          <w:p w14:paraId="006353A1">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u w:val="single"/>
                <w:lang w:val="en-US" w:eastAsia="zh-CN"/>
              </w:rPr>
            </w:pPr>
            <w:r>
              <w:rPr>
                <w:rFonts w:hint="eastAsia"/>
                <w:lang w:val="en-US" w:eastAsia="zh-CN"/>
              </w:rPr>
              <w:t>⑤气密性检测：将组装形成的七合一膜电极放入气密性检测机进行气密性检测。</w:t>
            </w:r>
            <w:r>
              <w:rPr>
                <w:u w:val="single"/>
              </w:rPr>
              <w:t>此过程产生</w:t>
            </w:r>
            <w:r>
              <w:rPr>
                <w:rFonts w:hint="eastAsia"/>
                <w:u w:val="single"/>
                <w:lang w:val="en-US" w:eastAsia="zh-CN"/>
              </w:rPr>
              <w:t>噪声。</w:t>
            </w:r>
          </w:p>
          <w:p w14:paraId="7AB59B09">
            <w:pPr>
              <w:pStyle w:val="38"/>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b/>
                <w:bCs/>
              </w:rPr>
            </w:pPr>
            <w:r>
              <w:rPr>
                <w:rFonts w:hint="eastAsia"/>
                <w:b/>
                <w:bCs/>
                <w:lang w:val="en-US" w:eastAsia="zh-CN"/>
              </w:rPr>
              <w:t>本项目新增双极板</w:t>
            </w:r>
            <w:r>
              <w:rPr>
                <w:b/>
                <w:bCs/>
              </w:rPr>
              <w:t>工艺流程简述：</w:t>
            </w:r>
          </w:p>
          <w:p w14:paraId="0047EBE4">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lang w:val="en-US" w:eastAsia="zh-CN"/>
              </w:rPr>
            </w:pPr>
            <w:r>
              <w:rPr>
                <w:rFonts w:hint="eastAsia"/>
                <w:lang w:val="en-US" w:eastAsia="zh-CN"/>
              </w:rPr>
              <w:t>①点胶：将外购的石墨极板，固定于高精度自动点胶机的机器上。设备根据预设的程序，控制点胶阀头沿极板流场周围的密封沟槽进行连续、均匀、定量的胶线涂敷。</w:t>
            </w:r>
            <w:r>
              <w:rPr>
                <w:u w:val="single"/>
              </w:rPr>
              <w:t>此过程</w:t>
            </w:r>
            <w:r>
              <w:rPr>
                <w:rFonts w:hint="eastAsia"/>
                <w:u w:val="single"/>
                <w:lang w:val="en-US" w:eastAsia="zh-CN"/>
              </w:rPr>
              <w:t>产生废胶粘剂瓶。</w:t>
            </w:r>
          </w:p>
          <w:p w14:paraId="5CD34E83">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u w:val="single"/>
                <w:lang w:val="en-US" w:eastAsia="zh-CN"/>
              </w:rPr>
            </w:pPr>
            <w:r>
              <w:rPr>
                <w:rFonts w:hint="eastAsia"/>
                <w:lang w:val="en-US" w:eastAsia="zh-CN"/>
              </w:rPr>
              <w:t>②固化：点胶完成后，极板转移至程序控温固化箱中。固化箱采用电加热方式，固化温度为120℃，单次固化时间持续30分钟</w:t>
            </w:r>
            <w:r>
              <w:rPr>
                <w:rFonts w:hint="eastAsia"/>
                <w:highlight w:val="none"/>
                <w:lang w:val="en-US" w:eastAsia="zh-CN"/>
              </w:rPr>
              <w:t>，每天固化总时长为4h。</w:t>
            </w:r>
            <w:r>
              <w:rPr>
                <w:u w:val="single"/>
              </w:rPr>
              <w:t>此过程</w:t>
            </w:r>
            <w:r>
              <w:rPr>
                <w:rFonts w:hint="eastAsia"/>
                <w:u w:val="single"/>
                <w:lang w:val="en-US" w:eastAsia="zh-CN"/>
              </w:rPr>
              <w:t>产生VOC</w:t>
            </w:r>
            <w:r>
              <w:rPr>
                <w:rFonts w:hint="eastAsia"/>
                <w:u w:val="single"/>
                <w:vertAlign w:val="subscript"/>
                <w:lang w:val="en-US" w:eastAsia="zh-CN"/>
              </w:rPr>
              <w:t>S</w:t>
            </w:r>
            <w:r>
              <w:rPr>
                <w:rFonts w:hint="eastAsia"/>
                <w:u w:val="single"/>
                <w:lang w:val="en-US" w:eastAsia="zh-CN"/>
              </w:rPr>
              <w:t>。</w:t>
            </w:r>
          </w:p>
          <w:p w14:paraId="3A998532">
            <w:pPr>
              <w:pStyle w:val="3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lang w:val="en-US" w:eastAsia="zh-CN"/>
              </w:rPr>
            </w:pPr>
            <w:r>
              <w:rPr>
                <w:rFonts w:hint="eastAsia"/>
                <w:lang w:val="en-US" w:eastAsia="zh-CN"/>
              </w:rPr>
              <w:t>③点胶影像测量：将固化后的双极板置于影像测量仪中，对固化后的双极板密封胶线进行高速、高精度、非接触式的全检，确保密封质量的绝对可靠，从源头杜绝因密封缺陷导致的气体泄漏风险。影像测量是通过光学成像数字图像采集，利用可见光成像和精密运动来测量物体的“形状和尺寸”，确保双极板的加工精度。不涉及射线装置。</w:t>
            </w:r>
          </w:p>
          <w:p w14:paraId="484505E7">
            <w:pPr>
              <w:numPr>
                <w:ilvl w:val="0"/>
                <w:numId w:val="0"/>
              </w:numPr>
              <w:tabs>
                <w:tab w:val="left" w:pos="2395"/>
              </w:tabs>
              <w:ind w:firstLine="482" w:firstLineChars="200"/>
              <w:jc w:val="both"/>
              <w:rPr>
                <w:b/>
                <w:bCs/>
              </w:rPr>
            </w:pPr>
            <w:r>
              <w:rPr>
                <w:rFonts w:hint="eastAsia"/>
                <w:b/>
                <w:bCs/>
                <w:lang w:val="en-US" w:eastAsia="zh-CN"/>
              </w:rPr>
              <w:t>氢能源混合动力系统电堆组装</w:t>
            </w:r>
            <w:r>
              <w:rPr>
                <w:b/>
                <w:bCs/>
              </w:rPr>
              <w:t>工艺流程简述：</w:t>
            </w:r>
          </w:p>
          <w:p w14:paraId="0B6891C6">
            <w:pPr>
              <w:ind w:firstLine="480"/>
              <w:jc w:val="both"/>
              <w:rPr>
                <w:rFonts w:hint="eastAsia"/>
                <w:u w:val="single"/>
                <w:lang w:val="en-US" w:eastAsia="zh-CN"/>
              </w:rPr>
            </w:pPr>
            <w:r>
              <w:rPr>
                <w:rFonts w:hint="eastAsia"/>
                <w:lang w:val="en-US" w:eastAsia="zh-CN"/>
              </w:rPr>
              <w:t>将膜电极与</w:t>
            </w:r>
            <w:r>
              <w:t>双极板交替叠合</w:t>
            </w:r>
            <w:r>
              <w:rPr>
                <w:rFonts w:hint="eastAsia"/>
                <w:lang w:val="en-US" w:eastAsia="zh-CN"/>
              </w:rPr>
              <w:t>形成电堆小单元</w:t>
            </w:r>
            <w:r>
              <w:rPr>
                <w:rFonts w:hint="eastAsia"/>
                <w:lang w:eastAsia="zh-CN"/>
              </w:rPr>
              <w:t>，</w:t>
            </w:r>
            <w:r>
              <w:rPr>
                <w:rFonts w:hint="eastAsia"/>
                <w:lang w:val="en-US" w:eastAsia="zh-CN"/>
              </w:rPr>
              <w:t>将多个电堆小单元以串联方式层叠组合构成电堆来提高整体输出功率，再与绝缘板、空压机、空气过滤器、氢循环泵、散热器、转换器等零部件组装，形成氢能源混合动力系统。</w:t>
            </w:r>
            <w:r>
              <w:rPr>
                <w:color w:val="auto"/>
                <w:u w:val="single"/>
              </w:rPr>
              <w:t>此过程中产生</w:t>
            </w:r>
            <w:r>
              <w:rPr>
                <w:rFonts w:hint="eastAsia"/>
                <w:u w:val="single"/>
                <w:lang w:val="en-US" w:eastAsia="zh-CN"/>
              </w:rPr>
              <w:t>噪声、废包装材料。</w:t>
            </w:r>
          </w:p>
          <w:p w14:paraId="23833973">
            <w:pPr>
              <w:ind w:firstLine="480"/>
              <w:jc w:val="left"/>
              <w:rPr>
                <w:rFonts w:hint="eastAsia"/>
                <w:color w:val="000000" w:themeColor="text1"/>
                <w:u w:val="none"/>
                <w:lang w:val="en-US" w:eastAsia="zh-CN"/>
                <w14:textFill>
                  <w14:solidFill>
                    <w14:schemeClr w14:val="tx1"/>
                  </w14:solidFill>
                </w14:textFill>
              </w:rPr>
            </w:pPr>
            <w:r>
              <w:rPr>
                <w:rFonts w:hint="eastAsia" w:ascii="Times New Roman" w:hAnsi="Times New Roman" w:eastAsiaTheme="minorEastAsia" w:cstheme="minorBidi"/>
                <w:i w:val="0"/>
                <w:iCs w:val="0"/>
                <w:caps w:val="0"/>
                <w:color w:val="000000" w:themeColor="text1"/>
                <w:spacing w:val="0"/>
                <w:sz w:val="24"/>
                <w:szCs w:val="24"/>
                <w:u w:val="none"/>
                <w:shd w:val="clear" w:fill="auto"/>
                <w14:textFill>
                  <w14:solidFill>
                    <w14:schemeClr w14:val="tx1"/>
                  </w14:solidFill>
                </w14:textFill>
              </w:rPr>
              <w:t>为保障氢能源混合动力系统</w:t>
            </w:r>
            <w:r>
              <w:rPr>
                <w:rFonts w:hint="eastAsia" w:ascii="Times New Roman" w:hAnsi="Times New Roman" w:cstheme="minorBidi"/>
                <w:i w:val="0"/>
                <w:iCs w:val="0"/>
                <w:caps w:val="0"/>
                <w:color w:val="000000" w:themeColor="text1"/>
                <w:spacing w:val="0"/>
                <w:sz w:val="24"/>
                <w:szCs w:val="24"/>
                <w:u w:val="none"/>
                <w:shd w:val="clear"/>
                <w:lang w:val="en-US" w:eastAsia="zh-CN"/>
                <w14:textFill>
                  <w14:solidFill>
                    <w14:schemeClr w14:val="tx1"/>
                  </w14:solidFill>
                </w14:textFill>
              </w:rPr>
              <w:t>的合格性，</w:t>
            </w:r>
            <w:r>
              <w:rPr>
                <w:rFonts w:hint="eastAsia"/>
                <w:lang w:val="en-US" w:eastAsia="zh-CN"/>
              </w:rPr>
              <w:t>氢能源混合动力系统</w:t>
            </w:r>
            <w:r>
              <w:rPr>
                <w:rFonts w:hint="eastAsia" w:eastAsiaTheme="minorEastAsia" w:cstheme="minorBidi"/>
                <w:i w:val="0"/>
                <w:iCs w:val="0"/>
                <w:caps w:val="0"/>
                <w:color w:val="000000" w:themeColor="text1"/>
                <w:spacing w:val="0"/>
                <w:sz w:val="24"/>
                <w:szCs w:val="24"/>
                <w:u w:val="none"/>
                <w:shd w:val="clear" w:fill="auto"/>
                <w:lang w:val="en-US" w:eastAsia="zh-CN"/>
                <w14:textFill>
                  <w14:solidFill>
                    <w14:schemeClr w14:val="tx1"/>
                  </w14:solidFill>
                </w14:textFill>
              </w:rPr>
              <w:t>需委托</w:t>
            </w:r>
            <w:r>
              <w:rPr>
                <w:rStyle w:val="32"/>
                <w:rFonts w:hint="eastAsia" w:ascii="Times New Roman" w:hAnsi="Times New Roman" w:eastAsiaTheme="minorEastAsia" w:cstheme="minorBidi"/>
                <w:b w:val="0"/>
                <w:bCs w:val="0"/>
                <w:i w:val="0"/>
                <w:iCs w:val="0"/>
                <w:caps w:val="0"/>
                <w:color w:val="000000" w:themeColor="text1"/>
                <w:spacing w:val="0"/>
                <w:sz w:val="24"/>
                <w:szCs w:val="24"/>
                <w:u w:val="none"/>
                <w:shd w:val="clear" w:fill="FFFFFF"/>
                <w14:textFill>
                  <w14:solidFill>
                    <w14:schemeClr w14:val="tx1"/>
                  </w14:solidFill>
                </w14:textFill>
              </w:rPr>
              <w:t>第三方</w:t>
            </w:r>
            <w:r>
              <w:rPr>
                <w:rStyle w:val="32"/>
                <w:rFonts w:hint="eastAsia" w:eastAsiaTheme="minorEastAsia" w:cstheme="minorBidi"/>
                <w:b w:val="0"/>
                <w:bCs w:val="0"/>
                <w:i w:val="0"/>
                <w:iCs w:val="0"/>
                <w:caps w:val="0"/>
                <w:color w:val="000000" w:themeColor="text1"/>
                <w:spacing w:val="0"/>
                <w:sz w:val="24"/>
                <w:szCs w:val="24"/>
                <w:u w:val="none"/>
                <w:shd w:val="clear" w:fill="FFFFFF"/>
                <w:lang w:val="en-US" w:eastAsia="zh-CN"/>
                <w14:textFill>
                  <w14:solidFill>
                    <w14:schemeClr w14:val="tx1"/>
                  </w14:solidFill>
                </w14:textFill>
              </w:rPr>
              <w:t>质量</w:t>
            </w:r>
            <w:r>
              <w:rPr>
                <w:rStyle w:val="32"/>
                <w:rFonts w:hint="eastAsia" w:ascii="Times New Roman" w:hAnsi="Times New Roman" w:eastAsiaTheme="minorEastAsia" w:cstheme="minorBidi"/>
                <w:b w:val="0"/>
                <w:bCs w:val="0"/>
                <w:i w:val="0"/>
                <w:iCs w:val="0"/>
                <w:caps w:val="0"/>
                <w:color w:val="000000" w:themeColor="text1"/>
                <w:spacing w:val="0"/>
                <w:sz w:val="24"/>
                <w:szCs w:val="24"/>
                <w:u w:val="none"/>
                <w:shd w:val="clear" w:fill="FFFFFF"/>
                <w14:textFill>
                  <w14:solidFill>
                    <w14:schemeClr w14:val="tx1"/>
                  </w14:solidFill>
                </w14:textFill>
              </w:rPr>
              <w:t>检测机构</w:t>
            </w:r>
            <w:r>
              <w:rPr>
                <w:rFonts w:hint="eastAsia" w:ascii="Times New Roman" w:hAnsi="Times New Roman" w:eastAsiaTheme="minorEastAsia" w:cstheme="minorBidi"/>
                <w:i w:val="0"/>
                <w:iCs w:val="0"/>
                <w:caps w:val="0"/>
                <w:color w:val="000000" w:themeColor="text1"/>
                <w:spacing w:val="0"/>
                <w:sz w:val="24"/>
                <w:szCs w:val="24"/>
                <w:u w:val="none"/>
                <w:shd w:val="clear" w:fill="auto"/>
                <w14:textFill>
                  <w14:solidFill>
                    <w14:schemeClr w14:val="tx1"/>
                  </w14:solidFill>
                </w14:textFill>
              </w:rPr>
              <w:t>，对</w:t>
            </w:r>
            <w:r>
              <w:rPr>
                <w:rFonts w:hint="eastAsia" w:ascii="Times New Roman" w:hAnsi="Times New Roman" w:eastAsiaTheme="minorEastAsia" w:cstheme="minorBidi"/>
                <w:i w:val="0"/>
                <w:iCs w:val="0"/>
                <w:caps w:val="0"/>
                <w:color w:val="000000" w:themeColor="text1"/>
                <w:spacing w:val="0"/>
                <w:sz w:val="24"/>
                <w:szCs w:val="24"/>
                <w:u w:val="none"/>
                <w:shd w:val="clear"/>
                <w14:textFill>
                  <w14:solidFill>
                    <w14:schemeClr w14:val="tx1"/>
                  </w14:solidFill>
                </w14:textFill>
              </w:rPr>
              <w:t>氢能源混合动力系统</w:t>
            </w:r>
            <w:r>
              <w:rPr>
                <w:rFonts w:hint="eastAsia" w:ascii="Times New Roman" w:hAnsi="Times New Roman" w:eastAsiaTheme="minorEastAsia" w:cstheme="minorBidi"/>
                <w:i w:val="0"/>
                <w:iCs w:val="0"/>
                <w:caps w:val="0"/>
                <w:color w:val="000000" w:themeColor="text1"/>
                <w:spacing w:val="0"/>
                <w:sz w:val="24"/>
                <w:szCs w:val="24"/>
                <w:u w:val="none"/>
                <w:shd w:val="clear" w:fill="auto"/>
                <w14:textFill>
                  <w14:solidFill>
                    <w14:schemeClr w14:val="tx1"/>
                  </w14:solidFill>
                </w14:textFill>
              </w:rPr>
              <w:t>进行系统化、标准化的检测。</w:t>
            </w:r>
          </w:p>
          <w:p w14:paraId="20D9F74F">
            <w:pPr>
              <w:pStyle w:val="38"/>
              <w:ind w:firstLine="480"/>
              <w:rPr>
                <w:rFonts w:hint="eastAsia"/>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运营期产污工序及污染物</w:t>
            </w:r>
          </w:p>
          <w:p w14:paraId="4FD63055">
            <w:pPr>
              <w:bidi w:val="0"/>
            </w:pPr>
            <w:r>
              <w:rPr>
                <w:rFonts w:hint="eastAsia"/>
              </w:rPr>
              <w:t>运营期产污工序及污染物总汇见下表。</w:t>
            </w:r>
          </w:p>
          <w:p w14:paraId="64F1653E">
            <w:pPr>
              <w:pStyle w:val="7"/>
              <w:bidi w:val="0"/>
            </w:pPr>
            <w:r>
              <w:t>表</w:t>
            </w:r>
            <w:r>
              <w:rPr>
                <w:rFonts w:hint="eastAsia"/>
              </w:rPr>
              <w:t>2-</w:t>
            </w:r>
            <w:r>
              <w:rPr>
                <w:rFonts w:hint="eastAsia"/>
                <w:lang w:val="en-US" w:eastAsia="zh-CN"/>
              </w:rPr>
              <w:t>9</w:t>
            </w:r>
            <w:r>
              <w:rPr>
                <w:rFonts w:hint="eastAsia"/>
              </w:rPr>
              <w:t xml:space="preserve">  </w:t>
            </w:r>
            <w:r>
              <w:t>主要产污工艺及污染物名称一览表</w:t>
            </w:r>
          </w:p>
          <w:tbl>
            <w:tblPr>
              <w:tblStyle w:val="31"/>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585"/>
              <w:gridCol w:w="2082"/>
              <w:gridCol w:w="2473"/>
              <w:gridCol w:w="1429"/>
            </w:tblGrid>
            <w:tr w14:paraId="31A30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tcBorders>
                    <w:bottom w:val="single" w:color="auto" w:sz="12" w:space="0"/>
                  </w:tcBorders>
                  <w:shd w:val="clear" w:color="auto" w:fill="auto"/>
                  <w:vAlign w:val="center"/>
                </w:tcPr>
                <w:p w14:paraId="1BC5E9AC">
                  <w:pPr>
                    <w:pStyle w:val="5"/>
                    <w:bidi w:val="0"/>
                    <w:rPr>
                      <w:b/>
                      <w:bCs/>
                    </w:rPr>
                  </w:pPr>
                  <w:r>
                    <w:rPr>
                      <w:rFonts w:hint="eastAsia"/>
                      <w:b/>
                      <w:bCs/>
                    </w:rPr>
                    <w:t>污染类型</w:t>
                  </w:r>
                </w:p>
              </w:tc>
              <w:tc>
                <w:tcPr>
                  <w:tcW w:w="916" w:type="pct"/>
                  <w:tcBorders>
                    <w:bottom w:val="single" w:color="auto" w:sz="12" w:space="0"/>
                  </w:tcBorders>
                  <w:shd w:val="clear" w:color="auto" w:fill="auto"/>
                  <w:vAlign w:val="center"/>
                </w:tcPr>
                <w:p w14:paraId="12A21F6A">
                  <w:pPr>
                    <w:pStyle w:val="5"/>
                    <w:bidi w:val="0"/>
                    <w:rPr>
                      <w:b/>
                      <w:bCs/>
                    </w:rPr>
                  </w:pPr>
                  <w:r>
                    <w:rPr>
                      <w:rFonts w:hint="eastAsia"/>
                      <w:b/>
                      <w:bCs/>
                    </w:rPr>
                    <w:t>产生工序</w:t>
                  </w:r>
                </w:p>
              </w:tc>
              <w:tc>
                <w:tcPr>
                  <w:tcW w:w="1203" w:type="pct"/>
                  <w:tcBorders>
                    <w:bottom w:val="single" w:color="auto" w:sz="12" w:space="0"/>
                  </w:tcBorders>
                  <w:shd w:val="clear" w:color="auto" w:fill="auto"/>
                  <w:vAlign w:val="center"/>
                </w:tcPr>
                <w:p w14:paraId="709BD443">
                  <w:pPr>
                    <w:pStyle w:val="5"/>
                    <w:bidi w:val="0"/>
                    <w:rPr>
                      <w:b/>
                      <w:bCs/>
                    </w:rPr>
                  </w:pPr>
                  <w:r>
                    <w:rPr>
                      <w:rFonts w:hint="eastAsia"/>
                      <w:b/>
                      <w:bCs/>
                    </w:rPr>
                    <w:t>污染物</w:t>
                  </w:r>
                </w:p>
              </w:tc>
              <w:tc>
                <w:tcPr>
                  <w:tcW w:w="1429" w:type="pct"/>
                  <w:tcBorders>
                    <w:bottom w:val="single" w:color="auto" w:sz="12" w:space="0"/>
                  </w:tcBorders>
                  <w:shd w:val="clear" w:color="auto" w:fill="auto"/>
                  <w:vAlign w:val="center"/>
                </w:tcPr>
                <w:p w14:paraId="252AF55E">
                  <w:pPr>
                    <w:pStyle w:val="5"/>
                    <w:bidi w:val="0"/>
                    <w:rPr>
                      <w:b/>
                      <w:bCs/>
                    </w:rPr>
                  </w:pPr>
                  <w:r>
                    <w:rPr>
                      <w:rFonts w:hint="eastAsia"/>
                      <w:b/>
                      <w:bCs/>
                    </w:rPr>
                    <w:t>污染因子</w:t>
                  </w:r>
                </w:p>
              </w:tc>
              <w:tc>
                <w:tcPr>
                  <w:tcW w:w="826" w:type="pct"/>
                  <w:tcBorders>
                    <w:bottom w:val="single" w:color="auto" w:sz="12" w:space="0"/>
                  </w:tcBorders>
                  <w:shd w:val="clear" w:color="auto" w:fill="auto"/>
                  <w:vAlign w:val="center"/>
                </w:tcPr>
                <w:p w14:paraId="3ABBCB21">
                  <w:pPr>
                    <w:pStyle w:val="5"/>
                    <w:bidi w:val="0"/>
                    <w:rPr>
                      <w:rFonts w:hint="default"/>
                      <w:b/>
                      <w:bCs/>
                      <w:lang w:val="en-US" w:eastAsia="zh-CN"/>
                    </w:rPr>
                  </w:pPr>
                  <w:r>
                    <w:rPr>
                      <w:rFonts w:hint="eastAsia"/>
                      <w:b/>
                      <w:bCs/>
                      <w:lang w:val="en-US" w:eastAsia="zh-CN"/>
                    </w:rPr>
                    <w:t>技改实施后变化情况</w:t>
                  </w:r>
                </w:p>
              </w:tc>
            </w:tr>
            <w:tr w14:paraId="49C7D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24" w:type="pct"/>
                  <w:tcBorders>
                    <w:tl2br w:val="nil"/>
                    <w:tr2bl w:val="nil"/>
                  </w:tcBorders>
                  <w:vAlign w:val="center"/>
                </w:tcPr>
                <w:p w14:paraId="3C38BC8A">
                  <w:pPr>
                    <w:pStyle w:val="5"/>
                    <w:bidi w:val="0"/>
                    <w:rPr>
                      <w:rFonts w:hint="eastAsia"/>
                      <w:lang w:val="en-US" w:eastAsia="zh-CN"/>
                    </w:rPr>
                  </w:pPr>
                  <w:r>
                    <w:rPr>
                      <w:rFonts w:hint="eastAsia"/>
                      <w:lang w:val="en-US" w:eastAsia="zh-CN"/>
                    </w:rPr>
                    <w:t>废水</w:t>
                  </w:r>
                </w:p>
              </w:tc>
              <w:tc>
                <w:tcPr>
                  <w:tcW w:w="916" w:type="pct"/>
                  <w:tcBorders>
                    <w:tl2br w:val="nil"/>
                    <w:tr2bl w:val="nil"/>
                  </w:tcBorders>
                  <w:shd w:val="clear" w:color="auto" w:fill="auto"/>
                  <w:vAlign w:val="center"/>
                </w:tcPr>
                <w:p w14:paraId="67A5C881">
                  <w:pPr>
                    <w:pStyle w:val="5"/>
                    <w:bidi w:val="0"/>
                  </w:pPr>
                  <w:r>
                    <w:rPr>
                      <w:rFonts w:hint="eastAsia"/>
                    </w:rPr>
                    <w:t>员工生活</w:t>
                  </w:r>
                </w:p>
              </w:tc>
              <w:tc>
                <w:tcPr>
                  <w:tcW w:w="1203" w:type="pct"/>
                  <w:tcBorders>
                    <w:tl2br w:val="nil"/>
                    <w:tr2bl w:val="nil"/>
                  </w:tcBorders>
                  <w:shd w:val="clear" w:color="auto" w:fill="auto"/>
                  <w:vAlign w:val="center"/>
                </w:tcPr>
                <w:p w14:paraId="5E09FCEA">
                  <w:pPr>
                    <w:pStyle w:val="5"/>
                    <w:bidi w:val="0"/>
                  </w:pPr>
                  <w:r>
                    <w:rPr>
                      <w:rFonts w:hint="eastAsia"/>
                    </w:rPr>
                    <w:t>生活污水</w:t>
                  </w:r>
                </w:p>
              </w:tc>
              <w:tc>
                <w:tcPr>
                  <w:tcW w:w="1429" w:type="pct"/>
                  <w:tcBorders>
                    <w:tl2br w:val="nil"/>
                    <w:tr2bl w:val="nil"/>
                  </w:tcBorders>
                  <w:vAlign w:val="center"/>
                </w:tcPr>
                <w:p w14:paraId="4038871B">
                  <w:pPr>
                    <w:pStyle w:val="5"/>
                    <w:bidi w:val="0"/>
                    <w:rPr>
                      <w:rFonts w:hint="default"/>
                      <w:lang w:val="en-US" w:eastAsia="zh-CN"/>
                    </w:rPr>
                  </w:pPr>
                  <w:r>
                    <w:rPr>
                      <w:rFonts w:hint="eastAsia"/>
                    </w:rPr>
                    <w:t>COD、BOD、氨氮、总磷、SS</w:t>
                  </w:r>
                </w:p>
              </w:tc>
              <w:tc>
                <w:tcPr>
                  <w:tcW w:w="826" w:type="pct"/>
                  <w:tcBorders>
                    <w:tl2br w:val="nil"/>
                    <w:tr2bl w:val="nil"/>
                  </w:tcBorders>
                  <w:vAlign w:val="center"/>
                </w:tcPr>
                <w:p w14:paraId="3FB74F00">
                  <w:pPr>
                    <w:pStyle w:val="5"/>
                    <w:bidi w:val="0"/>
                  </w:pPr>
                  <w:r>
                    <w:rPr>
                      <w:rFonts w:hint="eastAsia"/>
                      <w:lang w:val="en-US" w:eastAsia="zh-CN"/>
                    </w:rPr>
                    <w:t>无变化</w:t>
                  </w:r>
                </w:p>
              </w:tc>
            </w:tr>
            <w:tr w14:paraId="74288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tcBorders>
                    <w:tl2br w:val="nil"/>
                    <w:tr2bl w:val="nil"/>
                  </w:tcBorders>
                  <w:vAlign w:val="center"/>
                </w:tcPr>
                <w:p w14:paraId="2D751B4B">
                  <w:pPr>
                    <w:pStyle w:val="5"/>
                    <w:bidi w:val="0"/>
                    <w:rPr>
                      <w:rFonts w:hint="eastAsia"/>
                      <w:lang w:val="en-US" w:eastAsia="zh-CN"/>
                    </w:rPr>
                  </w:pPr>
                  <w:r>
                    <w:rPr>
                      <w:rFonts w:hint="eastAsia"/>
                    </w:rPr>
                    <w:t>废气</w:t>
                  </w:r>
                </w:p>
              </w:tc>
              <w:tc>
                <w:tcPr>
                  <w:tcW w:w="916" w:type="pct"/>
                  <w:tcBorders>
                    <w:tl2br w:val="nil"/>
                    <w:tr2bl w:val="nil"/>
                  </w:tcBorders>
                  <w:shd w:val="clear" w:color="auto" w:fill="auto"/>
                  <w:vAlign w:val="center"/>
                </w:tcPr>
                <w:p w14:paraId="4ABAF5C8">
                  <w:pPr>
                    <w:pStyle w:val="5"/>
                    <w:bidi w:val="0"/>
                    <w:rPr>
                      <w:rFonts w:hint="default"/>
                      <w:lang w:val="en-US" w:eastAsia="zh-CN"/>
                    </w:rPr>
                  </w:pPr>
                  <w:r>
                    <w:rPr>
                      <w:rFonts w:hint="eastAsia"/>
                      <w:lang w:val="en-US" w:eastAsia="zh-CN"/>
                    </w:rPr>
                    <w:t>固化箱</w:t>
                  </w:r>
                </w:p>
              </w:tc>
              <w:tc>
                <w:tcPr>
                  <w:tcW w:w="1203" w:type="pct"/>
                  <w:tcBorders>
                    <w:tl2br w:val="nil"/>
                    <w:tr2bl w:val="nil"/>
                  </w:tcBorders>
                  <w:shd w:val="clear" w:color="auto" w:fill="auto"/>
                  <w:vAlign w:val="center"/>
                </w:tcPr>
                <w:p w14:paraId="779F8321">
                  <w:pPr>
                    <w:pStyle w:val="5"/>
                    <w:bidi w:val="0"/>
                    <w:rPr>
                      <w:rFonts w:hint="eastAsia"/>
                      <w:lang w:val="en-US" w:eastAsia="zh-CN"/>
                    </w:rPr>
                  </w:pPr>
                  <w:r>
                    <w:rPr>
                      <w:rFonts w:hint="eastAsia"/>
                      <w:lang w:val="en-US" w:eastAsia="zh-CN"/>
                    </w:rPr>
                    <w:t>固化废气</w:t>
                  </w:r>
                </w:p>
              </w:tc>
              <w:tc>
                <w:tcPr>
                  <w:tcW w:w="1429" w:type="pct"/>
                  <w:tcBorders>
                    <w:tl2br w:val="nil"/>
                    <w:tr2bl w:val="nil"/>
                  </w:tcBorders>
                  <w:shd w:val="clear" w:color="auto" w:fill="auto"/>
                  <w:vAlign w:val="center"/>
                </w:tcPr>
                <w:p w14:paraId="7211B280">
                  <w:pPr>
                    <w:pStyle w:val="5"/>
                    <w:bidi w:val="0"/>
                    <w:rPr>
                      <w:rFonts w:hint="eastAsia"/>
                      <w:lang w:val="en-US" w:eastAsia="zh-CN"/>
                    </w:rPr>
                  </w:pPr>
                  <w:r>
                    <w:rPr>
                      <w:rFonts w:hint="eastAsia"/>
                    </w:rPr>
                    <w:t>VOCs</w:t>
                  </w:r>
                </w:p>
              </w:tc>
              <w:tc>
                <w:tcPr>
                  <w:tcW w:w="826" w:type="pct"/>
                  <w:tcBorders>
                    <w:tl2br w:val="nil"/>
                    <w:tr2bl w:val="nil"/>
                  </w:tcBorders>
                  <w:shd w:val="clear" w:color="auto" w:fill="auto"/>
                  <w:vAlign w:val="center"/>
                </w:tcPr>
                <w:p w14:paraId="28A6081F">
                  <w:pPr>
                    <w:pStyle w:val="5"/>
                    <w:bidi w:val="0"/>
                    <w:rPr>
                      <w:rFonts w:hint="eastAsia"/>
                      <w:lang w:val="en-US" w:eastAsia="zh-CN"/>
                    </w:rPr>
                  </w:pPr>
                  <w:r>
                    <w:rPr>
                      <w:rFonts w:hint="eastAsia"/>
                      <w:lang w:val="en-US" w:eastAsia="zh-CN"/>
                    </w:rPr>
                    <w:t>增加</w:t>
                  </w:r>
                </w:p>
              </w:tc>
            </w:tr>
            <w:tr w14:paraId="033E9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restart"/>
                  <w:tcBorders>
                    <w:tl2br w:val="nil"/>
                    <w:tr2bl w:val="nil"/>
                  </w:tcBorders>
                  <w:shd w:val="clear" w:color="auto" w:fill="auto"/>
                  <w:vAlign w:val="center"/>
                </w:tcPr>
                <w:p w14:paraId="04EAEE8C">
                  <w:pPr>
                    <w:pStyle w:val="5"/>
                    <w:bidi w:val="0"/>
                    <w:rPr>
                      <w:lang w:val="en-US" w:eastAsia="zh-CN"/>
                    </w:rPr>
                  </w:pPr>
                  <w:r>
                    <w:rPr>
                      <w:rFonts w:hint="eastAsia"/>
                    </w:rPr>
                    <w:t>噪声</w:t>
                  </w:r>
                </w:p>
              </w:tc>
              <w:tc>
                <w:tcPr>
                  <w:tcW w:w="916" w:type="pct"/>
                  <w:tcBorders>
                    <w:tl2br w:val="nil"/>
                    <w:tr2bl w:val="nil"/>
                  </w:tcBorders>
                  <w:shd w:val="clear" w:color="auto" w:fill="auto"/>
                  <w:vAlign w:val="center"/>
                </w:tcPr>
                <w:p w14:paraId="535391E3">
                  <w:pPr>
                    <w:pStyle w:val="5"/>
                    <w:bidi w:val="0"/>
                    <w:rPr>
                      <w:rFonts w:hint="eastAsia"/>
                      <w:lang w:val="en-US" w:eastAsia="zh-CN"/>
                    </w:rPr>
                  </w:pPr>
                  <w:r>
                    <w:rPr>
                      <w:rFonts w:hint="eastAsia"/>
                    </w:rPr>
                    <w:t>设备运行</w:t>
                  </w:r>
                </w:p>
              </w:tc>
              <w:tc>
                <w:tcPr>
                  <w:tcW w:w="1203" w:type="pct"/>
                  <w:tcBorders>
                    <w:tl2br w:val="nil"/>
                    <w:tr2bl w:val="nil"/>
                  </w:tcBorders>
                  <w:shd w:val="clear" w:color="auto" w:fill="auto"/>
                  <w:vAlign w:val="center"/>
                </w:tcPr>
                <w:p w14:paraId="1244C432">
                  <w:pPr>
                    <w:pStyle w:val="5"/>
                    <w:bidi w:val="0"/>
                    <w:rPr>
                      <w:rFonts w:hint="eastAsia"/>
                      <w:lang w:val="en-US" w:eastAsia="zh-CN"/>
                    </w:rPr>
                  </w:pPr>
                  <w:r>
                    <w:rPr>
                      <w:rFonts w:hint="eastAsia"/>
                    </w:rPr>
                    <w:t>设备噪声</w:t>
                  </w:r>
                </w:p>
              </w:tc>
              <w:tc>
                <w:tcPr>
                  <w:tcW w:w="1429" w:type="pct"/>
                  <w:tcBorders>
                    <w:tl2br w:val="nil"/>
                    <w:tr2bl w:val="nil"/>
                  </w:tcBorders>
                  <w:shd w:val="clear" w:color="auto" w:fill="auto"/>
                  <w:vAlign w:val="center"/>
                </w:tcPr>
                <w:p w14:paraId="1611287C">
                  <w:pPr>
                    <w:pStyle w:val="5"/>
                    <w:bidi w:val="0"/>
                    <w:rPr>
                      <w:rFonts w:hint="eastAsia"/>
                      <w:lang w:val="en-US" w:eastAsia="zh-CN"/>
                    </w:rPr>
                  </w:pPr>
                  <w:r>
                    <w:rPr>
                      <w:rFonts w:hint="eastAsia"/>
                    </w:rPr>
                    <w:t>噪声</w:t>
                  </w:r>
                </w:p>
              </w:tc>
              <w:tc>
                <w:tcPr>
                  <w:tcW w:w="826" w:type="pct"/>
                  <w:tcBorders>
                    <w:tl2br w:val="nil"/>
                    <w:tr2bl w:val="nil"/>
                  </w:tcBorders>
                  <w:shd w:val="clear" w:color="auto" w:fill="auto"/>
                  <w:vAlign w:val="center"/>
                </w:tcPr>
                <w:p w14:paraId="79A25AF7">
                  <w:pPr>
                    <w:pStyle w:val="5"/>
                    <w:bidi w:val="0"/>
                    <w:rPr>
                      <w:rFonts w:hint="eastAsia"/>
                      <w:lang w:val="en-US" w:eastAsia="zh-CN"/>
                    </w:rPr>
                  </w:pPr>
                  <w:r>
                    <w:rPr>
                      <w:rFonts w:hint="eastAsia"/>
                      <w:lang w:val="en-US" w:eastAsia="zh-CN"/>
                    </w:rPr>
                    <w:t>增加</w:t>
                  </w:r>
                </w:p>
              </w:tc>
            </w:tr>
            <w:tr w14:paraId="09399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restart"/>
                  <w:tcBorders>
                    <w:tl2br w:val="nil"/>
                    <w:tr2bl w:val="nil"/>
                  </w:tcBorders>
                  <w:shd w:val="clear" w:color="auto" w:fill="auto"/>
                  <w:vAlign w:val="center"/>
                </w:tcPr>
                <w:p w14:paraId="36B621BD">
                  <w:pPr>
                    <w:pStyle w:val="5"/>
                    <w:bidi w:val="0"/>
                    <w:rPr>
                      <w:rFonts w:hint="eastAsia"/>
                      <w:lang w:val="en-US" w:eastAsia="zh-CN"/>
                    </w:rPr>
                  </w:pPr>
                  <w:r>
                    <w:rPr>
                      <w:rFonts w:hint="eastAsia"/>
                      <w:lang w:val="en-US" w:eastAsia="zh-CN"/>
                    </w:rPr>
                    <w:t>固废</w:t>
                  </w:r>
                </w:p>
              </w:tc>
              <w:tc>
                <w:tcPr>
                  <w:tcW w:w="916" w:type="pct"/>
                  <w:tcBorders>
                    <w:tl2br w:val="nil"/>
                    <w:tr2bl w:val="nil"/>
                  </w:tcBorders>
                  <w:shd w:val="clear" w:color="auto" w:fill="auto"/>
                  <w:vAlign w:val="center"/>
                </w:tcPr>
                <w:p w14:paraId="708AACD2">
                  <w:pPr>
                    <w:pStyle w:val="5"/>
                    <w:bidi w:val="0"/>
                    <w:ind w:firstLine="0" w:firstLineChars="0"/>
                    <w:rPr>
                      <w:rFonts w:hint="default"/>
                      <w:lang w:val="en-US" w:eastAsia="zh-CN"/>
                    </w:rPr>
                  </w:pPr>
                  <w:r>
                    <w:rPr>
                      <w:rFonts w:hint="eastAsia"/>
                      <w:lang w:val="en-US" w:eastAsia="zh-CN"/>
                    </w:rPr>
                    <w:t>办公</w:t>
                  </w:r>
                </w:p>
              </w:tc>
              <w:tc>
                <w:tcPr>
                  <w:tcW w:w="1203" w:type="pct"/>
                  <w:tcBorders>
                    <w:tl2br w:val="nil"/>
                    <w:tr2bl w:val="nil"/>
                  </w:tcBorders>
                  <w:shd w:val="clear" w:color="auto" w:fill="auto"/>
                  <w:vAlign w:val="center"/>
                </w:tcPr>
                <w:p w14:paraId="36CE9A45">
                  <w:pPr>
                    <w:pStyle w:val="5"/>
                    <w:bidi w:val="0"/>
                    <w:ind w:firstLine="0" w:firstLineChars="0"/>
                    <w:rPr>
                      <w:rFonts w:hint="default"/>
                      <w:lang w:val="en-US" w:eastAsia="zh-CN"/>
                    </w:rPr>
                  </w:pPr>
                  <w:r>
                    <w:rPr>
                      <w:rFonts w:hint="eastAsia"/>
                      <w:lang w:val="en-US" w:eastAsia="zh-CN"/>
                    </w:rPr>
                    <w:t>生活垃圾</w:t>
                  </w:r>
                </w:p>
              </w:tc>
              <w:tc>
                <w:tcPr>
                  <w:tcW w:w="1429" w:type="pct"/>
                  <w:tcBorders>
                    <w:tl2br w:val="nil"/>
                    <w:tr2bl w:val="nil"/>
                  </w:tcBorders>
                  <w:shd w:val="clear" w:color="auto" w:fill="auto"/>
                  <w:vAlign w:val="center"/>
                </w:tcPr>
                <w:p w14:paraId="2B3EE0C3">
                  <w:pPr>
                    <w:pStyle w:val="5"/>
                    <w:bidi w:val="0"/>
                    <w:rPr>
                      <w:rFonts w:hint="default"/>
                      <w:lang w:val="en-US" w:eastAsia="zh-CN"/>
                    </w:rPr>
                  </w:pPr>
                  <w:r>
                    <w:rPr>
                      <w:rFonts w:hint="eastAsia"/>
                      <w:lang w:val="en-US" w:eastAsia="zh-CN"/>
                    </w:rPr>
                    <w:t>生活垃圾</w:t>
                  </w:r>
                </w:p>
              </w:tc>
              <w:tc>
                <w:tcPr>
                  <w:tcW w:w="826" w:type="pct"/>
                  <w:tcBorders>
                    <w:tl2br w:val="nil"/>
                    <w:tr2bl w:val="nil"/>
                  </w:tcBorders>
                  <w:shd w:val="clear" w:color="auto" w:fill="auto"/>
                  <w:vAlign w:val="center"/>
                </w:tcPr>
                <w:p w14:paraId="0C1592A9">
                  <w:pPr>
                    <w:pStyle w:val="5"/>
                    <w:bidi w:val="0"/>
                    <w:rPr>
                      <w:rFonts w:hint="default"/>
                      <w:lang w:val="en-US" w:eastAsia="zh-CN"/>
                    </w:rPr>
                  </w:pPr>
                  <w:r>
                    <w:rPr>
                      <w:rFonts w:hint="eastAsia"/>
                      <w:lang w:val="en-US" w:eastAsia="zh-CN"/>
                    </w:rPr>
                    <w:t>无变化</w:t>
                  </w:r>
                </w:p>
              </w:tc>
            </w:tr>
            <w:tr w14:paraId="07071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continue"/>
                  <w:tcBorders>
                    <w:tl2br w:val="nil"/>
                    <w:tr2bl w:val="nil"/>
                  </w:tcBorders>
                  <w:shd w:val="clear" w:color="auto" w:fill="auto"/>
                  <w:vAlign w:val="center"/>
                </w:tcPr>
                <w:p w14:paraId="47B24A32">
                  <w:pPr>
                    <w:pStyle w:val="5"/>
                    <w:bidi w:val="0"/>
                    <w:rPr>
                      <w:rFonts w:hint="eastAsia"/>
                      <w:lang w:val="en-US" w:eastAsia="zh-CN"/>
                    </w:rPr>
                  </w:pPr>
                </w:p>
              </w:tc>
              <w:tc>
                <w:tcPr>
                  <w:tcW w:w="916" w:type="pct"/>
                  <w:tcBorders>
                    <w:tl2br w:val="nil"/>
                    <w:tr2bl w:val="nil"/>
                  </w:tcBorders>
                  <w:shd w:val="clear" w:color="auto" w:fill="auto"/>
                  <w:vAlign w:val="center"/>
                </w:tcPr>
                <w:p w14:paraId="5EE0D0DA">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点胶</w:t>
                  </w:r>
                </w:p>
              </w:tc>
              <w:tc>
                <w:tcPr>
                  <w:tcW w:w="1203" w:type="pct"/>
                  <w:tcBorders>
                    <w:tl2br w:val="nil"/>
                    <w:tr2bl w:val="nil"/>
                  </w:tcBorders>
                  <w:shd w:val="clear" w:color="auto" w:fill="auto"/>
                  <w:vAlign w:val="center"/>
                </w:tcPr>
                <w:p w14:paraId="195F167F">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废包装材料</w:t>
                  </w:r>
                </w:p>
              </w:tc>
              <w:tc>
                <w:tcPr>
                  <w:tcW w:w="1429" w:type="pct"/>
                  <w:tcBorders>
                    <w:tl2br w:val="nil"/>
                    <w:tr2bl w:val="nil"/>
                  </w:tcBorders>
                  <w:shd w:val="clear" w:color="auto" w:fill="auto"/>
                  <w:vAlign w:val="center"/>
                </w:tcPr>
                <w:p w14:paraId="0ADD502F">
                  <w:pPr>
                    <w:pStyle w:val="5"/>
                    <w:bidi w:val="0"/>
                    <w:ind w:firstLine="0" w:firstLineChars="0"/>
                    <w:rPr>
                      <w:rFonts w:hint="eastAsia"/>
                    </w:rPr>
                  </w:pPr>
                  <w:r>
                    <w:rPr>
                      <w:rFonts w:hint="eastAsia"/>
                      <w:lang w:val="en-US" w:eastAsia="zh-CN"/>
                    </w:rPr>
                    <w:t>一般固废</w:t>
                  </w:r>
                </w:p>
              </w:tc>
              <w:tc>
                <w:tcPr>
                  <w:tcW w:w="826" w:type="pct"/>
                  <w:tcBorders>
                    <w:tl2br w:val="nil"/>
                    <w:tr2bl w:val="nil"/>
                  </w:tcBorders>
                  <w:shd w:val="clear" w:color="auto" w:fill="auto"/>
                  <w:vAlign w:val="center"/>
                </w:tcPr>
                <w:p w14:paraId="7D792AA3">
                  <w:pPr>
                    <w:pStyle w:val="5"/>
                    <w:bidi w:val="0"/>
                    <w:ind w:firstLine="0" w:firstLineChars="0"/>
                    <w:rPr>
                      <w:rFonts w:hint="eastAsia"/>
                      <w:lang w:val="en-US" w:eastAsia="zh-CN"/>
                    </w:rPr>
                  </w:pPr>
                  <w:r>
                    <w:rPr>
                      <w:rFonts w:hint="eastAsia"/>
                      <w:lang w:val="en-US" w:eastAsia="zh-CN"/>
                    </w:rPr>
                    <w:t>增加</w:t>
                  </w:r>
                </w:p>
              </w:tc>
            </w:tr>
            <w:tr w14:paraId="5C1BE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continue"/>
                  <w:tcBorders>
                    <w:tl2br w:val="nil"/>
                    <w:tr2bl w:val="nil"/>
                  </w:tcBorders>
                  <w:shd w:val="clear" w:color="auto" w:fill="auto"/>
                  <w:vAlign w:val="center"/>
                </w:tcPr>
                <w:p w14:paraId="045302AB">
                  <w:pPr>
                    <w:pStyle w:val="5"/>
                    <w:bidi w:val="0"/>
                    <w:rPr>
                      <w:rFonts w:hint="eastAsia"/>
                      <w:lang w:val="en-US" w:eastAsia="zh-CN"/>
                    </w:rPr>
                  </w:pPr>
                </w:p>
              </w:tc>
              <w:tc>
                <w:tcPr>
                  <w:tcW w:w="916" w:type="pct"/>
                  <w:tcBorders>
                    <w:tl2br w:val="nil"/>
                    <w:tr2bl w:val="nil"/>
                  </w:tcBorders>
                  <w:shd w:val="clear" w:color="auto" w:fill="auto"/>
                  <w:vAlign w:val="center"/>
                </w:tcPr>
                <w:p w14:paraId="0BBC2B83">
                  <w:pPr>
                    <w:pStyle w:val="5"/>
                    <w:bidi w:val="0"/>
                    <w:rPr>
                      <w:rFonts w:hint="default"/>
                      <w:lang w:val="en-US" w:eastAsia="zh-CN"/>
                    </w:rPr>
                  </w:pPr>
                  <w:r>
                    <w:rPr>
                      <w:rFonts w:hint="eastAsia"/>
                      <w:lang w:val="en-US" w:eastAsia="zh-CN"/>
                    </w:rPr>
                    <w:t>分条、裁切</w:t>
                  </w:r>
                </w:p>
              </w:tc>
              <w:tc>
                <w:tcPr>
                  <w:tcW w:w="1203" w:type="pct"/>
                  <w:tcBorders>
                    <w:tl2br w:val="nil"/>
                    <w:tr2bl w:val="nil"/>
                  </w:tcBorders>
                  <w:shd w:val="clear" w:color="auto" w:fill="auto"/>
                  <w:vAlign w:val="center"/>
                </w:tcPr>
                <w:p w14:paraId="3B054B4F">
                  <w:pPr>
                    <w:pStyle w:val="5"/>
                    <w:bidi w:val="0"/>
                    <w:rPr>
                      <w:rFonts w:hint="eastAsia"/>
                      <w:lang w:val="en-US" w:eastAsia="zh-CN"/>
                    </w:rPr>
                  </w:pPr>
                  <w:r>
                    <w:rPr>
                      <w:rFonts w:hint="eastAsia"/>
                      <w:lang w:val="en-US" w:eastAsia="zh-CN"/>
                    </w:rPr>
                    <w:t>边角料</w:t>
                  </w:r>
                </w:p>
              </w:tc>
              <w:tc>
                <w:tcPr>
                  <w:tcW w:w="1429" w:type="pct"/>
                  <w:vMerge w:val="restart"/>
                  <w:tcBorders>
                    <w:tl2br w:val="nil"/>
                    <w:tr2bl w:val="nil"/>
                  </w:tcBorders>
                  <w:shd w:val="clear" w:color="auto" w:fill="auto"/>
                  <w:vAlign w:val="center"/>
                </w:tcPr>
                <w:p w14:paraId="7E9CC296">
                  <w:pPr>
                    <w:pStyle w:val="5"/>
                    <w:bidi w:val="0"/>
                    <w:rPr>
                      <w:rFonts w:hint="eastAsia"/>
                      <w:lang w:val="en-US" w:eastAsia="zh-CN"/>
                    </w:rPr>
                  </w:pPr>
                  <w:r>
                    <w:rPr>
                      <w:rFonts w:hint="eastAsia"/>
                    </w:rPr>
                    <w:t>一般固废</w:t>
                  </w:r>
                </w:p>
              </w:tc>
              <w:tc>
                <w:tcPr>
                  <w:tcW w:w="826" w:type="pct"/>
                  <w:tcBorders>
                    <w:tl2br w:val="nil"/>
                    <w:tr2bl w:val="nil"/>
                  </w:tcBorders>
                  <w:shd w:val="clear" w:color="auto" w:fill="auto"/>
                  <w:vAlign w:val="center"/>
                </w:tcPr>
                <w:p w14:paraId="108F941B">
                  <w:pPr>
                    <w:pStyle w:val="5"/>
                    <w:bidi w:val="0"/>
                    <w:rPr>
                      <w:rFonts w:hint="eastAsia"/>
                      <w:lang w:val="en-US" w:eastAsia="zh-CN"/>
                    </w:rPr>
                  </w:pPr>
                  <w:r>
                    <w:rPr>
                      <w:rFonts w:hint="eastAsia"/>
                      <w:lang w:val="en-US" w:eastAsia="zh-CN"/>
                    </w:rPr>
                    <w:t>无变化</w:t>
                  </w:r>
                </w:p>
              </w:tc>
            </w:tr>
            <w:tr w14:paraId="748C9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continue"/>
                  <w:tcBorders>
                    <w:tl2br w:val="nil"/>
                    <w:tr2bl w:val="nil"/>
                  </w:tcBorders>
                  <w:shd w:val="clear" w:color="auto" w:fill="auto"/>
                  <w:vAlign w:val="center"/>
                </w:tcPr>
                <w:p w14:paraId="10013103">
                  <w:pPr>
                    <w:pStyle w:val="5"/>
                    <w:bidi w:val="0"/>
                    <w:rPr>
                      <w:rFonts w:hint="eastAsia"/>
                    </w:rPr>
                  </w:pPr>
                </w:p>
              </w:tc>
              <w:tc>
                <w:tcPr>
                  <w:tcW w:w="916" w:type="pct"/>
                  <w:tcBorders>
                    <w:tl2br w:val="nil"/>
                    <w:tr2bl w:val="nil"/>
                  </w:tcBorders>
                  <w:shd w:val="clear" w:color="auto" w:fill="auto"/>
                  <w:vAlign w:val="center"/>
                </w:tcPr>
                <w:p w14:paraId="67DCFC38">
                  <w:pPr>
                    <w:pStyle w:val="5"/>
                    <w:bidi w:val="0"/>
                    <w:rPr>
                      <w:rFonts w:hint="default"/>
                      <w:lang w:val="en-US" w:eastAsia="zh-CN"/>
                    </w:rPr>
                  </w:pPr>
                  <w:r>
                    <w:rPr>
                      <w:rFonts w:hint="eastAsia"/>
                      <w:lang w:val="en-US" w:eastAsia="zh-CN"/>
                    </w:rPr>
                    <w:t>点胶</w:t>
                  </w:r>
                </w:p>
              </w:tc>
              <w:tc>
                <w:tcPr>
                  <w:tcW w:w="1203" w:type="pct"/>
                  <w:tcBorders>
                    <w:tl2br w:val="nil"/>
                    <w:tr2bl w:val="nil"/>
                  </w:tcBorders>
                  <w:shd w:val="clear" w:color="auto" w:fill="auto"/>
                  <w:vAlign w:val="center"/>
                </w:tcPr>
                <w:p w14:paraId="03E3CFD0">
                  <w:pPr>
                    <w:pStyle w:val="5"/>
                    <w:bidi w:val="0"/>
                    <w:rPr>
                      <w:rFonts w:hint="eastAsia"/>
                      <w:lang w:val="en-US" w:eastAsia="zh-CN"/>
                    </w:rPr>
                  </w:pPr>
                  <w:r>
                    <w:rPr>
                      <w:rFonts w:hint="eastAsia"/>
                      <w:lang w:val="en-US" w:eastAsia="zh-CN"/>
                    </w:rPr>
                    <w:t>废包装瓶</w:t>
                  </w:r>
                </w:p>
              </w:tc>
              <w:tc>
                <w:tcPr>
                  <w:tcW w:w="1429" w:type="pct"/>
                  <w:tcBorders>
                    <w:tl2br w:val="nil"/>
                    <w:tr2bl w:val="nil"/>
                  </w:tcBorders>
                  <w:shd w:val="clear" w:color="auto" w:fill="auto"/>
                  <w:vAlign w:val="center"/>
                </w:tcPr>
                <w:p w14:paraId="4632B27A">
                  <w:pPr>
                    <w:pStyle w:val="5"/>
                    <w:bidi w:val="0"/>
                    <w:rPr>
                      <w:rFonts w:hint="eastAsia"/>
                      <w:lang w:val="en-US" w:eastAsia="zh-CN"/>
                    </w:rPr>
                  </w:pPr>
                  <w:r>
                    <w:rPr>
                      <w:rFonts w:hint="eastAsia"/>
                      <w:lang w:val="en-US" w:eastAsia="zh-CN"/>
                    </w:rPr>
                    <w:t>危险固废</w:t>
                  </w:r>
                </w:p>
              </w:tc>
              <w:tc>
                <w:tcPr>
                  <w:tcW w:w="826" w:type="pct"/>
                  <w:tcBorders>
                    <w:tl2br w:val="nil"/>
                    <w:tr2bl w:val="nil"/>
                  </w:tcBorders>
                  <w:shd w:val="clear" w:color="auto" w:fill="auto"/>
                  <w:vAlign w:val="center"/>
                </w:tcPr>
                <w:p w14:paraId="7F03723A">
                  <w:pPr>
                    <w:pStyle w:val="5"/>
                    <w:bidi w:val="0"/>
                    <w:rPr>
                      <w:rFonts w:hint="eastAsia"/>
                      <w:lang w:val="en-US" w:eastAsia="zh-CN"/>
                    </w:rPr>
                  </w:pPr>
                  <w:r>
                    <w:rPr>
                      <w:rFonts w:hint="eastAsia"/>
                      <w:lang w:val="en-US" w:eastAsia="zh-CN"/>
                    </w:rPr>
                    <w:t>增加</w:t>
                  </w:r>
                </w:p>
              </w:tc>
            </w:tr>
            <w:tr w14:paraId="2B24A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vMerge w:val="continue"/>
                  <w:tcBorders>
                    <w:tl2br w:val="nil"/>
                    <w:tr2bl w:val="nil"/>
                  </w:tcBorders>
                  <w:shd w:val="clear" w:color="auto" w:fill="auto"/>
                  <w:vAlign w:val="center"/>
                </w:tcPr>
                <w:p w14:paraId="5BA8FF91">
                  <w:pPr>
                    <w:pStyle w:val="5"/>
                    <w:bidi w:val="0"/>
                    <w:rPr>
                      <w:rFonts w:hint="eastAsia"/>
                    </w:rPr>
                  </w:pPr>
                </w:p>
              </w:tc>
              <w:tc>
                <w:tcPr>
                  <w:tcW w:w="916" w:type="pct"/>
                  <w:tcBorders>
                    <w:tl2br w:val="nil"/>
                    <w:tr2bl w:val="nil"/>
                  </w:tcBorders>
                  <w:shd w:val="clear" w:color="auto" w:fill="auto"/>
                  <w:vAlign w:val="center"/>
                </w:tcPr>
                <w:p w14:paraId="68422E4A">
                  <w:pPr>
                    <w:pStyle w:val="5"/>
                    <w:bidi w:val="0"/>
                    <w:rPr>
                      <w:rFonts w:hint="default"/>
                      <w:lang w:val="en-US" w:eastAsia="zh-CN"/>
                    </w:rPr>
                  </w:pPr>
                  <w:r>
                    <w:rPr>
                      <w:rFonts w:hint="eastAsia"/>
                      <w:lang w:val="en-US" w:eastAsia="zh-CN"/>
                    </w:rPr>
                    <w:t>废气处理</w:t>
                  </w:r>
                </w:p>
              </w:tc>
              <w:tc>
                <w:tcPr>
                  <w:tcW w:w="1203" w:type="pct"/>
                  <w:tcBorders>
                    <w:tl2br w:val="nil"/>
                    <w:tr2bl w:val="nil"/>
                  </w:tcBorders>
                  <w:shd w:val="clear" w:color="auto" w:fill="auto"/>
                  <w:vAlign w:val="center"/>
                </w:tcPr>
                <w:p w14:paraId="5BD3571D">
                  <w:pPr>
                    <w:pStyle w:val="5"/>
                    <w:bidi w:val="0"/>
                    <w:rPr>
                      <w:rFonts w:hint="default"/>
                      <w:lang w:val="en-US" w:eastAsia="zh-CN"/>
                    </w:rPr>
                  </w:pPr>
                  <w:r>
                    <w:rPr>
                      <w:rFonts w:hint="eastAsia"/>
                      <w:lang w:val="en-US" w:eastAsia="zh-CN"/>
                    </w:rPr>
                    <w:t>废活性炭</w:t>
                  </w:r>
                </w:p>
              </w:tc>
              <w:tc>
                <w:tcPr>
                  <w:tcW w:w="1429" w:type="pct"/>
                  <w:tcBorders>
                    <w:tl2br w:val="nil"/>
                    <w:tr2bl w:val="nil"/>
                  </w:tcBorders>
                  <w:shd w:val="clear" w:color="auto" w:fill="auto"/>
                  <w:vAlign w:val="center"/>
                </w:tcPr>
                <w:p w14:paraId="05849F47">
                  <w:pPr>
                    <w:pStyle w:val="5"/>
                    <w:bidi w:val="0"/>
                    <w:rPr>
                      <w:rFonts w:hint="default"/>
                      <w:lang w:val="en-US" w:eastAsia="zh-CN"/>
                    </w:rPr>
                  </w:pPr>
                  <w:r>
                    <w:rPr>
                      <w:rFonts w:hint="eastAsia"/>
                      <w:lang w:val="en-US" w:eastAsia="zh-CN"/>
                    </w:rPr>
                    <w:t>危险固废</w:t>
                  </w:r>
                </w:p>
              </w:tc>
              <w:tc>
                <w:tcPr>
                  <w:tcW w:w="826" w:type="pct"/>
                  <w:tcBorders>
                    <w:tl2br w:val="nil"/>
                    <w:tr2bl w:val="nil"/>
                  </w:tcBorders>
                  <w:shd w:val="clear" w:color="auto" w:fill="auto"/>
                  <w:vAlign w:val="center"/>
                </w:tcPr>
                <w:p w14:paraId="122AC18E">
                  <w:pPr>
                    <w:pStyle w:val="5"/>
                    <w:bidi w:val="0"/>
                    <w:rPr>
                      <w:rFonts w:hint="default"/>
                      <w:lang w:val="en-US" w:eastAsia="zh-CN"/>
                    </w:rPr>
                  </w:pPr>
                  <w:r>
                    <w:rPr>
                      <w:rFonts w:hint="eastAsia"/>
                      <w:lang w:val="en-US" w:eastAsia="zh-CN"/>
                    </w:rPr>
                    <w:t>增加</w:t>
                  </w:r>
                </w:p>
              </w:tc>
            </w:tr>
          </w:tbl>
          <w:p w14:paraId="0D4F0643">
            <w:pPr>
              <w:pStyle w:val="38"/>
              <w:ind w:left="0" w:leftChars="0" w:firstLine="0" w:firstLineChars="0"/>
              <w:jc w:val="both"/>
              <w:rPr>
                <w:rFonts w:hint="eastAsia"/>
              </w:rPr>
            </w:pPr>
          </w:p>
        </w:tc>
      </w:tr>
      <w:tr w14:paraId="63E5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223" w:type="pct"/>
            <w:vAlign w:val="center"/>
          </w:tcPr>
          <w:p w14:paraId="1E050C4A">
            <w:pPr>
              <w:pStyle w:val="36"/>
              <w:ind w:left="0" w:leftChars="0" w:firstLine="0" w:firstLineChars="0"/>
              <w:rPr>
                <w:rFonts w:hint="default"/>
                <w:color w:val="auto"/>
                <w:lang w:val="en-US" w:eastAsia="zh-CN"/>
              </w:rPr>
            </w:pPr>
            <w:r>
              <w:rPr>
                <w:rFonts w:hint="eastAsia"/>
                <w:color w:val="auto"/>
                <w:lang w:val="en-US" w:eastAsia="zh-CN"/>
              </w:rPr>
              <w:t>与项目有关的原有环境污染问题</w:t>
            </w:r>
          </w:p>
        </w:tc>
        <w:tc>
          <w:tcPr>
            <w:tcW w:w="4776" w:type="pct"/>
            <w:vAlign w:val="top"/>
          </w:tcPr>
          <w:p w14:paraId="23F8AF2B">
            <w:pPr>
              <w:widowControl/>
              <w:wordWrap/>
              <w:spacing w:line="48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1、现有工程情况</w:t>
            </w:r>
          </w:p>
          <w:p w14:paraId="4A4B5118">
            <w:pPr>
              <w:spacing w:line="480" w:lineRule="auto"/>
              <w:rPr>
                <w:rFonts w:hint="eastAsia" w:eastAsia="宋体"/>
                <w:b/>
                <w:bCs/>
                <w:color w:val="auto"/>
                <w:lang w:val="en-US" w:eastAsia="zh-CN"/>
              </w:rPr>
            </w:pPr>
            <w:r>
              <w:rPr>
                <w:rFonts w:hint="eastAsia"/>
                <w:b/>
                <w:bCs/>
                <w:color w:val="auto"/>
                <w:lang w:val="en-US" w:eastAsia="zh-CN"/>
              </w:rPr>
              <w:t>（1）现有</w:t>
            </w:r>
            <w:r>
              <w:rPr>
                <w:rFonts w:hint="eastAsia"/>
                <w:b/>
                <w:bCs/>
                <w:color w:val="auto"/>
              </w:rPr>
              <w:t>环保手续</w:t>
            </w:r>
            <w:r>
              <w:rPr>
                <w:rFonts w:hint="eastAsia"/>
                <w:b/>
                <w:bCs/>
                <w:color w:val="auto"/>
                <w:lang w:val="en-US" w:eastAsia="zh-CN"/>
              </w:rPr>
              <w:t>情况</w:t>
            </w:r>
          </w:p>
          <w:p w14:paraId="37FD3873">
            <w:pPr>
              <w:bidi w:val="0"/>
              <w:spacing w:line="480" w:lineRule="auto"/>
              <w:ind w:firstLine="480"/>
            </w:pPr>
            <w:r>
              <w:rPr>
                <w:rFonts w:hint="eastAsia"/>
                <w:lang w:val="en-US" w:eastAsia="zh-CN"/>
              </w:rPr>
              <w:t>建设单位现有项目为聚智合众氢能示范项目，已于2024年7月17日在通川区发展和改革局备案（备案号：川投资备【2407-511702-04-01-956857】FGQB-0331号），主要建设内容为氢能源混合动力系统和</w:t>
            </w:r>
            <w:r>
              <w:rPr>
                <w:lang w:val="en-US" w:eastAsia="zh-CN"/>
              </w:rPr>
              <w:t>氢能源两轮车生产线及配套设施</w:t>
            </w:r>
            <w:r>
              <w:rPr>
                <w:rFonts w:hint="eastAsia"/>
                <w:lang w:val="en-US" w:eastAsia="zh-CN"/>
              </w:rPr>
              <w:t>。该项目主要工艺包括：外购零部件进行剪/片/条切、压合、</w:t>
            </w:r>
            <w:r>
              <w:rPr>
                <w:rFonts w:hint="default"/>
                <w:lang w:val="en-US" w:eastAsia="zh-CN"/>
              </w:rPr>
              <w:t>堆叠</w:t>
            </w:r>
            <w:r>
              <w:rPr>
                <w:rFonts w:hint="eastAsia"/>
                <w:lang w:val="en-US" w:eastAsia="zh-CN"/>
              </w:rPr>
              <w:t>、组装生产氢能源混合动力系统和氢能源两轮车。对照《建设项目环境影响评价分类管理名录（2021年版）》中</w:t>
            </w:r>
            <w:r>
              <w:t>“</w:t>
            </w:r>
            <w:r>
              <w:rPr>
                <w:rFonts w:hint="eastAsia"/>
                <w:lang w:val="en-US" w:eastAsia="zh-CN"/>
              </w:rPr>
              <w:t>76－</w:t>
            </w:r>
            <w:r>
              <w:rPr>
                <w:rFonts w:hint="default"/>
                <w:lang w:val="en-US" w:eastAsia="zh-CN"/>
              </w:rPr>
              <w:t>助动车制造377</w:t>
            </w:r>
            <w:r>
              <w:t>”</w:t>
            </w:r>
            <w:r>
              <w:rPr>
                <w:rFonts w:hint="eastAsia"/>
                <w:lang w:val="en-US" w:eastAsia="zh-CN"/>
              </w:rPr>
              <w:t>和“77－电池制造384”，属“仅分割、焊接、组装的”，可不纳入环境影响评价管理，因此未编制环境影响评价报告表。</w:t>
            </w:r>
          </w:p>
          <w:p w14:paraId="68697864">
            <w:pPr>
              <w:spacing w:line="480" w:lineRule="auto"/>
              <w:rPr>
                <w:rFonts w:hint="eastAsia"/>
                <w:b/>
                <w:bCs/>
                <w:color w:val="auto"/>
                <w:lang w:val="en-US" w:eastAsia="zh-CN"/>
              </w:rPr>
            </w:pPr>
            <w:r>
              <w:rPr>
                <w:rFonts w:hint="eastAsia"/>
                <w:b/>
                <w:bCs/>
                <w:color w:val="auto"/>
                <w:lang w:val="en-US" w:eastAsia="zh-CN"/>
              </w:rPr>
              <w:t>（2）现有工程回顾性分析</w:t>
            </w:r>
          </w:p>
          <w:p w14:paraId="7E84DB6F">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both"/>
              <w:textAlignment w:val="auto"/>
            </w:pPr>
            <w:r>
              <w:rPr>
                <w:rFonts w:hint="eastAsia"/>
                <w:b/>
                <w:bCs/>
                <w:color w:val="auto"/>
                <w:lang w:val="en-US" w:eastAsia="zh-CN"/>
              </w:rPr>
              <w:t>①现有氢能源混合动力系统</w:t>
            </w:r>
            <w:r>
              <w:rPr>
                <w:rFonts w:hint="default"/>
                <w:b/>
                <w:bCs/>
                <w:color w:val="auto"/>
                <w:lang w:val="en-US" w:eastAsia="zh-CN"/>
              </w:rPr>
              <w:t>生产工艺流程</w:t>
            </w:r>
          </w:p>
          <w:p w14:paraId="3220316F">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pPr>
            <w:r>
              <w:object>
                <v:shape id="_x0000_i1028" o:spt="75" type="#_x0000_t75" style="height:227.55pt;width:390.9pt;" o:ole="t" filled="f" o:preferrelative="t" stroked="f" coordsize="21600,21600">
                  <v:path/>
                  <v:fill on="f" focussize="0,0"/>
                  <v:stroke on="f"/>
                  <v:imagedata r:id="rId30" o:title=""/>
                  <o:lock v:ext="edit" aspectratio="f"/>
                  <w10:wrap type="none"/>
                  <w10:anchorlock/>
                </v:shape>
                <o:OLEObject Type="Embed" ProgID="Visio.Drawing.15" ShapeID="_x0000_i1028" DrawAspect="Content" ObjectID="_1468075728" r:id="rId29">
                  <o:LockedField>false</o:LockedField>
                </o:OLEObject>
              </w:object>
            </w:r>
          </w:p>
          <w:p w14:paraId="38608F0A">
            <w:pPr>
              <w:pStyle w:val="7"/>
              <w:bidi w:val="0"/>
              <w:rPr>
                <w:rFonts w:hint="eastAsia"/>
                <w:lang w:val="en-US" w:eastAsia="zh-CN"/>
              </w:rPr>
            </w:pPr>
            <w:r>
              <w:rPr>
                <w:rFonts w:hint="eastAsia"/>
                <w:lang w:val="en-US" w:eastAsia="zh-CN"/>
              </w:rPr>
              <w:t>图2-5  现有氢能源混合动力系统工艺流程图</w:t>
            </w:r>
          </w:p>
          <w:p w14:paraId="4C7C6D3E">
            <w:pPr>
              <w:spacing w:line="480" w:lineRule="auto"/>
              <w:ind w:firstLine="480"/>
              <w:jc w:val="both"/>
              <w:rPr>
                <w:b/>
                <w:bCs/>
              </w:rPr>
            </w:pPr>
            <w:r>
              <w:rPr>
                <w:rFonts w:hint="eastAsia"/>
                <w:b/>
                <w:bCs/>
                <w:lang w:val="en-US" w:eastAsia="zh-CN"/>
              </w:rPr>
              <w:t>膜电极</w:t>
            </w:r>
            <w:r>
              <w:rPr>
                <w:b/>
                <w:bCs/>
              </w:rPr>
              <w:t>工艺</w:t>
            </w:r>
            <w:r>
              <w:rPr>
                <w:rFonts w:hint="eastAsia"/>
                <w:b/>
                <w:bCs/>
                <w:lang w:val="en-US" w:eastAsia="zh-CN"/>
              </w:rPr>
              <w:t>流程简述</w:t>
            </w:r>
            <w:r>
              <w:rPr>
                <w:b/>
                <w:bCs/>
              </w:rPr>
              <w:t>：</w:t>
            </w:r>
          </w:p>
          <w:p w14:paraId="7C7D0886">
            <w:pPr>
              <w:spacing w:line="480" w:lineRule="auto"/>
              <w:ind w:firstLine="480"/>
              <w:jc w:val="both"/>
              <w:rPr>
                <w:rFonts w:hint="default"/>
                <w:u w:val="single"/>
                <w:lang w:val="en-US" w:eastAsia="zh-CN"/>
              </w:rPr>
            </w:pPr>
            <w:r>
              <w:rPr>
                <w:rFonts w:hint="eastAsia"/>
                <w:lang w:val="en-US" w:eastAsia="zh-CN"/>
              </w:rPr>
              <w:t>①分条：</w:t>
            </w:r>
            <w:r>
              <w:rPr>
                <w:rFonts w:hint="eastAsia"/>
                <w:color w:val="auto"/>
              </w:rPr>
              <w:t>用</w:t>
            </w:r>
            <w:r>
              <w:rPr>
                <w:rFonts w:hint="eastAsia"/>
                <w:color w:val="auto"/>
                <w:lang w:val="en-US" w:eastAsia="zh-CN"/>
              </w:rPr>
              <w:t>分条</w:t>
            </w:r>
            <w:r>
              <w:rPr>
                <w:rFonts w:hint="eastAsia"/>
                <w:color w:val="auto"/>
              </w:rPr>
              <w:t>机对</w:t>
            </w:r>
            <w:r>
              <w:rPr>
                <w:rFonts w:hint="eastAsia"/>
                <w:lang w:val="en-US" w:eastAsia="zh-CN"/>
              </w:rPr>
              <w:t>整张全氟磺酸膜进行分条，得到长条状的全氟磺酸膜。</w:t>
            </w:r>
            <w:r>
              <w:rPr>
                <w:color w:val="auto"/>
                <w:u w:val="single"/>
              </w:rPr>
              <w:t>在此过程中产生</w:t>
            </w:r>
            <w:r>
              <w:rPr>
                <w:rFonts w:hint="eastAsia"/>
                <w:u w:val="single"/>
                <w:lang w:val="en-US" w:eastAsia="zh-CN"/>
              </w:rPr>
              <w:t>全氟磺酸膜边角料、噪声。</w:t>
            </w:r>
          </w:p>
          <w:p w14:paraId="41288A8B">
            <w:pPr>
              <w:spacing w:line="480" w:lineRule="auto"/>
              <w:ind w:firstLine="480"/>
              <w:jc w:val="both"/>
              <w:rPr>
                <w:rFonts w:hint="default"/>
                <w:u w:val="single"/>
                <w:lang w:val="en-US" w:eastAsia="zh-CN"/>
              </w:rPr>
            </w:pPr>
            <w:r>
              <w:rPr>
                <w:rFonts w:hint="eastAsia"/>
                <w:lang w:val="en-US" w:eastAsia="zh-CN"/>
              </w:rPr>
              <w:t>②裁切：</w:t>
            </w:r>
            <w:r>
              <w:rPr>
                <w:rFonts w:hint="eastAsia"/>
                <w:color w:val="auto"/>
              </w:rPr>
              <w:t>用</w:t>
            </w:r>
            <w:r>
              <w:rPr>
                <w:rFonts w:hint="eastAsia"/>
                <w:color w:val="auto"/>
                <w:lang w:val="en-US" w:eastAsia="zh-CN"/>
              </w:rPr>
              <w:t>裁切</w:t>
            </w:r>
            <w:r>
              <w:rPr>
                <w:rFonts w:hint="eastAsia"/>
                <w:color w:val="auto"/>
              </w:rPr>
              <w:t>机</w:t>
            </w:r>
            <w:r>
              <w:rPr>
                <w:rFonts w:hint="eastAsia"/>
                <w:lang w:val="en-US" w:eastAsia="zh-CN"/>
              </w:rPr>
              <w:t>将长条全氟磺酸膜切割成长方形的片状全氟磺酸膜。</w:t>
            </w:r>
            <w:r>
              <w:rPr>
                <w:color w:val="auto"/>
                <w:u w:val="single"/>
              </w:rPr>
              <w:t>在此过程中产生</w:t>
            </w:r>
            <w:r>
              <w:rPr>
                <w:rFonts w:hint="eastAsia"/>
                <w:u w:val="single"/>
                <w:lang w:val="en-US" w:eastAsia="zh-CN"/>
              </w:rPr>
              <w:t>全氟磺酸膜边角料、噪声。</w:t>
            </w:r>
          </w:p>
          <w:p w14:paraId="55D71EC5">
            <w:pPr>
              <w:spacing w:line="480" w:lineRule="auto"/>
              <w:ind w:firstLine="480"/>
              <w:jc w:val="both"/>
              <w:rPr>
                <w:rFonts w:hint="default"/>
                <w:u w:val="single"/>
                <w:lang w:val="en-US" w:eastAsia="zh-CN"/>
              </w:rPr>
            </w:pPr>
            <w:r>
              <w:rPr>
                <w:rFonts w:hint="eastAsia"/>
                <w:lang w:val="en-US" w:eastAsia="zh-CN"/>
              </w:rPr>
              <w:t>③五合一封装：用五合一密封机将长方形状的全氟磺酸膜、碳纸、碳布等进行封装，形成五合一膜电极。</w:t>
            </w:r>
            <w:r>
              <w:rPr>
                <w:color w:val="auto"/>
                <w:u w:val="single"/>
              </w:rPr>
              <w:t>在此过程中产生</w:t>
            </w:r>
            <w:r>
              <w:rPr>
                <w:rFonts w:hint="eastAsia"/>
                <w:u w:val="single"/>
                <w:lang w:val="en-US" w:eastAsia="zh-CN"/>
              </w:rPr>
              <w:t>噪声、废包装材料。</w:t>
            </w:r>
          </w:p>
          <w:p w14:paraId="3EC8B28D">
            <w:pPr>
              <w:spacing w:line="480" w:lineRule="auto"/>
              <w:ind w:firstLine="480"/>
              <w:jc w:val="both"/>
              <w:rPr>
                <w:rFonts w:hint="eastAsia"/>
                <w:u w:val="single"/>
                <w:lang w:val="en-US" w:eastAsia="zh-CN"/>
              </w:rPr>
            </w:pPr>
            <w:r>
              <w:rPr>
                <w:rFonts w:hint="eastAsia"/>
                <w:lang w:val="en-US" w:eastAsia="zh-CN"/>
              </w:rPr>
              <w:t>④七合一封装：用七合一密封机将五合一膜电极、密封圈、边框等进行封装，形成七合一膜电极。</w:t>
            </w:r>
            <w:r>
              <w:rPr>
                <w:color w:val="auto"/>
                <w:u w:val="single"/>
              </w:rPr>
              <w:t>在此过程中产生</w:t>
            </w:r>
            <w:r>
              <w:rPr>
                <w:rFonts w:hint="eastAsia"/>
                <w:u w:val="single"/>
                <w:lang w:val="en-US" w:eastAsia="zh-CN"/>
              </w:rPr>
              <w:t>噪声、废包装材料。</w:t>
            </w:r>
          </w:p>
          <w:p w14:paraId="14C8C8AD">
            <w:pPr>
              <w:spacing w:line="480" w:lineRule="auto"/>
              <w:ind w:firstLine="480"/>
              <w:jc w:val="both"/>
              <w:rPr>
                <w:rFonts w:hint="eastAsia" w:ascii="Times New Roman" w:hAnsi="Times New Roman"/>
                <w:b w:val="0"/>
                <w:bCs w:val="0"/>
                <w:u w:val="single"/>
                <w:lang w:val="en-US" w:eastAsia="zh-CN"/>
              </w:rPr>
            </w:pPr>
            <w:r>
              <w:rPr>
                <w:rFonts w:hint="eastAsia"/>
                <w:u w:val="none"/>
                <w:lang w:val="en-US" w:eastAsia="zh-CN"/>
              </w:rPr>
              <w:t>⑤气密性检测：将组装形成的七</w:t>
            </w:r>
            <w:r>
              <w:rPr>
                <w:rFonts w:hint="eastAsia"/>
                <w:lang w:val="en-US" w:eastAsia="zh-CN"/>
              </w:rPr>
              <w:t>合一膜电极放入气密性检测机进行气密性检测</w:t>
            </w:r>
            <w:r>
              <w:rPr>
                <w:rFonts w:hint="eastAsia" w:ascii="Times New Roman" w:hAnsi="Times New Roman"/>
                <w:b/>
                <w:bCs/>
                <w:lang w:val="en-US" w:eastAsia="zh-CN"/>
              </w:rPr>
              <w:t>。</w:t>
            </w:r>
            <w:r>
              <w:rPr>
                <w:rFonts w:ascii="Times New Roman" w:hAnsi="Times New Roman"/>
                <w:b w:val="0"/>
                <w:bCs w:val="0"/>
                <w:u w:val="single"/>
              </w:rPr>
              <w:t>在此过程中产生</w:t>
            </w:r>
            <w:r>
              <w:rPr>
                <w:rFonts w:hint="eastAsia" w:ascii="Times New Roman" w:hAnsi="Times New Roman"/>
                <w:b w:val="0"/>
                <w:bCs w:val="0"/>
                <w:u w:val="single"/>
                <w:lang w:val="en-US" w:eastAsia="zh-CN"/>
              </w:rPr>
              <w:t>噪声。</w:t>
            </w:r>
          </w:p>
          <w:p w14:paraId="1AAA2904">
            <w:pPr>
              <w:spacing w:line="480" w:lineRule="auto"/>
              <w:ind w:firstLine="480"/>
              <w:jc w:val="both"/>
              <w:rPr>
                <w:rFonts w:hint="eastAsia" w:ascii="Times New Roman" w:hAnsi="Times New Roman"/>
                <w:b/>
                <w:bCs/>
                <w:lang w:val="en-US" w:eastAsia="zh-CN"/>
              </w:rPr>
            </w:pPr>
            <w:r>
              <w:rPr>
                <w:rFonts w:hint="eastAsia" w:ascii="Times New Roman" w:hAnsi="Times New Roman"/>
                <w:b/>
                <w:bCs/>
                <w:lang w:val="en-US" w:eastAsia="zh-CN"/>
              </w:rPr>
              <w:t>双极板工艺流程简述：</w:t>
            </w:r>
          </w:p>
          <w:p w14:paraId="1B12B8B8">
            <w:pPr>
              <w:spacing w:line="480" w:lineRule="auto"/>
              <w:ind w:firstLine="480"/>
              <w:jc w:val="both"/>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将外购石墨极板压实，用</w:t>
            </w:r>
            <w:r>
              <w:rPr>
                <w:rFonts w:hint="eastAsia"/>
                <w:color w:val="000000" w:themeColor="text1"/>
                <w:highlight w:val="none"/>
                <w:u w:val="none"/>
                <w:lang w:val="en-US" w:eastAsia="zh-CN"/>
                <w14:textFill>
                  <w14:solidFill>
                    <w14:schemeClr w14:val="tx1"/>
                  </w14:solidFill>
                </w14:textFill>
              </w:rPr>
              <w:t>密封圈将极板</w:t>
            </w:r>
            <w:r>
              <w:rPr>
                <w:rFonts w:hint="eastAsia"/>
                <w:color w:val="000000" w:themeColor="text1"/>
                <w:u w:val="none"/>
                <w:lang w:val="en-US" w:eastAsia="zh-CN"/>
                <w14:textFill>
                  <w14:solidFill>
                    <w14:schemeClr w14:val="tx1"/>
                  </w14:solidFill>
                </w14:textFill>
              </w:rPr>
              <w:t>的边缘密封，形成双极板，并对其进行气密性检测。</w:t>
            </w:r>
            <w:r>
              <w:rPr>
                <w:rFonts w:hint="eastAsia"/>
                <w:lang w:val="en-US" w:eastAsia="zh-CN"/>
              </w:rPr>
              <w:t>在此工程产生废包装材料。</w:t>
            </w:r>
          </w:p>
          <w:p w14:paraId="51CEE731">
            <w:pPr>
              <w:spacing w:line="480" w:lineRule="auto"/>
              <w:rPr>
                <w:rFonts w:hint="default"/>
                <w:b/>
                <w:bCs/>
                <w:color w:val="auto"/>
                <w:lang w:val="en-US" w:eastAsia="zh-CN"/>
              </w:rPr>
            </w:pPr>
            <w:r>
              <w:rPr>
                <w:rFonts w:hint="eastAsia" w:eastAsiaTheme="minorEastAsia" w:cstheme="minorBidi"/>
                <w:b/>
                <w:bCs/>
                <w:sz w:val="24"/>
                <w:szCs w:val="24"/>
                <w:lang w:val="en-US" w:eastAsia="zh-CN"/>
              </w:rPr>
              <w:t>②</w:t>
            </w:r>
            <w:r>
              <w:rPr>
                <w:rFonts w:hint="eastAsia"/>
                <w:b/>
                <w:bCs/>
                <w:color w:val="auto"/>
                <w:lang w:val="en-US" w:eastAsia="zh-CN"/>
              </w:rPr>
              <w:t>现有氢能源两轮车</w:t>
            </w:r>
            <w:r>
              <w:rPr>
                <w:rFonts w:hint="default"/>
                <w:b/>
                <w:bCs/>
                <w:color w:val="auto"/>
                <w:lang w:val="en-US" w:eastAsia="zh-CN"/>
              </w:rPr>
              <w:t>生产工艺流程</w:t>
            </w:r>
          </w:p>
          <w:p w14:paraId="4F2E4317">
            <w:pPr>
              <w:pStyle w:val="7"/>
              <w:keepNext w:val="0"/>
              <w:keepLines w:val="0"/>
              <w:pageBreakBefore w:val="0"/>
              <w:widowControl w:val="0"/>
              <w:kinsoku/>
              <w:wordWrap/>
              <w:overflowPunct/>
              <w:topLinePunct w:val="0"/>
              <w:autoSpaceDE/>
              <w:autoSpaceDN/>
              <w:bidi w:val="0"/>
              <w:adjustRightInd/>
              <w:snapToGrid/>
              <w:ind w:firstLineChars="0"/>
              <w:jc w:val="center"/>
              <w:textAlignment w:val="auto"/>
            </w:pPr>
            <w:r>
              <w:object>
                <v:shape id="_x0000_i1029" o:spt="75" type="#_x0000_t75" style="height:475.8pt;width:403.25pt;" o:ole="t" filled="f" o:preferrelative="t" stroked="f" coordsize="21600,21600">
                  <v:path/>
                  <v:fill on="f" focussize="0,0"/>
                  <v:stroke on="f"/>
                  <v:imagedata r:id="rId32" o:title=""/>
                  <o:lock v:ext="edit" aspectratio="f"/>
                  <w10:wrap type="none"/>
                  <w10:anchorlock/>
                </v:shape>
                <o:OLEObject Type="Embed" ProgID="Visio.Drawing.15" ShapeID="_x0000_i1029" DrawAspect="Content" ObjectID="_1468075729" r:id="rId31">
                  <o:LockedField>false</o:LockedField>
                </o:OLEObject>
              </w:object>
            </w:r>
          </w:p>
          <w:p w14:paraId="2F2D7F27">
            <w:pPr>
              <w:pStyle w:val="7"/>
              <w:bidi w:val="0"/>
            </w:pPr>
            <w:r>
              <w:rPr>
                <w:rFonts w:hint="eastAsia"/>
                <w:lang w:val="en-US" w:eastAsia="zh-CN"/>
              </w:rPr>
              <w:t>2-6  现有氢能源两轮车工艺流程图</w:t>
            </w:r>
          </w:p>
          <w:p w14:paraId="1CDB2F93">
            <w:pPr>
              <w:adjustRightInd/>
              <w:snapToGrid/>
              <w:spacing w:line="480" w:lineRule="auto"/>
              <w:ind w:firstLine="480"/>
              <w:rPr>
                <w:rFonts w:hint="default" w:ascii="Times New Roman" w:hAnsi="Times New Roman" w:eastAsia="宋体" w:cs="Times New Roman"/>
                <w:b/>
                <w:bCs/>
                <w:snapToGrid w:val="0"/>
                <w:color w:val="auto"/>
                <w:sz w:val="24"/>
                <w:szCs w:val="24"/>
                <w:highlight w:val="none"/>
                <w:lang w:val="en-US" w:eastAsia="zh-CN"/>
              </w:rPr>
            </w:pPr>
            <w:r>
              <w:rPr>
                <w:rFonts w:hint="eastAsia" w:cs="Times New Roman"/>
                <w:b/>
                <w:bCs/>
                <w:snapToGrid w:val="0"/>
                <w:color w:val="auto"/>
                <w:sz w:val="24"/>
                <w:szCs w:val="24"/>
                <w:highlight w:val="none"/>
                <w:lang w:val="en-US" w:eastAsia="zh-CN"/>
              </w:rPr>
              <w:t>现有项目</w:t>
            </w:r>
            <w:r>
              <w:rPr>
                <w:rFonts w:hint="eastAsia"/>
                <w:b/>
                <w:bCs/>
                <w:color w:val="auto"/>
                <w:lang w:val="en-US" w:eastAsia="zh-CN"/>
              </w:rPr>
              <w:t>氢能源两轮车采用自行组装的氢能电池和外购的零部件进行组装加工，不涉及两轮车零部件加工，也不涉及清洗、喷涂等表面处理工序。</w:t>
            </w:r>
          </w:p>
          <w:p w14:paraId="0FAC8390">
            <w:pPr>
              <w:adjustRightInd/>
              <w:snapToGrid/>
              <w:spacing w:line="480" w:lineRule="auto"/>
              <w:ind w:firstLine="480"/>
              <w:rPr>
                <w:rFonts w:hint="default" w:ascii="Times New Roman" w:hAnsi="Times New Roman" w:eastAsia="宋体" w:cs="Times New Roman"/>
                <w:b/>
                <w:bCs/>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rPr>
              <w:t>工艺流程简述：</w:t>
            </w:r>
          </w:p>
          <w:p w14:paraId="097AB814">
            <w:pPr>
              <w:spacing w:line="480" w:lineRule="auto"/>
              <w:ind w:firstLine="480"/>
              <w:jc w:val="both"/>
              <w:rPr>
                <w:rFonts w:hint="eastAsia"/>
                <w:u w:val="single"/>
                <w:lang w:val="en-US" w:eastAsia="zh-CN"/>
              </w:rPr>
            </w:pPr>
            <w:r>
              <w:rPr>
                <w:rFonts w:hint="eastAsia"/>
                <w:lang w:val="en-US" w:eastAsia="zh-CN"/>
              </w:rPr>
              <w:t>①</w:t>
            </w:r>
            <w:r>
              <w:t>车架与底盘</w:t>
            </w:r>
            <w:r>
              <w:rPr>
                <w:rFonts w:hint="eastAsia"/>
                <w:lang w:val="en-US" w:eastAsia="zh-CN"/>
              </w:rPr>
              <w:t>的安装</w:t>
            </w:r>
            <w:r>
              <w:rPr>
                <w:rFonts w:hint="eastAsia"/>
                <w:lang w:eastAsia="zh-CN"/>
              </w:rPr>
              <w:t>：</w:t>
            </w:r>
            <w:r>
              <w:t>安装方向柱压力轴承，涂抹黄油，并加装防尘罩</w:t>
            </w:r>
            <w:r>
              <w:rPr>
                <w:rFonts w:hint="eastAsia"/>
                <w:lang w:eastAsia="zh-CN"/>
              </w:rPr>
              <w:t>；</w:t>
            </w:r>
            <w:r>
              <w:t>固定大撑架</w:t>
            </w:r>
            <w:r>
              <w:rPr>
                <w:rFonts w:hint="eastAsia"/>
                <w:lang w:val="en-US" w:eastAsia="zh-CN"/>
              </w:rPr>
              <w:t>等</w:t>
            </w:r>
            <w:r>
              <w:t>，连接后减震器</w:t>
            </w:r>
            <w:r>
              <w:rPr>
                <w:rFonts w:hint="eastAsia"/>
                <w:lang w:eastAsia="zh-CN"/>
              </w:rPr>
              <w:t>；</w:t>
            </w:r>
            <w:r>
              <w:t>组装轮毂与轮胎</w:t>
            </w:r>
            <w:r>
              <w:rPr>
                <w:rFonts w:hint="eastAsia"/>
                <w:lang w:eastAsia="zh-CN"/>
              </w:rPr>
              <w:t>；</w:t>
            </w:r>
            <w:r>
              <w:t>安装碟刹盘，固定前减震器</w:t>
            </w:r>
            <w:r>
              <w:rPr>
                <w:rFonts w:hint="eastAsia"/>
                <w:lang w:eastAsia="zh-CN"/>
              </w:rPr>
              <w:t>。</w:t>
            </w:r>
            <w:r>
              <w:t>将轮毂电机嵌入平叉，紧固轴螺母</w:t>
            </w:r>
            <w:r>
              <w:rPr>
                <w:rFonts w:hint="eastAsia"/>
                <w:lang w:eastAsia="zh-CN"/>
              </w:rPr>
              <w:t>；</w:t>
            </w:r>
            <w:r>
              <w:t>连接电机三相线至控制器，使电机能够正常运转。</w:t>
            </w:r>
            <w:r>
              <w:rPr>
                <w:color w:val="auto"/>
                <w:u w:val="single"/>
              </w:rPr>
              <w:t>在此过程中产生</w:t>
            </w:r>
            <w:r>
              <w:rPr>
                <w:rFonts w:hint="eastAsia"/>
                <w:u w:val="single"/>
                <w:lang w:val="en-US" w:eastAsia="zh-CN"/>
              </w:rPr>
              <w:t>废包装物、噪声。</w:t>
            </w:r>
          </w:p>
          <w:p w14:paraId="43567B29">
            <w:pPr>
              <w:spacing w:line="480" w:lineRule="auto"/>
              <w:ind w:firstLine="480"/>
              <w:jc w:val="both"/>
              <w:rPr>
                <w:rFonts w:hint="eastAsia"/>
                <w:u w:val="single"/>
                <w:lang w:val="en-US" w:eastAsia="zh-CN"/>
              </w:rPr>
            </w:pPr>
            <w:r>
              <w:rPr>
                <w:rFonts w:hint="eastAsia"/>
                <w:lang w:val="en-US" w:eastAsia="zh-CN"/>
              </w:rPr>
              <w:t>②</w:t>
            </w:r>
            <w:r>
              <w:t>操控系统</w:t>
            </w:r>
            <w:r>
              <w:rPr>
                <w:rFonts w:hint="eastAsia"/>
                <w:lang w:val="en-US" w:eastAsia="zh-CN"/>
              </w:rPr>
              <w:t>的安装</w:t>
            </w:r>
            <w:r>
              <w:rPr>
                <w:rFonts w:hint="eastAsia"/>
                <w:lang w:eastAsia="zh-CN"/>
              </w:rPr>
              <w:t>：</w:t>
            </w:r>
            <w:r>
              <w:t>固定车把龙头，安装刹把、转把、P</w:t>
            </w:r>
            <w:r>
              <w:rPr>
                <w:rFonts w:hint="eastAsia"/>
                <w:lang w:eastAsia="zh-CN"/>
              </w:rPr>
              <w:t>挡</w:t>
            </w:r>
            <w:r>
              <w:t>开关</w:t>
            </w:r>
            <w:r>
              <w:rPr>
                <w:rFonts w:hint="eastAsia"/>
                <w:lang w:eastAsia="zh-CN"/>
              </w:rPr>
              <w:t>；</w:t>
            </w:r>
            <w:r>
              <w:t>连接仪表盘线束，嵌入塑件外壳</w:t>
            </w:r>
            <w:r>
              <w:rPr>
                <w:rFonts w:hint="eastAsia"/>
                <w:lang w:eastAsia="zh-CN"/>
              </w:rPr>
              <w:t>；</w:t>
            </w:r>
            <w:r>
              <w:t>控制器固定于车架底部或</w:t>
            </w:r>
            <w:r>
              <w:rPr>
                <w:rFonts w:hint="eastAsia"/>
                <w:lang w:eastAsia="zh-CN"/>
              </w:rPr>
              <w:t>座</w:t>
            </w:r>
            <w:r>
              <w:t>桶下方。全车线束沿车架预埋槽布线，用扎带固定</w:t>
            </w:r>
            <w:r>
              <w:rPr>
                <w:rFonts w:hint="eastAsia"/>
                <w:lang w:eastAsia="zh-CN"/>
              </w:rPr>
              <w:t>。</w:t>
            </w:r>
            <w:r>
              <w:rPr>
                <w:color w:val="auto"/>
                <w:u w:val="single"/>
              </w:rPr>
              <w:t>在此过程中产生</w:t>
            </w:r>
            <w:r>
              <w:rPr>
                <w:rFonts w:hint="eastAsia"/>
                <w:u w:val="single"/>
                <w:lang w:val="en-US" w:eastAsia="zh-CN"/>
              </w:rPr>
              <w:t>废包装物、噪声。</w:t>
            </w:r>
          </w:p>
          <w:p w14:paraId="50661491">
            <w:pPr>
              <w:spacing w:line="480" w:lineRule="auto"/>
              <w:ind w:firstLine="480"/>
              <w:jc w:val="both"/>
              <w:rPr>
                <w:rFonts w:hint="eastAsia"/>
                <w:u w:val="single"/>
                <w:lang w:val="en-US" w:eastAsia="zh-CN"/>
              </w:rPr>
            </w:pPr>
            <w:r>
              <w:rPr>
                <w:rFonts w:hint="eastAsia"/>
                <w:lang w:val="en-US" w:eastAsia="zh-CN"/>
              </w:rPr>
              <w:t>③</w:t>
            </w:r>
            <w:r>
              <w:t>电气系统</w:t>
            </w:r>
            <w:r>
              <w:rPr>
                <w:rFonts w:hint="eastAsia"/>
                <w:lang w:val="en-US" w:eastAsia="zh-CN"/>
              </w:rPr>
              <w:t>的安装与连接</w:t>
            </w:r>
            <w:r>
              <w:rPr>
                <w:rFonts w:hint="eastAsia"/>
                <w:lang w:eastAsia="zh-CN"/>
              </w:rPr>
              <w:t>：</w:t>
            </w:r>
            <w:r>
              <w:t>接通电机线、转把信号线、刹车断电线、仪表通讯线。安装转换器、防盗器、LED大灯/尾灯插件。串联空气开关，电门锁连接坐桶开启拉线。</w:t>
            </w:r>
            <w:r>
              <w:rPr>
                <w:color w:val="auto"/>
                <w:u w:val="single"/>
              </w:rPr>
              <w:t>在此过程中产生</w:t>
            </w:r>
            <w:r>
              <w:rPr>
                <w:rFonts w:hint="eastAsia"/>
                <w:u w:val="single"/>
                <w:lang w:val="en-US" w:eastAsia="zh-CN"/>
              </w:rPr>
              <w:t>废包装物、噪声。</w:t>
            </w:r>
          </w:p>
          <w:p w14:paraId="4139C4D0">
            <w:pPr>
              <w:spacing w:line="480" w:lineRule="auto"/>
              <w:ind w:firstLine="480"/>
              <w:jc w:val="both"/>
              <w:rPr>
                <w:rFonts w:hint="eastAsia"/>
                <w:u w:val="single"/>
                <w:lang w:val="en-US" w:eastAsia="zh-CN"/>
              </w:rPr>
            </w:pPr>
            <w:r>
              <w:rPr>
                <w:rFonts w:hint="eastAsia"/>
                <w:lang w:val="en-US" w:eastAsia="zh-CN"/>
              </w:rPr>
              <w:t>④</w:t>
            </w:r>
            <w:r>
              <w:t>外部塑件与装饰件</w:t>
            </w:r>
            <w:r>
              <w:rPr>
                <w:rFonts w:hint="eastAsia"/>
                <w:lang w:val="en-US" w:eastAsia="zh-CN"/>
              </w:rPr>
              <w:t>的安装</w:t>
            </w:r>
            <w:r>
              <w:rPr>
                <w:rFonts w:hint="eastAsia"/>
                <w:lang w:eastAsia="zh-CN"/>
              </w:rPr>
              <w:t>：</w:t>
            </w:r>
            <w:r>
              <w:t>按顺序安装前挡泥板、踏板底壳、侧边条、后尾箱。安装鞍座、反光镜、脚撑。调试刹车线松紧度，确保骑行安全。</w:t>
            </w:r>
            <w:r>
              <w:rPr>
                <w:color w:val="auto"/>
                <w:u w:val="single"/>
              </w:rPr>
              <w:t>在此过程中产生</w:t>
            </w:r>
            <w:r>
              <w:rPr>
                <w:rFonts w:hint="eastAsia"/>
                <w:u w:val="single"/>
                <w:lang w:val="en-US" w:eastAsia="zh-CN"/>
              </w:rPr>
              <w:t>废包装物、噪声。</w:t>
            </w:r>
          </w:p>
          <w:p w14:paraId="69725A94">
            <w:pPr>
              <w:spacing w:line="480" w:lineRule="auto"/>
              <w:ind w:firstLine="480"/>
              <w:jc w:val="both"/>
              <w:rPr>
                <w:rFonts w:hint="eastAsia"/>
                <w:u w:val="single"/>
                <w:lang w:val="en-US" w:eastAsia="zh-CN"/>
              </w:rPr>
            </w:pPr>
            <w:r>
              <w:rPr>
                <w:rFonts w:hint="eastAsia" w:cstheme="minorBidi"/>
                <w:kern w:val="2"/>
                <w:sz w:val="24"/>
                <w:szCs w:val="24"/>
                <w:lang w:val="en-US" w:eastAsia="zh-CN" w:bidi="ar-SA"/>
              </w:rPr>
              <w:t>⑤</w:t>
            </w:r>
            <w:r>
              <w:t>电池安装与调试</w:t>
            </w:r>
            <w:r>
              <w:rPr>
                <w:rFonts w:hint="eastAsia"/>
                <w:lang w:eastAsia="zh-CN"/>
              </w:rPr>
              <w:t>：</w:t>
            </w:r>
            <w:r>
              <w:rPr>
                <w:rFonts w:hint="eastAsia"/>
              </w:rPr>
              <w:t>安装</w:t>
            </w:r>
            <w:r>
              <w:rPr>
                <w:rFonts w:hint="eastAsia"/>
                <w:lang w:val="en-US" w:eastAsia="zh-CN"/>
              </w:rPr>
              <w:t>氢能源混合动力系统</w:t>
            </w:r>
            <w:r>
              <w:rPr>
                <w:rFonts w:hint="eastAsia"/>
              </w:rPr>
              <w:t>模块</w:t>
            </w:r>
            <w:r>
              <w:rPr>
                <w:rFonts w:hint="eastAsia"/>
                <w:lang w:eastAsia="zh-CN"/>
              </w:rPr>
              <w:t>（</w:t>
            </w:r>
            <w:r>
              <w:rPr>
                <w:rFonts w:hint="eastAsia"/>
                <w:lang w:val="en-US" w:eastAsia="zh-CN"/>
              </w:rPr>
              <w:t>自产</w:t>
            </w:r>
            <w:r>
              <w:rPr>
                <w:rFonts w:hint="eastAsia"/>
                <w:lang w:eastAsia="zh-CN"/>
              </w:rPr>
              <w:t>）</w:t>
            </w:r>
            <w:r>
              <w:t>，组成所需的电池组电压。</w:t>
            </w:r>
            <w:r>
              <w:rPr>
                <w:color w:val="auto"/>
                <w:u w:val="single"/>
              </w:rPr>
              <w:t>在此过程中产生</w:t>
            </w:r>
            <w:r>
              <w:rPr>
                <w:rFonts w:hint="eastAsia"/>
                <w:u w:val="single"/>
                <w:lang w:val="en-US" w:eastAsia="zh-CN"/>
              </w:rPr>
              <w:t>噪声。</w:t>
            </w:r>
          </w:p>
          <w:p w14:paraId="679E4436">
            <w:pPr>
              <w:spacing w:line="480" w:lineRule="auto"/>
              <w:ind w:firstLine="480"/>
              <w:jc w:val="both"/>
              <w:rPr>
                <w:rFonts w:hint="eastAsia"/>
                <w:u w:val="single"/>
                <w:lang w:val="en-US" w:eastAsia="zh-CN"/>
              </w:rPr>
            </w:pPr>
            <w:r>
              <w:rPr>
                <w:rFonts w:hint="eastAsia" w:cstheme="minorBidi"/>
                <w:kern w:val="2"/>
                <w:sz w:val="24"/>
                <w:szCs w:val="24"/>
                <w:lang w:val="en-US" w:eastAsia="zh-CN" w:bidi="ar-SA"/>
              </w:rPr>
              <w:t>⑥</w:t>
            </w:r>
            <w:r>
              <w:t>终检与包装：对大灯、转向灯、刹车灯进行通电检查，空转电机，检查车辆动力系统的性能，保证车辆能正常加速和制动。</w:t>
            </w:r>
            <w:r>
              <w:rPr>
                <w:color w:val="auto"/>
                <w:u w:val="single"/>
              </w:rPr>
              <w:t>在此过程中产生</w:t>
            </w:r>
            <w:r>
              <w:rPr>
                <w:rFonts w:hint="eastAsia"/>
                <w:u w:val="single"/>
                <w:lang w:val="en-US" w:eastAsia="zh-CN"/>
              </w:rPr>
              <w:t>噪声。</w:t>
            </w:r>
          </w:p>
          <w:p w14:paraId="7ED3D1A3">
            <w:pPr>
              <w:spacing w:line="480" w:lineRule="auto"/>
              <w:ind w:firstLine="480"/>
              <w:jc w:val="both"/>
              <w:rPr>
                <w:rFonts w:hint="eastAsia"/>
                <w:u w:val="single"/>
                <w:lang w:val="en-US" w:eastAsia="zh-CN"/>
              </w:rPr>
            </w:pPr>
            <w:r>
              <w:rPr>
                <w:rFonts w:hint="eastAsia" w:cstheme="minorBidi"/>
                <w:kern w:val="2"/>
                <w:sz w:val="24"/>
                <w:szCs w:val="24"/>
                <w:lang w:val="en-US" w:eastAsia="zh-CN" w:bidi="ar-SA"/>
              </w:rPr>
              <w:t>⑦</w:t>
            </w:r>
            <w:r>
              <w:t>路试：按照CNAS实验室标准，实测续航、刹车距离，全面检验车辆的整体性能。</w:t>
            </w:r>
            <w:r>
              <w:rPr>
                <w:color w:val="auto"/>
                <w:u w:val="single"/>
              </w:rPr>
              <w:t>在此过程中产生</w:t>
            </w:r>
            <w:r>
              <w:rPr>
                <w:rFonts w:hint="eastAsia"/>
                <w:u w:val="single"/>
                <w:lang w:val="en-US" w:eastAsia="zh-CN"/>
              </w:rPr>
              <w:t>噪声。</w:t>
            </w:r>
          </w:p>
          <w:p w14:paraId="5AD18C78">
            <w:pPr>
              <w:spacing w:line="480" w:lineRule="auto"/>
              <w:ind w:firstLine="480"/>
              <w:jc w:val="both"/>
            </w:pPr>
            <w:r>
              <w:rPr>
                <w:rFonts w:hint="eastAsia" w:cstheme="minorBidi"/>
                <w:kern w:val="2"/>
                <w:sz w:val="24"/>
                <w:szCs w:val="24"/>
                <w:lang w:val="en-US" w:eastAsia="zh-CN" w:bidi="ar-SA"/>
              </w:rPr>
              <w:t>⑧</w:t>
            </w:r>
            <w:r>
              <w:t>包装出厂：裸车用泡沫护架固定，电池分箱运输。采用智能溯源系统，每车独有电子档案，方便对车辆进行质量追溯和售后服务管理。</w:t>
            </w:r>
          </w:p>
          <w:p w14:paraId="2CC11010">
            <w:pPr>
              <w:spacing w:line="480" w:lineRule="auto"/>
              <w:ind w:firstLine="482" w:firstLineChars="200"/>
              <w:rPr>
                <w:rFonts w:hint="eastAsia"/>
                <w:b/>
                <w:bCs/>
                <w:color w:val="auto"/>
                <w:lang w:val="en-US" w:eastAsia="zh-CN"/>
              </w:rPr>
            </w:pPr>
            <w:r>
              <w:rPr>
                <w:rFonts w:hint="eastAsia" w:ascii="Times New Roman" w:hAnsi="Times New Roman" w:eastAsia="宋体" w:cs="Times New Roman"/>
                <w:b/>
                <w:bCs/>
                <w:color w:val="auto"/>
                <w:kern w:val="24"/>
                <w:sz w:val="24"/>
                <w:lang w:val="en-US" w:eastAsia="zh-CN" w:bidi="ar-SA"/>
              </w:rPr>
              <w:t>2、</w:t>
            </w:r>
            <w:r>
              <w:rPr>
                <w:rFonts w:hint="eastAsia"/>
                <w:b/>
                <w:bCs/>
                <w:color w:val="auto"/>
                <w:lang w:val="en-US" w:eastAsia="zh-CN"/>
              </w:rPr>
              <w:t>现有工程主要污染物产生及治理情况</w:t>
            </w:r>
          </w:p>
          <w:p w14:paraId="4938A574">
            <w:pPr>
              <w:spacing w:line="480" w:lineRule="auto"/>
              <w:rPr>
                <w:color w:val="auto"/>
              </w:rPr>
            </w:pPr>
            <w:r>
              <w:rPr>
                <w:rFonts w:hint="eastAsia"/>
                <w:color w:val="auto"/>
              </w:rPr>
              <w:t>根据现场踏勘，建设单位现有环保措施情况见下表。</w:t>
            </w:r>
          </w:p>
          <w:p w14:paraId="0CCDE6DC">
            <w:pPr>
              <w:pStyle w:val="7"/>
              <w:bidi w:val="0"/>
              <w:rPr>
                <w:rFonts w:hint="eastAsia"/>
              </w:rPr>
            </w:pPr>
            <w:r>
              <w:rPr>
                <w:rFonts w:hint="eastAsia"/>
              </w:rPr>
              <w:t>表2-</w:t>
            </w:r>
            <w:r>
              <w:rPr>
                <w:rFonts w:hint="eastAsia"/>
                <w:lang w:val="en-US" w:eastAsia="zh-CN"/>
              </w:rPr>
              <w:t>10</w:t>
            </w:r>
            <w:r>
              <w:rPr>
                <w:rFonts w:hint="eastAsia"/>
              </w:rPr>
              <w:t xml:space="preserve">  现有工程已采取的环保措施一览表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350"/>
              <w:gridCol w:w="5550"/>
              <w:gridCol w:w="865"/>
            </w:tblGrid>
            <w:tr w14:paraId="607C32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6" w:type="dxa"/>
                  <w:tcBorders>
                    <w:tl2br w:val="nil"/>
                    <w:tr2bl w:val="nil"/>
                  </w:tcBorders>
                  <w:shd w:val="clear" w:color="auto" w:fill="auto"/>
                  <w:vAlign w:val="center"/>
                </w:tcPr>
                <w:p w14:paraId="5B463408">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rPr>
                  </w:pPr>
                  <w:r>
                    <w:rPr>
                      <w:rFonts w:hint="eastAsia"/>
                    </w:rPr>
                    <w:t>污染类型</w:t>
                  </w:r>
                </w:p>
              </w:tc>
              <w:tc>
                <w:tcPr>
                  <w:tcW w:w="1350" w:type="dxa"/>
                  <w:tcBorders>
                    <w:tl2br w:val="nil"/>
                    <w:tr2bl w:val="nil"/>
                  </w:tcBorders>
                  <w:shd w:val="clear" w:color="auto" w:fill="auto"/>
                  <w:vAlign w:val="center"/>
                </w:tcPr>
                <w:p w14:paraId="2D0D322C">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pPr>
                  <w:r>
                    <w:rPr>
                      <w:rFonts w:hint="eastAsia"/>
                    </w:rPr>
                    <w:t>污染物</w:t>
                  </w:r>
                </w:p>
              </w:tc>
              <w:tc>
                <w:tcPr>
                  <w:tcW w:w="5550" w:type="dxa"/>
                  <w:tcBorders>
                    <w:tl2br w:val="nil"/>
                    <w:tr2bl w:val="nil"/>
                  </w:tcBorders>
                  <w:shd w:val="clear" w:color="auto" w:fill="auto"/>
                  <w:vAlign w:val="center"/>
                </w:tcPr>
                <w:p w14:paraId="33352EFB">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eastAsia="zh-CN"/>
                    </w:rPr>
                  </w:pPr>
                  <w:r>
                    <w:rPr>
                      <w:rFonts w:hint="eastAsia"/>
                      <w:lang w:val="en-US" w:eastAsia="zh-CN"/>
                    </w:rPr>
                    <w:t>已采取的环保措施</w:t>
                  </w:r>
                </w:p>
              </w:tc>
              <w:tc>
                <w:tcPr>
                  <w:tcW w:w="865" w:type="dxa"/>
                  <w:tcBorders>
                    <w:tl2br w:val="nil"/>
                    <w:tr2bl w:val="nil"/>
                  </w:tcBorders>
                  <w:shd w:val="clear" w:color="auto" w:fill="auto"/>
                  <w:vAlign w:val="center"/>
                </w:tcPr>
                <w:p w14:paraId="4BAC7E2F">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default"/>
                      <w:lang w:val="en-US" w:eastAsia="zh-CN"/>
                    </w:rPr>
                  </w:pPr>
                  <w:r>
                    <w:rPr>
                      <w:rFonts w:hint="eastAsia"/>
                      <w:lang w:val="en-US" w:eastAsia="zh-CN"/>
                    </w:rPr>
                    <w:t>存在的主要环境问题</w:t>
                  </w:r>
                </w:p>
              </w:tc>
            </w:tr>
            <w:tr w14:paraId="546C7E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66" w:type="dxa"/>
                  <w:tcBorders>
                    <w:tl2br w:val="nil"/>
                    <w:tr2bl w:val="nil"/>
                  </w:tcBorders>
                  <w:vAlign w:val="center"/>
                </w:tcPr>
                <w:p w14:paraId="4F366FF9">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val="en-US" w:eastAsia="zh-CN"/>
                    </w:rPr>
                  </w:pPr>
                  <w:r>
                    <w:rPr>
                      <w:rFonts w:hint="eastAsia"/>
                      <w:lang w:val="en-US" w:eastAsia="zh-CN"/>
                    </w:rPr>
                    <w:t>废水</w:t>
                  </w:r>
                </w:p>
              </w:tc>
              <w:tc>
                <w:tcPr>
                  <w:tcW w:w="1350" w:type="dxa"/>
                  <w:tcBorders>
                    <w:tl2br w:val="nil"/>
                    <w:tr2bl w:val="nil"/>
                  </w:tcBorders>
                  <w:shd w:val="clear" w:color="auto" w:fill="auto"/>
                  <w:vAlign w:val="center"/>
                </w:tcPr>
                <w:p w14:paraId="47CDC430">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pPr>
                  <w:r>
                    <w:rPr>
                      <w:rFonts w:hint="eastAsia"/>
                    </w:rPr>
                    <w:t>生活污水</w:t>
                  </w:r>
                </w:p>
              </w:tc>
              <w:tc>
                <w:tcPr>
                  <w:tcW w:w="5550" w:type="dxa"/>
                  <w:tcBorders>
                    <w:tl2br w:val="nil"/>
                    <w:tr2bl w:val="nil"/>
                  </w:tcBorders>
                  <w:vAlign w:val="center"/>
                </w:tcPr>
                <w:p w14:paraId="32C15566">
                  <w:pPr>
                    <w:pStyle w:val="5"/>
                    <w:keepNext w:val="0"/>
                    <w:keepLines w:val="0"/>
                    <w:pageBreakBefore w:val="0"/>
                    <w:widowControl w:val="0"/>
                    <w:kinsoku/>
                    <w:wordWrap/>
                    <w:overflowPunct/>
                    <w:topLinePunct w:val="0"/>
                    <w:autoSpaceDE/>
                    <w:autoSpaceDN/>
                    <w:bidi w:val="0"/>
                    <w:adjustRightInd/>
                    <w:snapToGrid/>
                    <w:ind w:left="0" w:leftChars="0" w:firstLineChars="0"/>
                    <w:jc w:val="both"/>
                    <w:textAlignment w:val="auto"/>
                    <w:rPr>
                      <w:rFonts w:hint="default"/>
                      <w:lang w:val="en-US" w:eastAsia="zh-CN"/>
                    </w:rPr>
                  </w:pPr>
                  <w:r>
                    <w:rPr>
                      <w:rFonts w:hint="eastAsia"/>
                      <w:lang w:val="en-US" w:eastAsia="zh-CN"/>
                    </w:rPr>
                    <w:t>生活污水</w:t>
                  </w:r>
                  <w:r>
                    <w:rPr>
                      <w:rFonts w:hint="eastAsia"/>
                    </w:rPr>
                    <w:t>通过</w:t>
                  </w:r>
                  <w:r>
                    <w:rPr>
                      <w:rFonts w:hint="eastAsia"/>
                      <w:lang w:val="en-US" w:eastAsia="zh-CN"/>
                    </w:rPr>
                    <w:t>园区一体化处理设施</w:t>
                  </w:r>
                  <w:r>
                    <w:t>处理达到《污水综合排放标准》（GB8978-1996）三级标准</w:t>
                  </w:r>
                  <w:r>
                    <w:rPr>
                      <w:rFonts w:hint="eastAsia"/>
                      <w:lang w:eastAsia="zh-CN"/>
                    </w:rPr>
                    <w:t>，</w:t>
                  </w:r>
                  <w:r>
                    <w:rPr>
                      <w:rFonts w:hint="eastAsia"/>
                      <w:lang w:val="en-US" w:eastAsia="zh-CN"/>
                    </w:rPr>
                    <w:t>通过市政管网排入魏兴场镇污水处理厂，处理后的尾水达《城镇污水处理厂污染物排放标准》（GB18918—2002）一级A标准后，排入州河。</w:t>
                  </w:r>
                </w:p>
              </w:tc>
              <w:tc>
                <w:tcPr>
                  <w:tcW w:w="865" w:type="dxa"/>
                  <w:tcBorders>
                    <w:tl2br w:val="nil"/>
                    <w:tr2bl w:val="nil"/>
                  </w:tcBorders>
                  <w:vAlign w:val="center"/>
                </w:tcPr>
                <w:p w14:paraId="10B4C31C">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pPr>
                  <w:r>
                    <w:rPr>
                      <w:rFonts w:hint="eastAsia"/>
                      <w:lang w:val="en-US" w:eastAsia="zh-CN"/>
                    </w:rPr>
                    <w:t>无</w:t>
                  </w:r>
                </w:p>
              </w:tc>
            </w:tr>
            <w:tr w14:paraId="7C2A2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66" w:type="dxa"/>
                  <w:vMerge w:val="restart"/>
                  <w:tcBorders>
                    <w:tl2br w:val="nil"/>
                    <w:tr2bl w:val="nil"/>
                  </w:tcBorders>
                  <w:shd w:val="clear" w:color="auto" w:fill="auto"/>
                  <w:vAlign w:val="center"/>
                </w:tcPr>
                <w:p w14:paraId="3D22146D">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rPr>
                  </w:pPr>
                  <w:r>
                    <w:rPr>
                      <w:rFonts w:hint="eastAsia"/>
                    </w:rPr>
                    <w:t>噪声</w:t>
                  </w:r>
                </w:p>
              </w:tc>
              <w:tc>
                <w:tcPr>
                  <w:tcW w:w="1350" w:type="dxa"/>
                  <w:tcBorders>
                    <w:tl2br w:val="nil"/>
                    <w:tr2bl w:val="nil"/>
                  </w:tcBorders>
                  <w:shd w:val="clear" w:color="auto" w:fill="auto"/>
                  <w:vAlign w:val="center"/>
                </w:tcPr>
                <w:p w14:paraId="1FF4E10C">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val="en-US" w:eastAsia="zh-CN"/>
                    </w:rPr>
                  </w:pPr>
                  <w:r>
                    <w:rPr>
                      <w:rFonts w:hint="eastAsia"/>
                    </w:rPr>
                    <w:t>设备噪声</w:t>
                  </w:r>
                </w:p>
              </w:tc>
              <w:tc>
                <w:tcPr>
                  <w:tcW w:w="5550" w:type="dxa"/>
                  <w:vMerge w:val="restart"/>
                  <w:tcBorders>
                    <w:tl2br w:val="nil"/>
                    <w:tr2bl w:val="nil"/>
                  </w:tcBorders>
                  <w:shd w:val="clear" w:color="auto" w:fill="auto"/>
                  <w:vAlign w:val="center"/>
                </w:tcPr>
                <w:p w14:paraId="023636D0">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rPr>
                  </w:pPr>
                  <w:r>
                    <w:t>低噪声设备、厂房隔声、合理布局。</w:t>
                  </w:r>
                </w:p>
              </w:tc>
              <w:tc>
                <w:tcPr>
                  <w:tcW w:w="865" w:type="dxa"/>
                  <w:vMerge w:val="restart"/>
                  <w:tcBorders>
                    <w:tl2br w:val="nil"/>
                    <w:tr2bl w:val="nil"/>
                  </w:tcBorders>
                  <w:shd w:val="clear" w:color="auto" w:fill="auto"/>
                  <w:vAlign w:val="center"/>
                </w:tcPr>
                <w:p w14:paraId="4AC63423">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default"/>
                      <w:lang w:val="en-US" w:eastAsia="zh-CN"/>
                    </w:rPr>
                  </w:pPr>
                  <w:r>
                    <w:rPr>
                      <w:rFonts w:hint="eastAsia"/>
                      <w:lang w:val="en-US" w:eastAsia="zh-CN"/>
                    </w:rPr>
                    <w:t>无</w:t>
                  </w:r>
                </w:p>
              </w:tc>
            </w:tr>
            <w:tr w14:paraId="002D2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6" w:type="dxa"/>
                  <w:vMerge w:val="continue"/>
                  <w:tcBorders>
                    <w:tl2br w:val="nil"/>
                    <w:tr2bl w:val="nil"/>
                  </w:tcBorders>
                  <w:shd w:val="clear" w:color="auto" w:fill="auto"/>
                  <w:vAlign w:val="center"/>
                </w:tcPr>
                <w:p w14:paraId="68C094BD">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1350" w:type="dxa"/>
                  <w:tcBorders>
                    <w:tl2br w:val="nil"/>
                    <w:tr2bl w:val="nil"/>
                  </w:tcBorders>
                  <w:shd w:val="clear" w:color="auto" w:fill="auto"/>
                  <w:vAlign w:val="center"/>
                </w:tcPr>
                <w:p w14:paraId="768A26ED">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val="en-US" w:eastAsia="zh-CN"/>
                    </w:rPr>
                  </w:pPr>
                  <w:r>
                    <w:rPr>
                      <w:rFonts w:hint="eastAsia"/>
                      <w:lang w:val="en-US" w:eastAsia="zh-CN"/>
                    </w:rPr>
                    <w:t>测试噪声</w:t>
                  </w:r>
                </w:p>
              </w:tc>
              <w:tc>
                <w:tcPr>
                  <w:tcW w:w="5550" w:type="dxa"/>
                  <w:vMerge w:val="continue"/>
                  <w:tcBorders>
                    <w:tl2br w:val="nil"/>
                    <w:tr2bl w:val="nil"/>
                  </w:tcBorders>
                  <w:shd w:val="clear" w:color="auto" w:fill="auto"/>
                  <w:vAlign w:val="center"/>
                </w:tcPr>
                <w:p w14:paraId="1207B87E">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865" w:type="dxa"/>
                  <w:vMerge w:val="continue"/>
                  <w:tcBorders>
                    <w:tl2br w:val="nil"/>
                    <w:tr2bl w:val="nil"/>
                  </w:tcBorders>
                  <w:shd w:val="clear" w:color="auto" w:fill="auto"/>
                  <w:vAlign w:val="center"/>
                </w:tcPr>
                <w:p w14:paraId="6F3B042B">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r>
            <w:tr w14:paraId="554B20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6" w:type="dxa"/>
                  <w:vMerge w:val="restart"/>
                  <w:tcBorders>
                    <w:tl2br w:val="nil"/>
                    <w:tr2bl w:val="nil"/>
                  </w:tcBorders>
                  <w:shd w:val="clear" w:color="auto" w:fill="auto"/>
                  <w:vAlign w:val="center"/>
                </w:tcPr>
                <w:p w14:paraId="2554245C">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val="en-US" w:eastAsia="zh-CN"/>
                    </w:rPr>
                  </w:pPr>
                  <w:r>
                    <w:rPr>
                      <w:rFonts w:hint="eastAsia"/>
                      <w:lang w:val="en-US" w:eastAsia="zh-CN"/>
                    </w:rPr>
                    <w:t>一般固废</w:t>
                  </w:r>
                </w:p>
              </w:tc>
              <w:tc>
                <w:tcPr>
                  <w:tcW w:w="1350" w:type="dxa"/>
                  <w:tcBorders>
                    <w:tl2br w:val="nil"/>
                    <w:tr2bl w:val="nil"/>
                  </w:tcBorders>
                  <w:shd w:val="clear" w:color="auto" w:fill="auto"/>
                  <w:vAlign w:val="center"/>
                </w:tcPr>
                <w:p w14:paraId="1D5B87BC">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eastAsia"/>
                      <w:lang w:val="en-US" w:eastAsia="zh-CN"/>
                    </w:rPr>
                  </w:pPr>
                  <w:r>
                    <w:rPr>
                      <w:rFonts w:hint="eastAsia"/>
                      <w:lang w:val="en-US" w:eastAsia="zh-CN"/>
                    </w:rPr>
                    <w:t>生活垃圾</w:t>
                  </w:r>
                </w:p>
              </w:tc>
              <w:tc>
                <w:tcPr>
                  <w:tcW w:w="5550" w:type="dxa"/>
                  <w:tcBorders>
                    <w:tl2br w:val="nil"/>
                    <w:tr2bl w:val="nil"/>
                  </w:tcBorders>
                  <w:shd w:val="clear" w:color="auto" w:fill="auto"/>
                  <w:vAlign w:val="center"/>
                </w:tcPr>
                <w:p w14:paraId="23305FC5">
                  <w:pPr>
                    <w:pStyle w:val="5"/>
                    <w:bidi w:val="0"/>
                    <w:ind w:firstLine="0" w:firstLineChars="0"/>
                    <w:rPr>
                      <w:rFonts w:hint="default"/>
                      <w:lang w:val="en-US" w:eastAsia="zh-CN"/>
                    </w:rPr>
                  </w:pPr>
                  <w:r>
                    <w:rPr>
                      <w:rFonts w:hint="eastAsia"/>
                      <w:lang w:val="en-US" w:eastAsia="zh-CN"/>
                    </w:rPr>
                    <w:t>约15t/a，</w:t>
                  </w:r>
                  <w:r>
                    <w:t>统一收集后由环卫部门集中处理</w:t>
                  </w:r>
                </w:p>
              </w:tc>
              <w:tc>
                <w:tcPr>
                  <w:tcW w:w="865" w:type="dxa"/>
                  <w:vMerge w:val="restart"/>
                  <w:tcBorders>
                    <w:tl2br w:val="nil"/>
                    <w:tr2bl w:val="nil"/>
                  </w:tcBorders>
                  <w:shd w:val="clear" w:color="auto" w:fill="auto"/>
                  <w:vAlign w:val="center"/>
                </w:tcPr>
                <w:p w14:paraId="6729CD4D">
                  <w:pPr>
                    <w:pStyle w:val="5"/>
                    <w:bidi w:val="0"/>
                    <w:ind w:firstLine="0" w:firstLineChars="0"/>
                    <w:rPr>
                      <w:rFonts w:hint="eastAsia"/>
                      <w:lang w:val="en-US" w:eastAsia="zh-CN"/>
                    </w:rPr>
                  </w:pPr>
                  <w:r>
                    <w:rPr>
                      <w:rFonts w:hint="eastAsia"/>
                      <w:lang w:val="en-US" w:eastAsia="zh-CN"/>
                    </w:rPr>
                    <w:t>无</w:t>
                  </w:r>
                </w:p>
              </w:tc>
            </w:tr>
            <w:tr w14:paraId="5CB85B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6" w:type="dxa"/>
                  <w:vMerge w:val="continue"/>
                  <w:tcBorders>
                    <w:tl2br w:val="nil"/>
                    <w:tr2bl w:val="nil"/>
                  </w:tcBorders>
                  <w:shd w:val="clear" w:color="auto" w:fill="auto"/>
                  <w:vAlign w:val="center"/>
                </w:tcPr>
                <w:p w14:paraId="2D13EA36">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1350" w:type="dxa"/>
                  <w:tcBorders>
                    <w:tl2br w:val="nil"/>
                    <w:tr2bl w:val="nil"/>
                  </w:tcBorders>
                  <w:shd w:val="clear" w:color="auto" w:fill="auto"/>
                  <w:vAlign w:val="center"/>
                </w:tcPr>
                <w:p w14:paraId="3F463450">
                  <w:pPr>
                    <w:pStyle w:val="5"/>
                    <w:keepNext w:val="0"/>
                    <w:keepLines w:val="0"/>
                    <w:pageBreakBefore w:val="0"/>
                    <w:widowControl w:val="0"/>
                    <w:kinsoku/>
                    <w:wordWrap/>
                    <w:overflowPunct/>
                    <w:topLinePunct w:val="0"/>
                    <w:autoSpaceDE/>
                    <w:autoSpaceDN/>
                    <w:bidi w:val="0"/>
                    <w:adjustRightInd/>
                    <w:snapToGrid/>
                    <w:ind w:left="0" w:leftChars="0" w:firstLineChars="0"/>
                    <w:jc w:val="center"/>
                    <w:textAlignment w:val="auto"/>
                    <w:rPr>
                      <w:rFonts w:hint="default"/>
                      <w:lang w:val="en-US" w:eastAsia="zh-CN"/>
                    </w:rPr>
                  </w:pPr>
                  <w:r>
                    <w:rPr>
                      <w:rFonts w:hint="eastAsia"/>
                      <w:lang w:val="en-US" w:eastAsia="zh-CN"/>
                    </w:rPr>
                    <w:t>废边角料</w:t>
                  </w:r>
                </w:p>
              </w:tc>
              <w:tc>
                <w:tcPr>
                  <w:tcW w:w="5550" w:type="dxa"/>
                  <w:tcBorders>
                    <w:tl2br w:val="nil"/>
                    <w:tr2bl w:val="nil"/>
                  </w:tcBorders>
                  <w:shd w:val="clear" w:color="auto" w:fill="auto"/>
                  <w:vAlign w:val="center"/>
                </w:tcPr>
                <w:p w14:paraId="623A1929">
                  <w:pPr>
                    <w:pStyle w:val="5"/>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约0.56t/a，收集后暂存于一般固废暂存点，定期外售处置。</w:t>
                  </w:r>
                </w:p>
              </w:tc>
              <w:tc>
                <w:tcPr>
                  <w:tcW w:w="865" w:type="dxa"/>
                  <w:vMerge w:val="continue"/>
                  <w:tcBorders>
                    <w:tl2br w:val="nil"/>
                    <w:tr2bl w:val="nil"/>
                  </w:tcBorders>
                  <w:shd w:val="clear" w:color="auto" w:fill="auto"/>
                  <w:vAlign w:val="center"/>
                </w:tcPr>
                <w:p w14:paraId="5D0192BE">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r>
            <w:tr w14:paraId="169C7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6" w:type="dxa"/>
                  <w:vMerge w:val="continue"/>
                  <w:tcBorders>
                    <w:tl2br w:val="nil"/>
                    <w:tr2bl w:val="nil"/>
                  </w:tcBorders>
                  <w:shd w:val="clear" w:color="auto" w:fill="auto"/>
                  <w:vAlign w:val="center"/>
                </w:tcPr>
                <w:p w14:paraId="505C4896">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1350" w:type="dxa"/>
                  <w:tcBorders>
                    <w:tl2br w:val="nil"/>
                    <w:tr2bl w:val="nil"/>
                  </w:tcBorders>
                  <w:shd w:val="clear" w:color="auto" w:fill="auto"/>
                  <w:vAlign w:val="center"/>
                </w:tcPr>
                <w:p w14:paraId="68E8E4A0">
                  <w:pPr>
                    <w:pStyle w:val="5"/>
                    <w:bidi w:val="0"/>
                    <w:ind w:firstLine="0" w:firstLineChars="0"/>
                    <w:rPr>
                      <w:rFonts w:hint="eastAsia"/>
                      <w:lang w:val="en-US" w:eastAsia="zh-CN"/>
                    </w:rPr>
                  </w:pPr>
                  <w:r>
                    <w:rPr>
                      <w:rFonts w:hint="eastAsia"/>
                      <w:lang w:val="en-US" w:eastAsia="zh-CN"/>
                    </w:rPr>
                    <w:t>废包装物</w:t>
                  </w:r>
                </w:p>
              </w:tc>
              <w:tc>
                <w:tcPr>
                  <w:tcW w:w="5550" w:type="dxa"/>
                  <w:tcBorders>
                    <w:tl2br w:val="nil"/>
                    <w:tr2bl w:val="nil"/>
                  </w:tcBorders>
                  <w:shd w:val="clear" w:color="auto" w:fill="auto"/>
                  <w:vAlign w:val="center"/>
                </w:tcPr>
                <w:p w14:paraId="1A35C83F">
                  <w:pPr>
                    <w:pStyle w:val="5"/>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约1.2t/a，收集后暂存于一般固废暂存点，定期外售处置。</w:t>
                  </w:r>
                </w:p>
              </w:tc>
              <w:tc>
                <w:tcPr>
                  <w:tcW w:w="865" w:type="dxa"/>
                  <w:vMerge w:val="continue"/>
                  <w:tcBorders>
                    <w:tl2br w:val="nil"/>
                    <w:tr2bl w:val="nil"/>
                  </w:tcBorders>
                  <w:shd w:val="clear" w:color="auto" w:fill="auto"/>
                  <w:vAlign w:val="center"/>
                </w:tcPr>
                <w:p w14:paraId="32ACC7C7">
                  <w:pPr>
                    <w:pStyle w:val="5"/>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r>
          </w:tbl>
          <w:p w14:paraId="4CE5BCBA">
            <w:pPr>
              <w:spacing w:line="480" w:lineRule="auto"/>
              <w:ind w:firstLine="480"/>
              <w:rPr>
                <w:rFonts w:hint="eastAsia"/>
                <w:b/>
                <w:bCs/>
                <w:color w:val="auto"/>
                <w:highlight w:val="none"/>
                <w:lang w:val="en-US" w:eastAsia="zh-CN"/>
              </w:rPr>
            </w:pPr>
            <w:r>
              <w:rPr>
                <w:rFonts w:hint="eastAsia"/>
                <w:b/>
                <w:bCs/>
                <w:color w:val="auto"/>
                <w:highlight w:val="none"/>
                <w:lang w:val="en-US" w:eastAsia="zh-CN"/>
              </w:rPr>
              <w:t>3、</w:t>
            </w:r>
            <w:r>
              <w:rPr>
                <w:rFonts w:hint="eastAsia"/>
                <w:b/>
                <w:bCs/>
                <w:color w:val="auto"/>
                <w:highlight w:val="none"/>
              </w:rPr>
              <w:t>现有工程污染物排放</w:t>
            </w:r>
            <w:r>
              <w:rPr>
                <w:rFonts w:hint="eastAsia"/>
                <w:b/>
                <w:bCs/>
                <w:color w:val="auto"/>
                <w:highlight w:val="none"/>
                <w:lang w:val="en-US" w:eastAsia="zh-CN"/>
              </w:rPr>
              <w:t>情况</w:t>
            </w:r>
          </w:p>
          <w:p w14:paraId="26A75121">
            <w:pPr>
              <w:bidi w:val="0"/>
              <w:rPr>
                <w:rFonts w:hint="eastAsia"/>
                <w:b/>
                <w:bCs/>
                <w:lang w:val="en-US" w:eastAsia="zh-CN"/>
              </w:rPr>
            </w:pPr>
            <w:r>
              <w:rPr>
                <w:rFonts w:hint="eastAsia"/>
                <w:lang w:val="en-US" w:eastAsia="zh-CN"/>
              </w:rPr>
              <w:t>目前，现有工程生产设备已安装完毕，尚未开始调试生产，现有工程污染物产生及排放情况根据建设单位提供资料，通过理论计算进行核算。</w:t>
            </w:r>
          </w:p>
          <w:p w14:paraId="7CB42C8C">
            <w:pPr>
              <w:bidi w:val="0"/>
              <w:rPr>
                <w:rFonts w:hint="eastAsia"/>
                <w:b/>
                <w:bCs/>
                <w:lang w:val="en-US" w:eastAsia="zh-CN"/>
              </w:rPr>
            </w:pPr>
            <w:r>
              <w:rPr>
                <w:rFonts w:hint="eastAsia"/>
                <w:b/>
                <w:bCs/>
                <w:lang w:val="en-US" w:eastAsia="zh-CN"/>
              </w:rPr>
              <w:t>1、废水</w:t>
            </w:r>
          </w:p>
          <w:p w14:paraId="28F120E0">
            <w:pPr>
              <w:bidi w:val="0"/>
              <w:ind w:firstLine="480"/>
              <w:rPr>
                <w:rFonts w:hint="eastAsia"/>
                <w:lang w:val="en-US" w:eastAsia="zh-CN"/>
              </w:rPr>
            </w:pPr>
            <w:r>
              <w:rPr>
                <w:rFonts w:hint="eastAsia"/>
                <w:lang w:val="en-US" w:eastAsia="zh-CN"/>
              </w:rPr>
              <w:t>项目不产生生产废水，仅产生生活污水。项目生活用水取自自来水。本次根据《四川省用水定额》（2021年）核算，全厂最大排水量为921.6t/a。</w:t>
            </w:r>
            <w:r>
              <w:rPr>
                <w:rFonts w:hint="eastAsia"/>
                <w:color w:val="auto"/>
                <w:sz w:val="24"/>
                <w:lang w:val="en-US" w:eastAsia="zh-CN"/>
              </w:rPr>
              <w:t>参考生态环境部印发的《排放源统计调查产排污核算方法和系数手册一生活污染源产排污系数手册》，生活污水中COD 325mg/L、BOD</w:t>
            </w:r>
            <w:r>
              <w:rPr>
                <w:rFonts w:hint="eastAsia"/>
                <w:color w:val="auto"/>
                <w:sz w:val="24"/>
                <w:vertAlign w:val="subscript"/>
                <w:lang w:val="en-US" w:eastAsia="zh-CN"/>
              </w:rPr>
              <w:t>5</w:t>
            </w:r>
            <w:r>
              <w:rPr>
                <w:rFonts w:hint="eastAsia"/>
                <w:color w:val="auto"/>
                <w:sz w:val="24"/>
                <w:lang w:val="en-US" w:eastAsia="zh-CN"/>
              </w:rPr>
              <w:t xml:space="preserve"> 250mg/L、氨氮37.7mg/L、总磷 4.28mg/L、SS 300mg/L。</w:t>
            </w:r>
          </w:p>
          <w:p w14:paraId="23816129">
            <w:pPr>
              <w:pStyle w:val="7"/>
              <w:bidi w:val="0"/>
              <w:rPr>
                <w:lang w:val="en-US" w:eastAsia="zh-CN"/>
              </w:rPr>
            </w:pPr>
            <w:r>
              <w:rPr>
                <w:rFonts w:hint="eastAsia"/>
                <w:lang w:val="en-US" w:eastAsia="zh-CN"/>
              </w:rPr>
              <w:t>表2-11  现有工程废水产生及排放情况一览表</w:t>
            </w:r>
          </w:p>
          <w:tbl>
            <w:tblPr>
              <w:tblStyle w:val="30"/>
              <w:tblW w:w="884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016"/>
              <w:gridCol w:w="1185"/>
              <w:gridCol w:w="1437"/>
              <w:gridCol w:w="837"/>
              <w:gridCol w:w="938"/>
              <w:gridCol w:w="1738"/>
              <w:gridCol w:w="665"/>
            </w:tblGrid>
            <w:tr w14:paraId="19B540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80" w:type="pct"/>
                  <w:tcBorders>
                    <w:tl2br w:val="nil"/>
                    <w:tr2bl w:val="nil"/>
                  </w:tcBorders>
                  <w:shd w:val="clear" w:color="auto" w:fill="auto"/>
                  <w:tcMar>
                    <w:top w:w="0" w:type="dxa"/>
                    <w:left w:w="23" w:type="dxa"/>
                    <w:bottom w:w="0" w:type="dxa"/>
                    <w:right w:w="23" w:type="dxa"/>
                  </w:tcMar>
                  <w:vAlign w:val="center"/>
                </w:tcPr>
                <w:p w14:paraId="760B5B2A">
                  <w:pPr>
                    <w:pStyle w:val="5"/>
                    <w:bidi w:val="0"/>
                    <w:rPr>
                      <w:b/>
                      <w:bCs/>
                      <w:lang w:val="en-US" w:eastAsia="zh-CN"/>
                    </w:rPr>
                  </w:pPr>
                  <w:r>
                    <w:rPr>
                      <w:rFonts w:hint="eastAsia"/>
                      <w:b/>
                      <w:bCs/>
                      <w:lang w:val="en-US" w:eastAsia="zh-CN"/>
                    </w:rPr>
                    <w:t>污水类型</w:t>
                  </w:r>
                </w:p>
              </w:tc>
              <w:tc>
                <w:tcPr>
                  <w:tcW w:w="574" w:type="pct"/>
                  <w:tcBorders>
                    <w:tl2br w:val="nil"/>
                    <w:tr2bl w:val="nil"/>
                  </w:tcBorders>
                  <w:shd w:val="clear" w:color="auto" w:fill="auto"/>
                  <w:tcMar>
                    <w:top w:w="0" w:type="dxa"/>
                    <w:left w:w="23" w:type="dxa"/>
                    <w:bottom w:w="0" w:type="dxa"/>
                    <w:right w:w="23" w:type="dxa"/>
                  </w:tcMar>
                  <w:vAlign w:val="center"/>
                </w:tcPr>
                <w:p w14:paraId="75823D44">
                  <w:pPr>
                    <w:pStyle w:val="5"/>
                    <w:bidi w:val="0"/>
                    <w:rPr>
                      <w:rFonts w:hint="eastAsia"/>
                      <w:b/>
                      <w:bCs/>
                      <w:lang w:val="en-US" w:eastAsia="zh-CN"/>
                    </w:rPr>
                  </w:pPr>
                  <w:r>
                    <w:rPr>
                      <w:rFonts w:hint="eastAsia"/>
                      <w:b/>
                      <w:bCs/>
                      <w:lang w:val="en-US" w:eastAsia="zh-CN"/>
                    </w:rPr>
                    <w:t>废水量</w:t>
                  </w:r>
                </w:p>
                <w:p w14:paraId="6224D8D6">
                  <w:pPr>
                    <w:ind w:firstLine="0" w:firstLineChars="0"/>
                    <w:jc w:val="center"/>
                    <w:rPr>
                      <w:rFonts w:hint="default"/>
                      <w:lang w:val="en-US" w:eastAsia="zh-CN"/>
                    </w:rPr>
                  </w:pPr>
                  <w:r>
                    <w:rPr>
                      <w:rFonts w:hint="eastAsia"/>
                      <w:b/>
                      <w:bCs/>
                      <w:lang w:val="en-US" w:eastAsia="zh-CN"/>
                    </w:rPr>
                    <w:t>（</w:t>
                  </w:r>
                  <w:r>
                    <w:rPr>
                      <w:rFonts w:hint="eastAsia"/>
                      <w:lang w:val="en-US" w:eastAsia="zh-CN"/>
                    </w:rPr>
                    <w:t>t/a</w:t>
                  </w:r>
                  <w:r>
                    <w:rPr>
                      <w:rFonts w:hint="eastAsia"/>
                      <w:b/>
                      <w:bCs/>
                      <w:lang w:val="en-US" w:eastAsia="zh-CN"/>
                    </w:rPr>
                    <w:t>）</w:t>
                  </w:r>
                </w:p>
              </w:tc>
              <w:tc>
                <w:tcPr>
                  <w:tcW w:w="670" w:type="pct"/>
                  <w:tcBorders>
                    <w:tl2br w:val="nil"/>
                    <w:tr2bl w:val="nil"/>
                  </w:tcBorders>
                  <w:shd w:val="clear" w:color="auto" w:fill="auto"/>
                  <w:tcMar>
                    <w:top w:w="0" w:type="dxa"/>
                    <w:left w:w="23" w:type="dxa"/>
                    <w:bottom w:w="0" w:type="dxa"/>
                    <w:right w:w="23" w:type="dxa"/>
                  </w:tcMar>
                  <w:vAlign w:val="center"/>
                </w:tcPr>
                <w:p w14:paraId="45C118EC">
                  <w:pPr>
                    <w:pStyle w:val="5"/>
                    <w:bidi w:val="0"/>
                    <w:rPr>
                      <w:rFonts w:hint="default"/>
                      <w:b/>
                      <w:bCs/>
                      <w:lang w:val="en-US" w:eastAsia="zh-CN"/>
                    </w:rPr>
                  </w:pPr>
                  <w:r>
                    <w:rPr>
                      <w:rFonts w:hint="eastAsia"/>
                      <w:b/>
                      <w:bCs/>
                      <w:lang w:val="en-US" w:eastAsia="zh-CN"/>
                    </w:rPr>
                    <w:t>污染因子</w:t>
                  </w:r>
                </w:p>
              </w:tc>
              <w:tc>
                <w:tcPr>
                  <w:tcW w:w="812" w:type="pct"/>
                  <w:tcBorders>
                    <w:tl2br w:val="nil"/>
                    <w:tr2bl w:val="nil"/>
                  </w:tcBorders>
                  <w:shd w:val="clear" w:color="auto" w:fill="auto"/>
                  <w:tcMar>
                    <w:top w:w="0" w:type="dxa"/>
                    <w:left w:w="23" w:type="dxa"/>
                    <w:bottom w:w="0" w:type="dxa"/>
                    <w:right w:w="23" w:type="dxa"/>
                  </w:tcMar>
                  <w:vAlign w:val="center"/>
                </w:tcPr>
                <w:p w14:paraId="60E5B13C">
                  <w:pPr>
                    <w:pStyle w:val="5"/>
                    <w:bidi w:val="0"/>
                    <w:rPr>
                      <w:rFonts w:hint="eastAsia"/>
                      <w:b/>
                      <w:bCs/>
                      <w:color w:val="auto"/>
                      <w:lang w:val="en-US" w:eastAsia="zh-CN"/>
                    </w:rPr>
                  </w:pPr>
                  <w:r>
                    <w:rPr>
                      <w:rFonts w:hint="eastAsia"/>
                      <w:b/>
                      <w:bCs/>
                      <w:color w:val="auto"/>
                      <w:lang w:val="en-US" w:eastAsia="zh-CN"/>
                    </w:rPr>
                    <w:t>污染物产生浓度（mg/L）</w:t>
                  </w:r>
                </w:p>
              </w:tc>
              <w:tc>
                <w:tcPr>
                  <w:tcW w:w="473" w:type="pct"/>
                  <w:tcBorders>
                    <w:tl2br w:val="nil"/>
                    <w:tr2bl w:val="nil"/>
                  </w:tcBorders>
                  <w:shd w:val="clear" w:color="auto" w:fill="auto"/>
                  <w:tcMar>
                    <w:top w:w="0" w:type="dxa"/>
                    <w:left w:w="23" w:type="dxa"/>
                    <w:bottom w:w="0" w:type="dxa"/>
                    <w:right w:w="23" w:type="dxa"/>
                  </w:tcMar>
                  <w:vAlign w:val="center"/>
                </w:tcPr>
                <w:p w14:paraId="49CE8AA9">
                  <w:pPr>
                    <w:pStyle w:val="5"/>
                    <w:bidi w:val="0"/>
                    <w:rPr>
                      <w:rFonts w:hint="default" w:eastAsia="宋体"/>
                      <w:b/>
                      <w:bCs/>
                      <w:color w:val="auto"/>
                      <w:lang w:val="en-US" w:eastAsia="zh-CN"/>
                    </w:rPr>
                  </w:pPr>
                  <w:r>
                    <w:rPr>
                      <w:rFonts w:hint="eastAsia"/>
                      <w:b/>
                      <w:bCs/>
                      <w:color w:val="auto"/>
                      <w:lang w:val="en-US" w:eastAsia="zh-CN"/>
                    </w:rPr>
                    <w:t>预处理措施</w:t>
                  </w:r>
                </w:p>
              </w:tc>
              <w:tc>
                <w:tcPr>
                  <w:tcW w:w="530" w:type="pct"/>
                  <w:tcBorders>
                    <w:tl2br w:val="nil"/>
                    <w:tr2bl w:val="nil"/>
                  </w:tcBorders>
                  <w:shd w:val="clear" w:color="auto" w:fill="auto"/>
                  <w:tcMar>
                    <w:top w:w="0" w:type="dxa"/>
                    <w:left w:w="23" w:type="dxa"/>
                    <w:bottom w:w="0" w:type="dxa"/>
                    <w:right w:w="23" w:type="dxa"/>
                  </w:tcMar>
                  <w:vAlign w:val="center"/>
                </w:tcPr>
                <w:p w14:paraId="03CBEF8A">
                  <w:pPr>
                    <w:pStyle w:val="5"/>
                    <w:bidi w:val="0"/>
                    <w:rPr>
                      <w:rFonts w:hint="eastAsia"/>
                      <w:b/>
                      <w:bCs/>
                      <w:color w:val="auto"/>
                      <w:lang w:val="en-US" w:eastAsia="zh-CN"/>
                    </w:rPr>
                  </w:pPr>
                  <w:r>
                    <w:rPr>
                      <w:rFonts w:hint="eastAsia"/>
                      <w:b/>
                      <w:bCs/>
                      <w:color w:val="auto"/>
                      <w:lang w:val="en-US" w:eastAsia="zh-CN"/>
                    </w:rPr>
                    <w:t>排放浓度</w:t>
                  </w:r>
                </w:p>
                <w:p w14:paraId="3E3D9B7F">
                  <w:pPr>
                    <w:pStyle w:val="5"/>
                    <w:bidi w:val="0"/>
                    <w:rPr>
                      <w:rFonts w:hint="eastAsia" w:eastAsia="宋体"/>
                      <w:b/>
                      <w:bCs/>
                      <w:color w:val="auto"/>
                      <w:lang w:val="en-US" w:eastAsia="zh-CN"/>
                    </w:rPr>
                  </w:pPr>
                  <w:r>
                    <w:rPr>
                      <w:rFonts w:hint="eastAsia"/>
                      <w:b/>
                      <w:bCs/>
                      <w:color w:val="auto"/>
                      <w:lang w:val="en-US" w:eastAsia="zh-CN"/>
                    </w:rPr>
                    <w:t>（mg/L）</w:t>
                  </w:r>
                </w:p>
              </w:tc>
              <w:tc>
                <w:tcPr>
                  <w:tcW w:w="982" w:type="pct"/>
                  <w:tcBorders>
                    <w:tl2br w:val="nil"/>
                    <w:tr2bl w:val="nil"/>
                  </w:tcBorders>
                  <w:shd w:val="clear" w:color="auto" w:fill="auto"/>
                  <w:tcMar>
                    <w:top w:w="0" w:type="dxa"/>
                    <w:left w:w="23" w:type="dxa"/>
                    <w:bottom w:w="0" w:type="dxa"/>
                    <w:right w:w="23" w:type="dxa"/>
                  </w:tcMar>
                  <w:vAlign w:val="center"/>
                </w:tcPr>
                <w:p w14:paraId="2493364B">
                  <w:pPr>
                    <w:pStyle w:val="5"/>
                    <w:bidi w:val="0"/>
                    <w:rPr>
                      <w:rFonts w:hint="eastAsia"/>
                      <w:b/>
                      <w:bCs/>
                      <w:color w:val="auto"/>
                    </w:rPr>
                  </w:pPr>
                  <w:r>
                    <w:rPr>
                      <w:rFonts w:hint="eastAsia"/>
                      <w:b/>
                      <w:bCs/>
                      <w:color w:val="auto"/>
                      <w:lang w:val="en-US" w:eastAsia="zh-CN"/>
                    </w:rPr>
                    <w:t>污染物排放</w:t>
                  </w:r>
                  <w:r>
                    <w:rPr>
                      <w:rFonts w:hint="eastAsia"/>
                      <w:b/>
                      <w:bCs/>
                      <w:color w:val="auto"/>
                    </w:rPr>
                    <w:t>量</w:t>
                  </w:r>
                </w:p>
                <w:p w14:paraId="3D25282E">
                  <w:pPr>
                    <w:pStyle w:val="5"/>
                    <w:bidi w:val="0"/>
                    <w:rPr>
                      <w:b/>
                      <w:bCs/>
                      <w:lang w:val="en-US" w:eastAsia="zh-CN"/>
                    </w:rPr>
                  </w:pPr>
                  <w:r>
                    <w:rPr>
                      <w:rFonts w:hint="eastAsia"/>
                      <w:b/>
                      <w:bCs/>
                      <w:lang w:val="en-US" w:eastAsia="zh-CN"/>
                    </w:rPr>
                    <w:t>（t/a）</w:t>
                  </w:r>
                </w:p>
              </w:tc>
              <w:tc>
                <w:tcPr>
                  <w:tcW w:w="376" w:type="pct"/>
                  <w:tcBorders>
                    <w:tl2br w:val="nil"/>
                    <w:tr2bl w:val="nil"/>
                  </w:tcBorders>
                  <w:shd w:val="clear" w:color="auto" w:fill="auto"/>
                  <w:tcMar>
                    <w:top w:w="0" w:type="dxa"/>
                    <w:left w:w="23" w:type="dxa"/>
                    <w:bottom w:w="0" w:type="dxa"/>
                    <w:right w:w="23" w:type="dxa"/>
                  </w:tcMar>
                  <w:vAlign w:val="center"/>
                </w:tcPr>
                <w:p w14:paraId="748FC9F4">
                  <w:pPr>
                    <w:pStyle w:val="5"/>
                    <w:bidi w:val="0"/>
                    <w:rPr>
                      <w:rFonts w:hint="default"/>
                      <w:b/>
                      <w:bCs/>
                      <w:lang w:val="en-US" w:eastAsia="zh-CN"/>
                    </w:rPr>
                  </w:pPr>
                  <w:r>
                    <w:rPr>
                      <w:rFonts w:hint="eastAsia"/>
                      <w:b/>
                      <w:bCs/>
                      <w:lang w:val="en-US" w:eastAsia="zh-CN"/>
                    </w:rPr>
                    <w:t>排放去向</w:t>
                  </w:r>
                </w:p>
              </w:tc>
            </w:tr>
            <w:tr w14:paraId="134264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restart"/>
                  <w:tcBorders>
                    <w:tl2br w:val="nil"/>
                    <w:tr2bl w:val="nil"/>
                  </w:tcBorders>
                  <w:shd w:val="clear" w:color="auto" w:fill="auto"/>
                  <w:tcMar>
                    <w:top w:w="0" w:type="dxa"/>
                    <w:left w:w="23" w:type="dxa"/>
                    <w:bottom w:w="0" w:type="dxa"/>
                    <w:right w:w="23" w:type="dxa"/>
                  </w:tcMar>
                  <w:vAlign w:val="center"/>
                </w:tcPr>
                <w:p w14:paraId="482BF1B2">
                  <w:pPr>
                    <w:pStyle w:val="5"/>
                    <w:bidi w:val="0"/>
                    <w:rPr>
                      <w:lang w:val="en-US" w:eastAsia="zh-CN"/>
                    </w:rPr>
                  </w:pPr>
                  <w:r>
                    <w:rPr>
                      <w:rFonts w:hint="eastAsia"/>
                      <w:lang w:val="en-US" w:eastAsia="zh-CN"/>
                    </w:rPr>
                    <w:t>生活污水</w:t>
                  </w:r>
                </w:p>
              </w:tc>
              <w:tc>
                <w:tcPr>
                  <w:tcW w:w="574" w:type="pct"/>
                  <w:vMerge w:val="restart"/>
                  <w:tcBorders>
                    <w:tl2br w:val="nil"/>
                    <w:tr2bl w:val="nil"/>
                  </w:tcBorders>
                  <w:shd w:val="clear" w:color="auto" w:fill="auto"/>
                  <w:tcMar>
                    <w:top w:w="0" w:type="dxa"/>
                    <w:left w:w="23" w:type="dxa"/>
                    <w:bottom w:w="0" w:type="dxa"/>
                    <w:right w:w="23" w:type="dxa"/>
                  </w:tcMar>
                  <w:vAlign w:val="center"/>
                </w:tcPr>
                <w:p w14:paraId="3894D6F7">
                  <w:pPr>
                    <w:pStyle w:val="5"/>
                    <w:bidi w:val="0"/>
                    <w:rPr>
                      <w:rFonts w:hint="default"/>
                      <w:lang w:val="en-US" w:eastAsia="zh-CN"/>
                    </w:rPr>
                  </w:pPr>
                  <w:r>
                    <w:rPr>
                      <w:rFonts w:hint="eastAsia"/>
                      <w:lang w:val="en-US" w:eastAsia="zh-CN"/>
                    </w:rPr>
                    <w:t>921.6</w:t>
                  </w:r>
                </w:p>
              </w:tc>
              <w:tc>
                <w:tcPr>
                  <w:tcW w:w="670" w:type="pct"/>
                  <w:tcBorders>
                    <w:tl2br w:val="nil"/>
                    <w:tr2bl w:val="nil"/>
                  </w:tcBorders>
                  <w:shd w:val="clear" w:color="auto" w:fill="auto"/>
                  <w:tcMar>
                    <w:top w:w="0" w:type="dxa"/>
                    <w:left w:w="23" w:type="dxa"/>
                    <w:bottom w:w="0" w:type="dxa"/>
                    <w:right w:w="23" w:type="dxa"/>
                  </w:tcMar>
                  <w:vAlign w:val="center"/>
                </w:tcPr>
                <w:p w14:paraId="7555C3EE">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COD</w:t>
                  </w:r>
                </w:p>
              </w:tc>
              <w:tc>
                <w:tcPr>
                  <w:tcW w:w="812" w:type="pct"/>
                  <w:tcBorders>
                    <w:tl2br w:val="nil"/>
                    <w:tr2bl w:val="nil"/>
                  </w:tcBorders>
                  <w:shd w:val="clear" w:color="auto" w:fill="auto"/>
                  <w:tcMar>
                    <w:top w:w="0" w:type="dxa"/>
                    <w:left w:w="23" w:type="dxa"/>
                    <w:bottom w:w="0" w:type="dxa"/>
                    <w:right w:w="23" w:type="dxa"/>
                  </w:tcMar>
                  <w:vAlign w:val="center"/>
                </w:tcPr>
                <w:p w14:paraId="612C478E">
                  <w:pPr>
                    <w:pStyle w:val="5"/>
                    <w:bidi w:val="0"/>
                    <w:rPr>
                      <w:rFonts w:hint="default"/>
                      <w:lang w:val="en-US" w:eastAsia="zh-CN"/>
                    </w:rPr>
                  </w:pPr>
                  <w:r>
                    <w:rPr>
                      <w:rFonts w:hint="eastAsia"/>
                      <w:lang w:val="en-US" w:eastAsia="zh-CN"/>
                    </w:rPr>
                    <w:t>325</w:t>
                  </w:r>
                </w:p>
              </w:tc>
              <w:tc>
                <w:tcPr>
                  <w:tcW w:w="473" w:type="pct"/>
                  <w:vMerge w:val="restart"/>
                  <w:tcBorders>
                    <w:tl2br w:val="nil"/>
                    <w:tr2bl w:val="nil"/>
                  </w:tcBorders>
                  <w:shd w:val="clear" w:color="auto" w:fill="auto"/>
                  <w:tcMar>
                    <w:top w:w="0" w:type="dxa"/>
                    <w:left w:w="23" w:type="dxa"/>
                    <w:bottom w:w="0" w:type="dxa"/>
                    <w:right w:w="23" w:type="dxa"/>
                  </w:tcMar>
                  <w:vAlign w:val="center"/>
                </w:tcPr>
                <w:p w14:paraId="4F968BE9">
                  <w:pPr>
                    <w:pStyle w:val="5"/>
                    <w:bidi w:val="0"/>
                    <w:rPr>
                      <w:rFonts w:hint="default"/>
                      <w:lang w:val="en-US" w:eastAsia="zh-CN"/>
                    </w:rPr>
                  </w:pPr>
                  <w:r>
                    <w:rPr>
                      <w:rFonts w:hint="eastAsia"/>
                      <w:lang w:val="en-US" w:eastAsia="zh-CN"/>
                    </w:rPr>
                    <w:t>一体化处理设施</w:t>
                  </w:r>
                </w:p>
              </w:tc>
              <w:tc>
                <w:tcPr>
                  <w:tcW w:w="530" w:type="pct"/>
                  <w:tcBorders>
                    <w:tl2br w:val="nil"/>
                    <w:tr2bl w:val="nil"/>
                  </w:tcBorders>
                  <w:shd w:val="clear" w:color="auto" w:fill="auto"/>
                  <w:tcMar>
                    <w:top w:w="0" w:type="dxa"/>
                    <w:left w:w="23" w:type="dxa"/>
                    <w:bottom w:w="0" w:type="dxa"/>
                    <w:right w:w="23" w:type="dxa"/>
                  </w:tcMar>
                  <w:vAlign w:val="center"/>
                </w:tcPr>
                <w:p w14:paraId="19ACBC72">
                  <w:pPr>
                    <w:pStyle w:val="5"/>
                    <w:bidi w:val="0"/>
                    <w:rPr>
                      <w:rFonts w:hint="default"/>
                      <w:lang w:val="en-US" w:eastAsia="zh-CN"/>
                    </w:rPr>
                  </w:pPr>
                  <w:r>
                    <w:rPr>
                      <w:rFonts w:hint="eastAsia"/>
                      <w:lang w:val="en-US" w:eastAsia="zh-CN"/>
                    </w:rPr>
                    <w:t>230</w:t>
                  </w:r>
                </w:p>
              </w:tc>
              <w:tc>
                <w:tcPr>
                  <w:tcW w:w="982" w:type="pct"/>
                  <w:tcBorders>
                    <w:tl2br w:val="nil"/>
                    <w:tr2bl w:val="nil"/>
                  </w:tcBorders>
                  <w:shd w:val="clear" w:color="auto" w:fill="auto"/>
                  <w:tcMar>
                    <w:top w:w="0" w:type="dxa"/>
                    <w:left w:w="23" w:type="dxa"/>
                    <w:bottom w:w="0" w:type="dxa"/>
                    <w:right w:w="23" w:type="dxa"/>
                  </w:tcMar>
                  <w:vAlign w:val="center"/>
                </w:tcPr>
                <w:p w14:paraId="715BFFFB">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0.2120</w:t>
                  </w:r>
                </w:p>
              </w:tc>
              <w:tc>
                <w:tcPr>
                  <w:tcW w:w="376" w:type="pct"/>
                  <w:vMerge w:val="restart"/>
                  <w:tcBorders>
                    <w:tl2br w:val="nil"/>
                    <w:tr2bl w:val="nil"/>
                  </w:tcBorders>
                  <w:shd w:val="clear" w:color="auto" w:fill="auto"/>
                  <w:tcMar>
                    <w:top w:w="0" w:type="dxa"/>
                    <w:left w:w="23" w:type="dxa"/>
                    <w:bottom w:w="0" w:type="dxa"/>
                    <w:right w:w="23" w:type="dxa"/>
                  </w:tcMar>
                  <w:vAlign w:val="center"/>
                </w:tcPr>
                <w:p w14:paraId="6358FD60">
                  <w:pPr>
                    <w:autoSpaceDE w:val="0"/>
                    <w:autoSpaceDN w:val="0"/>
                    <w:bidi w:val="0"/>
                    <w:adjustRightInd w:val="0"/>
                    <w:ind w:firstLine="0" w:firstLineChars="0"/>
                    <w:jc w:val="center"/>
                    <w:rPr>
                      <w:lang w:val="en-US" w:eastAsia="zh-CN"/>
                    </w:rPr>
                  </w:pPr>
                  <w:r>
                    <w:rPr>
                      <w:rFonts w:hint="eastAsia" w:cs="Times New Roman"/>
                      <w:color w:val="auto"/>
                      <w:kern w:val="0"/>
                      <w:sz w:val="21"/>
                      <w:szCs w:val="21"/>
                      <w:lang w:val="en-US" w:eastAsia="zh-CN"/>
                    </w:rPr>
                    <w:t>魏兴场镇污水处理厂</w:t>
                  </w:r>
                </w:p>
              </w:tc>
            </w:tr>
            <w:tr w14:paraId="1BA2EF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continue"/>
                  <w:tcBorders>
                    <w:tl2br w:val="nil"/>
                    <w:tr2bl w:val="nil"/>
                  </w:tcBorders>
                  <w:shd w:val="clear" w:color="auto" w:fill="auto"/>
                  <w:tcMar>
                    <w:top w:w="0" w:type="dxa"/>
                    <w:left w:w="23" w:type="dxa"/>
                    <w:bottom w:w="0" w:type="dxa"/>
                    <w:right w:w="23" w:type="dxa"/>
                  </w:tcMar>
                  <w:vAlign w:val="center"/>
                </w:tcPr>
                <w:p w14:paraId="32AAB95C">
                  <w:pPr>
                    <w:pStyle w:val="5"/>
                    <w:bidi w:val="0"/>
                    <w:rPr>
                      <w:lang w:val="en-US" w:eastAsia="zh-CN"/>
                    </w:rPr>
                  </w:pPr>
                </w:p>
              </w:tc>
              <w:tc>
                <w:tcPr>
                  <w:tcW w:w="574" w:type="pct"/>
                  <w:vMerge w:val="continue"/>
                  <w:tcBorders>
                    <w:tl2br w:val="nil"/>
                    <w:tr2bl w:val="nil"/>
                  </w:tcBorders>
                  <w:shd w:val="clear" w:color="auto" w:fill="auto"/>
                  <w:tcMar>
                    <w:top w:w="0" w:type="dxa"/>
                    <w:left w:w="23" w:type="dxa"/>
                    <w:bottom w:w="0" w:type="dxa"/>
                    <w:right w:w="23" w:type="dxa"/>
                  </w:tcMar>
                  <w:vAlign w:val="center"/>
                </w:tcPr>
                <w:p w14:paraId="272F5C7B">
                  <w:pPr>
                    <w:pStyle w:val="5"/>
                    <w:bidi w:val="0"/>
                    <w:rPr>
                      <w:lang w:val="en-US" w:eastAsia="zh-CN"/>
                    </w:rPr>
                  </w:pPr>
                </w:p>
              </w:tc>
              <w:tc>
                <w:tcPr>
                  <w:tcW w:w="670" w:type="pct"/>
                  <w:tcBorders>
                    <w:tl2br w:val="nil"/>
                    <w:tr2bl w:val="nil"/>
                  </w:tcBorders>
                  <w:shd w:val="clear" w:color="auto" w:fill="auto"/>
                  <w:tcMar>
                    <w:top w:w="0" w:type="dxa"/>
                    <w:left w:w="23" w:type="dxa"/>
                    <w:bottom w:w="0" w:type="dxa"/>
                    <w:right w:w="23" w:type="dxa"/>
                  </w:tcMar>
                  <w:vAlign w:val="center"/>
                </w:tcPr>
                <w:p w14:paraId="5F9AEF2E">
                  <w:pPr>
                    <w:pStyle w:val="5"/>
                    <w:bidi w:val="0"/>
                    <w:ind w:firstLine="0" w:firstLineChars="0"/>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BOD</w:t>
                  </w:r>
                </w:p>
              </w:tc>
              <w:tc>
                <w:tcPr>
                  <w:tcW w:w="812" w:type="pct"/>
                  <w:tcBorders>
                    <w:tl2br w:val="nil"/>
                    <w:tr2bl w:val="nil"/>
                  </w:tcBorders>
                  <w:shd w:val="clear" w:color="auto" w:fill="auto"/>
                  <w:tcMar>
                    <w:top w:w="0" w:type="dxa"/>
                    <w:left w:w="23" w:type="dxa"/>
                    <w:bottom w:w="0" w:type="dxa"/>
                    <w:right w:w="23" w:type="dxa"/>
                  </w:tcMar>
                  <w:vAlign w:val="center"/>
                </w:tcPr>
                <w:p w14:paraId="6E3501F1">
                  <w:pPr>
                    <w:pStyle w:val="5"/>
                    <w:bidi w:val="0"/>
                    <w:rPr>
                      <w:rFonts w:hint="default"/>
                      <w:lang w:val="en-US" w:eastAsia="zh-CN"/>
                    </w:rPr>
                  </w:pPr>
                  <w:r>
                    <w:rPr>
                      <w:rFonts w:hint="eastAsia"/>
                      <w:lang w:val="en-US" w:eastAsia="zh-CN"/>
                    </w:rPr>
                    <w:t>250</w:t>
                  </w:r>
                </w:p>
              </w:tc>
              <w:tc>
                <w:tcPr>
                  <w:tcW w:w="473" w:type="pct"/>
                  <w:vMerge w:val="continue"/>
                  <w:tcBorders>
                    <w:tl2br w:val="nil"/>
                    <w:tr2bl w:val="nil"/>
                  </w:tcBorders>
                  <w:shd w:val="clear" w:color="auto" w:fill="auto"/>
                  <w:tcMar>
                    <w:top w:w="0" w:type="dxa"/>
                    <w:left w:w="23" w:type="dxa"/>
                    <w:bottom w:w="0" w:type="dxa"/>
                    <w:right w:w="23" w:type="dxa"/>
                  </w:tcMar>
                  <w:vAlign w:val="center"/>
                </w:tcPr>
                <w:p w14:paraId="4792B7C4">
                  <w:pPr>
                    <w:pStyle w:val="5"/>
                    <w:bidi w:val="0"/>
                    <w:rPr>
                      <w:rFonts w:hint="default"/>
                      <w:lang w:val="en-US" w:eastAsia="zh-CN"/>
                    </w:rPr>
                  </w:pPr>
                </w:p>
              </w:tc>
              <w:tc>
                <w:tcPr>
                  <w:tcW w:w="530" w:type="pct"/>
                  <w:tcBorders>
                    <w:tl2br w:val="nil"/>
                    <w:tr2bl w:val="nil"/>
                  </w:tcBorders>
                  <w:shd w:val="clear" w:color="auto" w:fill="auto"/>
                  <w:tcMar>
                    <w:top w:w="0" w:type="dxa"/>
                    <w:left w:w="23" w:type="dxa"/>
                    <w:bottom w:w="0" w:type="dxa"/>
                    <w:right w:w="23" w:type="dxa"/>
                  </w:tcMar>
                  <w:vAlign w:val="center"/>
                </w:tcPr>
                <w:p w14:paraId="71C49C3F">
                  <w:pPr>
                    <w:pStyle w:val="5"/>
                    <w:bidi w:val="0"/>
                    <w:rPr>
                      <w:rFonts w:hint="default"/>
                      <w:lang w:val="en-US" w:eastAsia="zh-CN"/>
                    </w:rPr>
                  </w:pPr>
                  <w:r>
                    <w:rPr>
                      <w:rFonts w:hint="eastAsia"/>
                      <w:lang w:val="en-US" w:eastAsia="zh-CN"/>
                    </w:rPr>
                    <w:t>180</w:t>
                  </w:r>
                </w:p>
              </w:tc>
              <w:tc>
                <w:tcPr>
                  <w:tcW w:w="982" w:type="pct"/>
                  <w:tcBorders>
                    <w:tl2br w:val="nil"/>
                    <w:tr2bl w:val="nil"/>
                  </w:tcBorders>
                  <w:shd w:val="clear" w:color="auto" w:fill="auto"/>
                  <w:tcMar>
                    <w:top w:w="0" w:type="dxa"/>
                    <w:left w:w="23" w:type="dxa"/>
                    <w:bottom w:w="0" w:type="dxa"/>
                    <w:right w:w="23" w:type="dxa"/>
                  </w:tcMar>
                  <w:vAlign w:val="center"/>
                </w:tcPr>
                <w:p w14:paraId="764EDDED">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0.1659</w:t>
                  </w:r>
                </w:p>
              </w:tc>
              <w:tc>
                <w:tcPr>
                  <w:tcW w:w="376" w:type="pct"/>
                  <w:vMerge w:val="continue"/>
                  <w:tcBorders>
                    <w:tl2br w:val="nil"/>
                    <w:tr2bl w:val="nil"/>
                  </w:tcBorders>
                  <w:shd w:val="clear" w:color="auto" w:fill="auto"/>
                  <w:tcMar>
                    <w:top w:w="0" w:type="dxa"/>
                    <w:left w:w="23" w:type="dxa"/>
                    <w:bottom w:w="0" w:type="dxa"/>
                    <w:right w:w="23" w:type="dxa"/>
                  </w:tcMar>
                  <w:vAlign w:val="center"/>
                </w:tcPr>
                <w:p w14:paraId="5C08C478">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r>
            <w:tr w14:paraId="6A2074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continue"/>
                  <w:tcBorders>
                    <w:tl2br w:val="nil"/>
                    <w:tr2bl w:val="nil"/>
                  </w:tcBorders>
                  <w:shd w:val="clear" w:color="auto" w:fill="auto"/>
                  <w:tcMar>
                    <w:top w:w="0" w:type="dxa"/>
                    <w:left w:w="23" w:type="dxa"/>
                    <w:bottom w:w="0" w:type="dxa"/>
                    <w:right w:w="23" w:type="dxa"/>
                  </w:tcMar>
                  <w:vAlign w:val="center"/>
                </w:tcPr>
                <w:p w14:paraId="36CAE618">
                  <w:pPr>
                    <w:pStyle w:val="5"/>
                    <w:bidi w:val="0"/>
                    <w:rPr>
                      <w:lang w:val="en-US" w:eastAsia="zh-CN"/>
                    </w:rPr>
                  </w:pPr>
                </w:p>
              </w:tc>
              <w:tc>
                <w:tcPr>
                  <w:tcW w:w="574" w:type="pct"/>
                  <w:vMerge w:val="continue"/>
                  <w:tcBorders>
                    <w:tl2br w:val="nil"/>
                    <w:tr2bl w:val="nil"/>
                  </w:tcBorders>
                  <w:shd w:val="clear" w:color="auto" w:fill="auto"/>
                  <w:tcMar>
                    <w:top w:w="0" w:type="dxa"/>
                    <w:left w:w="23" w:type="dxa"/>
                    <w:bottom w:w="0" w:type="dxa"/>
                    <w:right w:w="23" w:type="dxa"/>
                  </w:tcMar>
                  <w:vAlign w:val="center"/>
                </w:tcPr>
                <w:p w14:paraId="1B461775">
                  <w:pPr>
                    <w:pStyle w:val="5"/>
                    <w:bidi w:val="0"/>
                    <w:rPr>
                      <w:lang w:val="en-US" w:eastAsia="zh-CN"/>
                    </w:rPr>
                  </w:pPr>
                </w:p>
              </w:tc>
              <w:tc>
                <w:tcPr>
                  <w:tcW w:w="670" w:type="pct"/>
                  <w:tcBorders>
                    <w:tl2br w:val="nil"/>
                    <w:tr2bl w:val="nil"/>
                  </w:tcBorders>
                  <w:shd w:val="clear" w:color="auto" w:fill="auto"/>
                  <w:tcMar>
                    <w:top w:w="0" w:type="dxa"/>
                    <w:left w:w="23" w:type="dxa"/>
                    <w:bottom w:w="0" w:type="dxa"/>
                    <w:right w:w="23" w:type="dxa"/>
                  </w:tcMar>
                  <w:vAlign w:val="center"/>
                </w:tcPr>
                <w:p w14:paraId="6F91FE9B">
                  <w:pPr>
                    <w:pStyle w:val="5"/>
                    <w:bidi w:val="0"/>
                    <w:ind w:firstLine="0" w:firstLineChars="0"/>
                    <w:rPr>
                      <w:rFonts w:hint="default" w:ascii="Times New Roman" w:hAnsi="Times New Roman" w:eastAsia="宋体" w:cs="Times New Roman"/>
                      <w:kern w:val="2"/>
                      <w:sz w:val="21"/>
                      <w:lang w:val="en-US" w:eastAsia="zh-CN" w:bidi="ar-SA"/>
                    </w:rPr>
                  </w:pPr>
                  <w:r>
                    <w:rPr>
                      <w:rFonts w:hint="eastAsia"/>
                      <w:color w:val="auto"/>
                    </w:rPr>
                    <w:t>NH</w:t>
                  </w:r>
                  <w:r>
                    <w:rPr>
                      <w:rFonts w:hint="eastAsia"/>
                      <w:color w:val="auto"/>
                      <w:vertAlign w:val="subscript"/>
                    </w:rPr>
                    <w:t>3</w:t>
                  </w:r>
                  <w:r>
                    <w:rPr>
                      <w:rFonts w:hint="eastAsia"/>
                      <w:color w:val="auto"/>
                    </w:rPr>
                    <w:t>-N</w:t>
                  </w:r>
                </w:p>
              </w:tc>
              <w:tc>
                <w:tcPr>
                  <w:tcW w:w="812" w:type="pct"/>
                  <w:tcBorders>
                    <w:tl2br w:val="nil"/>
                    <w:tr2bl w:val="nil"/>
                  </w:tcBorders>
                  <w:shd w:val="clear" w:color="auto" w:fill="auto"/>
                  <w:tcMar>
                    <w:top w:w="0" w:type="dxa"/>
                    <w:left w:w="23" w:type="dxa"/>
                    <w:bottom w:w="0" w:type="dxa"/>
                    <w:right w:w="23" w:type="dxa"/>
                  </w:tcMar>
                  <w:vAlign w:val="center"/>
                </w:tcPr>
                <w:p w14:paraId="176F58EE">
                  <w:pPr>
                    <w:pStyle w:val="5"/>
                    <w:bidi w:val="0"/>
                    <w:ind w:firstLine="0" w:firstLineChars="0"/>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37.7</w:t>
                  </w:r>
                </w:p>
              </w:tc>
              <w:tc>
                <w:tcPr>
                  <w:tcW w:w="473" w:type="pct"/>
                  <w:vMerge w:val="continue"/>
                  <w:tcBorders>
                    <w:tl2br w:val="nil"/>
                    <w:tr2bl w:val="nil"/>
                  </w:tcBorders>
                  <w:shd w:val="clear" w:color="auto" w:fill="auto"/>
                  <w:tcMar>
                    <w:top w:w="0" w:type="dxa"/>
                    <w:left w:w="23" w:type="dxa"/>
                    <w:bottom w:w="0" w:type="dxa"/>
                    <w:right w:w="23" w:type="dxa"/>
                  </w:tcMar>
                  <w:vAlign w:val="center"/>
                </w:tcPr>
                <w:p w14:paraId="56692280">
                  <w:pPr>
                    <w:pStyle w:val="5"/>
                    <w:bidi w:val="0"/>
                    <w:rPr>
                      <w:rFonts w:hint="default"/>
                      <w:lang w:val="en-US" w:eastAsia="zh-CN"/>
                    </w:rPr>
                  </w:pPr>
                </w:p>
              </w:tc>
              <w:tc>
                <w:tcPr>
                  <w:tcW w:w="530" w:type="pct"/>
                  <w:tcBorders>
                    <w:tl2br w:val="nil"/>
                    <w:tr2bl w:val="nil"/>
                  </w:tcBorders>
                  <w:shd w:val="clear" w:color="auto" w:fill="auto"/>
                  <w:tcMar>
                    <w:top w:w="0" w:type="dxa"/>
                    <w:left w:w="23" w:type="dxa"/>
                    <w:bottom w:w="0" w:type="dxa"/>
                    <w:right w:w="23" w:type="dxa"/>
                  </w:tcMar>
                  <w:vAlign w:val="center"/>
                </w:tcPr>
                <w:p w14:paraId="58C1F6E4">
                  <w:pPr>
                    <w:pStyle w:val="5"/>
                    <w:bidi w:val="0"/>
                    <w:rPr>
                      <w:rFonts w:hint="default"/>
                      <w:lang w:val="en-US" w:eastAsia="zh-CN"/>
                    </w:rPr>
                  </w:pPr>
                  <w:r>
                    <w:rPr>
                      <w:rFonts w:hint="eastAsia"/>
                      <w:lang w:val="en-US" w:eastAsia="zh-CN"/>
                    </w:rPr>
                    <w:t>28</w:t>
                  </w:r>
                </w:p>
              </w:tc>
              <w:tc>
                <w:tcPr>
                  <w:tcW w:w="982" w:type="pct"/>
                  <w:tcBorders>
                    <w:tl2br w:val="nil"/>
                    <w:tr2bl w:val="nil"/>
                  </w:tcBorders>
                  <w:shd w:val="clear" w:color="auto" w:fill="auto"/>
                  <w:tcMar>
                    <w:top w:w="0" w:type="dxa"/>
                    <w:left w:w="23" w:type="dxa"/>
                    <w:bottom w:w="0" w:type="dxa"/>
                    <w:right w:w="23" w:type="dxa"/>
                  </w:tcMar>
                  <w:vAlign w:val="center"/>
                </w:tcPr>
                <w:p w14:paraId="62E3A159">
                  <w:pPr>
                    <w:pStyle w:val="5"/>
                    <w:bidi w:val="0"/>
                    <w:rPr>
                      <w:rFonts w:hint="default"/>
                      <w:lang w:val="en-US" w:eastAsia="zh-CN"/>
                    </w:rPr>
                  </w:pPr>
                  <w:r>
                    <w:rPr>
                      <w:rFonts w:hint="eastAsia"/>
                      <w:lang w:val="en-US" w:eastAsia="zh-CN"/>
                    </w:rPr>
                    <w:t>0.2580</w:t>
                  </w:r>
                </w:p>
              </w:tc>
              <w:tc>
                <w:tcPr>
                  <w:tcW w:w="376" w:type="pct"/>
                  <w:vMerge w:val="continue"/>
                  <w:tcBorders>
                    <w:tl2br w:val="nil"/>
                    <w:tr2bl w:val="nil"/>
                  </w:tcBorders>
                  <w:shd w:val="clear" w:color="auto" w:fill="auto"/>
                  <w:tcMar>
                    <w:top w:w="0" w:type="dxa"/>
                    <w:left w:w="23" w:type="dxa"/>
                    <w:bottom w:w="0" w:type="dxa"/>
                    <w:right w:w="23" w:type="dxa"/>
                  </w:tcMar>
                  <w:vAlign w:val="center"/>
                </w:tcPr>
                <w:p w14:paraId="0B70D228">
                  <w:pPr>
                    <w:wordWrap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p>
              </w:tc>
            </w:tr>
            <w:tr w14:paraId="540000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continue"/>
                  <w:tcBorders>
                    <w:tl2br w:val="nil"/>
                    <w:tr2bl w:val="nil"/>
                  </w:tcBorders>
                  <w:shd w:val="clear" w:color="auto" w:fill="auto"/>
                  <w:tcMar>
                    <w:top w:w="0" w:type="dxa"/>
                    <w:left w:w="23" w:type="dxa"/>
                    <w:bottom w:w="0" w:type="dxa"/>
                    <w:right w:w="23" w:type="dxa"/>
                  </w:tcMar>
                  <w:vAlign w:val="center"/>
                </w:tcPr>
                <w:p w14:paraId="7356E3B8">
                  <w:pPr>
                    <w:pStyle w:val="5"/>
                    <w:bidi w:val="0"/>
                    <w:rPr>
                      <w:lang w:val="en-US" w:eastAsia="zh-CN"/>
                    </w:rPr>
                  </w:pPr>
                </w:p>
              </w:tc>
              <w:tc>
                <w:tcPr>
                  <w:tcW w:w="574" w:type="pct"/>
                  <w:vMerge w:val="continue"/>
                  <w:tcBorders>
                    <w:tl2br w:val="nil"/>
                    <w:tr2bl w:val="nil"/>
                  </w:tcBorders>
                  <w:shd w:val="clear" w:color="auto" w:fill="auto"/>
                  <w:tcMar>
                    <w:top w:w="0" w:type="dxa"/>
                    <w:left w:w="23" w:type="dxa"/>
                    <w:bottom w:w="0" w:type="dxa"/>
                    <w:right w:w="23" w:type="dxa"/>
                  </w:tcMar>
                  <w:vAlign w:val="center"/>
                </w:tcPr>
                <w:p w14:paraId="2492D4B8">
                  <w:pPr>
                    <w:pStyle w:val="5"/>
                    <w:bidi w:val="0"/>
                    <w:rPr>
                      <w:lang w:val="en-US" w:eastAsia="zh-CN"/>
                    </w:rPr>
                  </w:pPr>
                </w:p>
              </w:tc>
              <w:tc>
                <w:tcPr>
                  <w:tcW w:w="670" w:type="pct"/>
                  <w:tcBorders>
                    <w:tl2br w:val="nil"/>
                    <w:tr2bl w:val="nil"/>
                  </w:tcBorders>
                  <w:shd w:val="clear" w:color="auto" w:fill="auto"/>
                  <w:tcMar>
                    <w:top w:w="0" w:type="dxa"/>
                    <w:left w:w="23" w:type="dxa"/>
                    <w:bottom w:w="0" w:type="dxa"/>
                    <w:right w:w="23" w:type="dxa"/>
                  </w:tcMar>
                  <w:vAlign w:val="center"/>
                </w:tcPr>
                <w:p w14:paraId="55D86A6A">
                  <w:pPr>
                    <w:pStyle w:val="5"/>
                    <w:bidi w:val="0"/>
                    <w:rPr>
                      <w:rFonts w:hint="default"/>
                      <w:lang w:val="en-US" w:eastAsia="zh-CN"/>
                    </w:rPr>
                  </w:pPr>
                  <w:r>
                    <w:rPr>
                      <w:rFonts w:hint="eastAsia"/>
                      <w:lang w:val="en-US" w:eastAsia="zh-CN"/>
                    </w:rPr>
                    <w:t>总磷</w:t>
                  </w:r>
                </w:p>
              </w:tc>
              <w:tc>
                <w:tcPr>
                  <w:tcW w:w="812" w:type="pct"/>
                  <w:tcBorders>
                    <w:tl2br w:val="nil"/>
                    <w:tr2bl w:val="nil"/>
                  </w:tcBorders>
                  <w:shd w:val="clear" w:color="auto" w:fill="auto"/>
                  <w:tcMar>
                    <w:top w:w="0" w:type="dxa"/>
                    <w:left w:w="23" w:type="dxa"/>
                    <w:bottom w:w="0" w:type="dxa"/>
                    <w:right w:w="23" w:type="dxa"/>
                  </w:tcMar>
                  <w:vAlign w:val="center"/>
                </w:tcPr>
                <w:p w14:paraId="64B89A56">
                  <w:pPr>
                    <w:pStyle w:val="5"/>
                    <w:bidi w:val="0"/>
                    <w:rPr>
                      <w:rFonts w:hint="default"/>
                      <w:lang w:val="en-US" w:eastAsia="zh-CN"/>
                    </w:rPr>
                  </w:pPr>
                  <w:r>
                    <w:rPr>
                      <w:rFonts w:hint="eastAsia"/>
                      <w:lang w:val="en-US" w:eastAsia="zh-CN"/>
                    </w:rPr>
                    <w:t>4.28</w:t>
                  </w:r>
                </w:p>
              </w:tc>
              <w:tc>
                <w:tcPr>
                  <w:tcW w:w="473" w:type="pct"/>
                  <w:vMerge w:val="continue"/>
                  <w:tcBorders>
                    <w:tl2br w:val="nil"/>
                    <w:tr2bl w:val="nil"/>
                  </w:tcBorders>
                  <w:shd w:val="clear" w:color="auto" w:fill="auto"/>
                  <w:tcMar>
                    <w:top w:w="0" w:type="dxa"/>
                    <w:left w:w="23" w:type="dxa"/>
                    <w:bottom w:w="0" w:type="dxa"/>
                    <w:right w:w="23" w:type="dxa"/>
                  </w:tcMar>
                  <w:vAlign w:val="center"/>
                </w:tcPr>
                <w:p w14:paraId="193BA3C8">
                  <w:pPr>
                    <w:pStyle w:val="5"/>
                    <w:bidi w:val="0"/>
                    <w:rPr>
                      <w:rFonts w:hint="default"/>
                      <w:lang w:val="en-US" w:eastAsia="zh-CN"/>
                    </w:rPr>
                  </w:pPr>
                </w:p>
              </w:tc>
              <w:tc>
                <w:tcPr>
                  <w:tcW w:w="530" w:type="pct"/>
                  <w:tcBorders>
                    <w:tl2br w:val="nil"/>
                    <w:tr2bl w:val="nil"/>
                  </w:tcBorders>
                  <w:shd w:val="clear" w:color="auto" w:fill="auto"/>
                  <w:tcMar>
                    <w:top w:w="0" w:type="dxa"/>
                    <w:left w:w="23" w:type="dxa"/>
                    <w:bottom w:w="0" w:type="dxa"/>
                    <w:right w:w="23" w:type="dxa"/>
                  </w:tcMar>
                  <w:vAlign w:val="center"/>
                </w:tcPr>
                <w:p w14:paraId="2496784E">
                  <w:pPr>
                    <w:pStyle w:val="5"/>
                    <w:bidi w:val="0"/>
                    <w:rPr>
                      <w:rFonts w:hint="default"/>
                      <w:lang w:val="en-US" w:eastAsia="zh-CN"/>
                    </w:rPr>
                  </w:pPr>
                  <w:r>
                    <w:rPr>
                      <w:rFonts w:hint="eastAsia"/>
                      <w:lang w:val="en-US" w:eastAsia="zh-CN"/>
                    </w:rPr>
                    <w:t>2.8</w:t>
                  </w:r>
                </w:p>
              </w:tc>
              <w:tc>
                <w:tcPr>
                  <w:tcW w:w="982" w:type="pct"/>
                  <w:tcBorders>
                    <w:tl2br w:val="nil"/>
                    <w:tr2bl w:val="nil"/>
                  </w:tcBorders>
                  <w:shd w:val="clear" w:color="auto" w:fill="auto"/>
                  <w:tcMar>
                    <w:top w:w="0" w:type="dxa"/>
                    <w:left w:w="23" w:type="dxa"/>
                    <w:bottom w:w="0" w:type="dxa"/>
                    <w:right w:w="23" w:type="dxa"/>
                  </w:tcMar>
                  <w:vAlign w:val="center"/>
                </w:tcPr>
                <w:p w14:paraId="338A428F">
                  <w:pPr>
                    <w:pStyle w:val="5"/>
                    <w:bidi w:val="0"/>
                    <w:rPr>
                      <w:rFonts w:hint="default"/>
                      <w:lang w:val="en-US" w:eastAsia="zh-CN"/>
                    </w:rPr>
                  </w:pPr>
                  <w:r>
                    <w:rPr>
                      <w:rFonts w:hint="eastAsia"/>
                      <w:lang w:val="en-US" w:eastAsia="zh-CN"/>
                    </w:rPr>
                    <w:t>0.0026</w:t>
                  </w:r>
                </w:p>
              </w:tc>
              <w:tc>
                <w:tcPr>
                  <w:tcW w:w="376" w:type="pct"/>
                  <w:vMerge w:val="continue"/>
                  <w:tcBorders>
                    <w:tl2br w:val="nil"/>
                    <w:tr2bl w:val="nil"/>
                  </w:tcBorders>
                  <w:shd w:val="clear" w:color="auto" w:fill="auto"/>
                  <w:tcMar>
                    <w:top w:w="0" w:type="dxa"/>
                    <w:left w:w="23" w:type="dxa"/>
                    <w:bottom w:w="0" w:type="dxa"/>
                    <w:right w:w="23" w:type="dxa"/>
                  </w:tcMar>
                  <w:vAlign w:val="center"/>
                </w:tcPr>
                <w:p w14:paraId="035BAED3">
                  <w:pPr>
                    <w:pStyle w:val="5"/>
                    <w:bidi w:val="0"/>
                    <w:rPr>
                      <w:lang w:val="en-US" w:eastAsia="zh-CN"/>
                    </w:rPr>
                  </w:pPr>
                </w:p>
              </w:tc>
            </w:tr>
            <w:tr w14:paraId="1B7CEF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continue"/>
                  <w:tcBorders>
                    <w:tl2br w:val="nil"/>
                    <w:tr2bl w:val="nil"/>
                  </w:tcBorders>
                  <w:shd w:val="clear" w:color="auto" w:fill="auto"/>
                  <w:tcMar>
                    <w:top w:w="0" w:type="dxa"/>
                    <w:left w:w="23" w:type="dxa"/>
                    <w:bottom w:w="0" w:type="dxa"/>
                    <w:right w:w="23" w:type="dxa"/>
                  </w:tcMar>
                  <w:vAlign w:val="center"/>
                </w:tcPr>
                <w:p w14:paraId="12BF92D8">
                  <w:pPr>
                    <w:pStyle w:val="5"/>
                    <w:bidi w:val="0"/>
                    <w:rPr>
                      <w:lang w:val="en-US" w:eastAsia="zh-CN"/>
                    </w:rPr>
                  </w:pPr>
                </w:p>
              </w:tc>
              <w:tc>
                <w:tcPr>
                  <w:tcW w:w="574" w:type="pct"/>
                  <w:vMerge w:val="continue"/>
                  <w:tcBorders>
                    <w:tl2br w:val="nil"/>
                    <w:tr2bl w:val="nil"/>
                  </w:tcBorders>
                  <w:shd w:val="clear" w:color="auto" w:fill="auto"/>
                  <w:tcMar>
                    <w:top w:w="0" w:type="dxa"/>
                    <w:left w:w="23" w:type="dxa"/>
                    <w:bottom w:w="0" w:type="dxa"/>
                    <w:right w:w="23" w:type="dxa"/>
                  </w:tcMar>
                  <w:vAlign w:val="center"/>
                </w:tcPr>
                <w:p w14:paraId="404B4F73">
                  <w:pPr>
                    <w:pStyle w:val="5"/>
                    <w:bidi w:val="0"/>
                    <w:rPr>
                      <w:lang w:val="en-US" w:eastAsia="zh-CN"/>
                    </w:rPr>
                  </w:pPr>
                </w:p>
              </w:tc>
              <w:tc>
                <w:tcPr>
                  <w:tcW w:w="670" w:type="pct"/>
                  <w:tcBorders>
                    <w:tl2br w:val="nil"/>
                    <w:tr2bl w:val="nil"/>
                  </w:tcBorders>
                  <w:shd w:val="clear" w:color="auto" w:fill="auto"/>
                  <w:tcMar>
                    <w:top w:w="0" w:type="dxa"/>
                    <w:left w:w="23" w:type="dxa"/>
                    <w:bottom w:w="0" w:type="dxa"/>
                    <w:right w:w="23" w:type="dxa"/>
                  </w:tcMar>
                  <w:vAlign w:val="center"/>
                </w:tcPr>
                <w:p w14:paraId="7C4F2947">
                  <w:pPr>
                    <w:pStyle w:val="5"/>
                    <w:bidi w:val="0"/>
                    <w:jc w:val="center"/>
                    <w:rPr>
                      <w:rFonts w:hint="default"/>
                      <w:lang w:val="en-US" w:eastAsia="zh-CN"/>
                    </w:rPr>
                  </w:pPr>
                  <w:r>
                    <w:rPr>
                      <w:rFonts w:hint="eastAsia"/>
                      <w:lang w:val="en-US" w:eastAsia="zh-CN"/>
                    </w:rPr>
                    <w:t>SS</w:t>
                  </w:r>
                </w:p>
              </w:tc>
              <w:tc>
                <w:tcPr>
                  <w:tcW w:w="812" w:type="pct"/>
                  <w:tcBorders>
                    <w:tl2br w:val="nil"/>
                    <w:tr2bl w:val="nil"/>
                  </w:tcBorders>
                  <w:shd w:val="clear" w:color="auto" w:fill="auto"/>
                  <w:tcMar>
                    <w:top w:w="0" w:type="dxa"/>
                    <w:left w:w="23" w:type="dxa"/>
                    <w:bottom w:w="0" w:type="dxa"/>
                    <w:right w:w="23" w:type="dxa"/>
                  </w:tcMar>
                  <w:vAlign w:val="center"/>
                </w:tcPr>
                <w:p w14:paraId="5312D25C">
                  <w:pPr>
                    <w:pStyle w:val="5"/>
                    <w:bidi w:val="0"/>
                    <w:rPr>
                      <w:rFonts w:hint="default"/>
                      <w:lang w:val="en-US" w:eastAsia="zh-CN"/>
                    </w:rPr>
                  </w:pPr>
                  <w:r>
                    <w:rPr>
                      <w:rFonts w:hint="eastAsia"/>
                      <w:lang w:val="en-US" w:eastAsia="zh-CN"/>
                    </w:rPr>
                    <w:t>300</w:t>
                  </w:r>
                </w:p>
              </w:tc>
              <w:tc>
                <w:tcPr>
                  <w:tcW w:w="473" w:type="pct"/>
                  <w:vMerge w:val="continue"/>
                  <w:tcBorders>
                    <w:tl2br w:val="nil"/>
                    <w:tr2bl w:val="nil"/>
                  </w:tcBorders>
                  <w:shd w:val="clear" w:color="auto" w:fill="auto"/>
                  <w:tcMar>
                    <w:top w:w="0" w:type="dxa"/>
                    <w:left w:w="23" w:type="dxa"/>
                    <w:bottom w:w="0" w:type="dxa"/>
                    <w:right w:w="23" w:type="dxa"/>
                  </w:tcMar>
                  <w:vAlign w:val="center"/>
                </w:tcPr>
                <w:p w14:paraId="2899D60E">
                  <w:pPr>
                    <w:pStyle w:val="5"/>
                    <w:bidi w:val="0"/>
                    <w:rPr>
                      <w:rFonts w:hint="default"/>
                      <w:lang w:val="en-US" w:eastAsia="zh-CN"/>
                    </w:rPr>
                  </w:pPr>
                </w:p>
              </w:tc>
              <w:tc>
                <w:tcPr>
                  <w:tcW w:w="530" w:type="pct"/>
                  <w:tcBorders>
                    <w:tl2br w:val="nil"/>
                    <w:tr2bl w:val="nil"/>
                  </w:tcBorders>
                  <w:shd w:val="clear" w:color="auto" w:fill="auto"/>
                  <w:tcMar>
                    <w:top w:w="0" w:type="dxa"/>
                    <w:left w:w="23" w:type="dxa"/>
                    <w:bottom w:w="0" w:type="dxa"/>
                    <w:right w:w="23" w:type="dxa"/>
                  </w:tcMar>
                  <w:vAlign w:val="center"/>
                </w:tcPr>
                <w:p w14:paraId="275D8A93">
                  <w:pPr>
                    <w:pStyle w:val="5"/>
                    <w:bidi w:val="0"/>
                    <w:rPr>
                      <w:rFonts w:hint="default"/>
                      <w:lang w:val="en-US" w:eastAsia="zh-CN"/>
                    </w:rPr>
                  </w:pPr>
                  <w:r>
                    <w:rPr>
                      <w:rFonts w:hint="eastAsia"/>
                      <w:lang w:val="en-US" w:eastAsia="zh-CN"/>
                    </w:rPr>
                    <w:t>150</w:t>
                  </w:r>
                </w:p>
              </w:tc>
              <w:tc>
                <w:tcPr>
                  <w:tcW w:w="982" w:type="pct"/>
                  <w:tcBorders>
                    <w:tl2br w:val="nil"/>
                    <w:tr2bl w:val="nil"/>
                  </w:tcBorders>
                  <w:shd w:val="clear" w:color="auto" w:fill="auto"/>
                  <w:tcMar>
                    <w:top w:w="0" w:type="dxa"/>
                    <w:left w:w="23" w:type="dxa"/>
                    <w:bottom w:w="0" w:type="dxa"/>
                    <w:right w:w="23" w:type="dxa"/>
                  </w:tcMar>
                  <w:vAlign w:val="center"/>
                </w:tcPr>
                <w:p w14:paraId="61CB35C9">
                  <w:pPr>
                    <w:pStyle w:val="5"/>
                    <w:bidi w:val="0"/>
                    <w:rPr>
                      <w:rFonts w:hint="default"/>
                      <w:lang w:val="en-US" w:eastAsia="zh-CN"/>
                    </w:rPr>
                  </w:pPr>
                  <w:r>
                    <w:rPr>
                      <w:rFonts w:hint="eastAsia"/>
                      <w:lang w:val="en-US" w:eastAsia="zh-CN"/>
                    </w:rPr>
                    <w:t>0.1382</w:t>
                  </w:r>
                </w:p>
              </w:tc>
              <w:tc>
                <w:tcPr>
                  <w:tcW w:w="376" w:type="pct"/>
                  <w:vMerge w:val="continue"/>
                  <w:tcBorders>
                    <w:tl2br w:val="nil"/>
                    <w:tr2bl w:val="nil"/>
                  </w:tcBorders>
                  <w:shd w:val="clear" w:color="auto" w:fill="auto"/>
                  <w:tcMar>
                    <w:top w:w="0" w:type="dxa"/>
                    <w:left w:w="23" w:type="dxa"/>
                    <w:bottom w:w="0" w:type="dxa"/>
                    <w:right w:w="23" w:type="dxa"/>
                  </w:tcMar>
                  <w:vAlign w:val="center"/>
                </w:tcPr>
                <w:p w14:paraId="3CFE6CA5">
                  <w:pPr>
                    <w:pStyle w:val="5"/>
                    <w:bidi w:val="0"/>
                    <w:rPr>
                      <w:lang w:val="en-US" w:eastAsia="zh-CN"/>
                    </w:rPr>
                  </w:pPr>
                </w:p>
              </w:tc>
            </w:tr>
            <w:tr w14:paraId="7B17C2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80" w:type="pct"/>
                  <w:vMerge w:val="continue"/>
                  <w:tcBorders>
                    <w:tl2br w:val="nil"/>
                    <w:tr2bl w:val="nil"/>
                  </w:tcBorders>
                  <w:shd w:val="clear" w:color="auto" w:fill="auto"/>
                  <w:tcMar>
                    <w:top w:w="0" w:type="dxa"/>
                    <w:left w:w="23" w:type="dxa"/>
                    <w:bottom w:w="0" w:type="dxa"/>
                    <w:right w:w="23" w:type="dxa"/>
                  </w:tcMar>
                  <w:vAlign w:val="center"/>
                </w:tcPr>
                <w:p w14:paraId="73BE63F4">
                  <w:pPr>
                    <w:pStyle w:val="5"/>
                    <w:bidi w:val="0"/>
                    <w:rPr>
                      <w:lang w:val="en-US" w:eastAsia="zh-CN"/>
                    </w:rPr>
                  </w:pPr>
                </w:p>
              </w:tc>
              <w:tc>
                <w:tcPr>
                  <w:tcW w:w="574" w:type="pct"/>
                  <w:vMerge w:val="continue"/>
                  <w:tcBorders>
                    <w:tl2br w:val="nil"/>
                    <w:tr2bl w:val="nil"/>
                  </w:tcBorders>
                  <w:shd w:val="clear" w:color="auto" w:fill="auto"/>
                  <w:tcMar>
                    <w:top w:w="0" w:type="dxa"/>
                    <w:left w:w="23" w:type="dxa"/>
                    <w:bottom w:w="0" w:type="dxa"/>
                    <w:right w:w="23" w:type="dxa"/>
                  </w:tcMar>
                  <w:vAlign w:val="center"/>
                </w:tcPr>
                <w:p w14:paraId="1D8C53ED">
                  <w:pPr>
                    <w:pStyle w:val="5"/>
                    <w:bidi w:val="0"/>
                    <w:rPr>
                      <w:lang w:val="en-US" w:eastAsia="zh-CN"/>
                    </w:rPr>
                  </w:pPr>
                </w:p>
              </w:tc>
              <w:tc>
                <w:tcPr>
                  <w:tcW w:w="670" w:type="pct"/>
                  <w:tcBorders>
                    <w:tl2br w:val="nil"/>
                    <w:tr2bl w:val="nil"/>
                  </w:tcBorders>
                  <w:shd w:val="clear" w:color="auto" w:fill="auto"/>
                  <w:tcMar>
                    <w:top w:w="0" w:type="dxa"/>
                    <w:left w:w="23" w:type="dxa"/>
                    <w:bottom w:w="0" w:type="dxa"/>
                    <w:right w:w="23" w:type="dxa"/>
                  </w:tcMar>
                  <w:vAlign w:val="center"/>
                </w:tcPr>
                <w:p w14:paraId="60F83104">
                  <w:pPr>
                    <w:pStyle w:val="5"/>
                    <w:bidi w:val="0"/>
                    <w:jc w:val="center"/>
                    <w:rPr>
                      <w:rFonts w:hint="default"/>
                      <w:lang w:val="en-US" w:eastAsia="zh-CN"/>
                    </w:rPr>
                  </w:pPr>
                  <w:r>
                    <w:rPr>
                      <w:rFonts w:hint="eastAsia"/>
                      <w:lang w:val="en-US" w:eastAsia="zh-CN"/>
                    </w:rPr>
                    <w:t>动植物油</w:t>
                  </w:r>
                </w:p>
              </w:tc>
              <w:tc>
                <w:tcPr>
                  <w:tcW w:w="812" w:type="pct"/>
                  <w:tcBorders>
                    <w:tl2br w:val="nil"/>
                    <w:tr2bl w:val="nil"/>
                  </w:tcBorders>
                  <w:shd w:val="clear" w:color="auto" w:fill="auto"/>
                  <w:tcMar>
                    <w:top w:w="0" w:type="dxa"/>
                    <w:left w:w="23" w:type="dxa"/>
                    <w:bottom w:w="0" w:type="dxa"/>
                    <w:right w:w="23" w:type="dxa"/>
                  </w:tcMar>
                  <w:vAlign w:val="center"/>
                </w:tcPr>
                <w:p w14:paraId="02846B10">
                  <w:pPr>
                    <w:pStyle w:val="5"/>
                    <w:bidi w:val="0"/>
                    <w:rPr>
                      <w:rFonts w:hint="default"/>
                      <w:lang w:val="en-US" w:eastAsia="zh-CN"/>
                    </w:rPr>
                  </w:pPr>
                  <w:r>
                    <w:rPr>
                      <w:rFonts w:hint="eastAsia"/>
                      <w:lang w:val="en-US" w:eastAsia="zh-CN"/>
                    </w:rPr>
                    <w:t>/</w:t>
                  </w:r>
                </w:p>
              </w:tc>
              <w:tc>
                <w:tcPr>
                  <w:tcW w:w="473" w:type="pct"/>
                  <w:vMerge w:val="continue"/>
                  <w:tcBorders>
                    <w:tl2br w:val="nil"/>
                    <w:tr2bl w:val="nil"/>
                  </w:tcBorders>
                  <w:shd w:val="clear" w:color="auto" w:fill="auto"/>
                  <w:tcMar>
                    <w:top w:w="0" w:type="dxa"/>
                    <w:left w:w="23" w:type="dxa"/>
                    <w:bottom w:w="0" w:type="dxa"/>
                    <w:right w:w="23" w:type="dxa"/>
                  </w:tcMar>
                  <w:vAlign w:val="center"/>
                </w:tcPr>
                <w:p w14:paraId="1D3FBC27">
                  <w:pPr>
                    <w:pStyle w:val="5"/>
                    <w:bidi w:val="0"/>
                    <w:rPr>
                      <w:rFonts w:hint="default"/>
                      <w:lang w:val="en-US" w:eastAsia="zh-CN"/>
                    </w:rPr>
                  </w:pPr>
                </w:p>
              </w:tc>
              <w:tc>
                <w:tcPr>
                  <w:tcW w:w="530" w:type="pct"/>
                  <w:tcBorders>
                    <w:tl2br w:val="nil"/>
                    <w:tr2bl w:val="nil"/>
                  </w:tcBorders>
                  <w:shd w:val="clear" w:color="auto" w:fill="auto"/>
                  <w:tcMar>
                    <w:top w:w="0" w:type="dxa"/>
                    <w:left w:w="23" w:type="dxa"/>
                    <w:bottom w:w="0" w:type="dxa"/>
                    <w:right w:w="23" w:type="dxa"/>
                  </w:tcMar>
                  <w:vAlign w:val="center"/>
                </w:tcPr>
                <w:p w14:paraId="1E200EBF">
                  <w:pPr>
                    <w:pStyle w:val="5"/>
                    <w:bidi w:val="0"/>
                    <w:rPr>
                      <w:rFonts w:hint="default"/>
                      <w:lang w:val="en-US" w:eastAsia="zh-CN"/>
                    </w:rPr>
                  </w:pPr>
                  <w:r>
                    <w:rPr>
                      <w:rFonts w:hint="eastAsia"/>
                      <w:lang w:val="en-US" w:eastAsia="zh-CN"/>
                    </w:rPr>
                    <w:t>/</w:t>
                  </w:r>
                </w:p>
              </w:tc>
              <w:tc>
                <w:tcPr>
                  <w:tcW w:w="982" w:type="pct"/>
                  <w:tcBorders>
                    <w:tl2br w:val="nil"/>
                    <w:tr2bl w:val="nil"/>
                  </w:tcBorders>
                  <w:shd w:val="clear" w:color="auto" w:fill="auto"/>
                  <w:tcMar>
                    <w:top w:w="0" w:type="dxa"/>
                    <w:left w:w="23" w:type="dxa"/>
                    <w:bottom w:w="0" w:type="dxa"/>
                    <w:right w:w="23" w:type="dxa"/>
                  </w:tcMar>
                  <w:vAlign w:val="center"/>
                </w:tcPr>
                <w:p w14:paraId="75E827FA">
                  <w:pPr>
                    <w:pStyle w:val="5"/>
                    <w:bidi w:val="0"/>
                    <w:rPr>
                      <w:rFonts w:hint="default"/>
                      <w:lang w:val="en-US" w:eastAsia="zh-CN"/>
                    </w:rPr>
                  </w:pPr>
                  <w:r>
                    <w:rPr>
                      <w:rFonts w:hint="eastAsia"/>
                      <w:lang w:val="en-US" w:eastAsia="zh-CN"/>
                    </w:rPr>
                    <w:t>/</w:t>
                  </w:r>
                </w:p>
              </w:tc>
              <w:tc>
                <w:tcPr>
                  <w:tcW w:w="376" w:type="pct"/>
                  <w:vMerge w:val="continue"/>
                  <w:tcBorders>
                    <w:tl2br w:val="nil"/>
                    <w:tr2bl w:val="nil"/>
                  </w:tcBorders>
                  <w:shd w:val="clear" w:color="auto" w:fill="auto"/>
                  <w:tcMar>
                    <w:top w:w="0" w:type="dxa"/>
                    <w:left w:w="23" w:type="dxa"/>
                    <w:bottom w:w="0" w:type="dxa"/>
                    <w:right w:w="23" w:type="dxa"/>
                  </w:tcMar>
                  <w:vAlign w:val="center"/>
                </w:tcPr>
                <w:p w14:paraId="0FD2B6BE">
                  <w:pPr>
                    <w:pStyle w:val="5"/>
                    <w:bidi w:val="0"/>
                    <w:rPr>
                      <w:lang w:val="en-US" w:eastAsia="zh-CN"/>
                    </w:rPr>
                  </w:pPr>
                </w:p>
              </w:tc>
            </w:tr>
          </w:tbl>
          <w:p w14:paraId="32C71031">
            <w:pPr>
              <w:spacing w:line="480" w:lineRule="auto"/>
              <w:ind w:firstLine="480"/>
              <w:rPr>
                <w:rFonts w:hint="eastAsia"/>
                <w:b/>
                <w:bCs/>
                <w:color w:val="auto"/>
                <w:highlight w:val="none"/>
                <w:lang w:val="en-US" w:eastAsia="zh-CN"/>
              </w:rPr>
            </w:pPr>
            <w:r>
              <w:rPr>
                <w:rFonts w:hint="eastAsia"/>
                <w:b/>
                <w:bCs/>
                <w:color w:val="auto"/>
                <w:highlight w:val="none"/>
                <w:lang w:val="en-US" w:eastAsia="zh-CN"/>
              </w:rPr>
              <w:t>2、噪声</w:t>
            </w:r>
          </w:p>
          <w:p w14:paraId="6537927F">
            <w:pPr>
              <w:ind w:firstLine="480"/>
              <w:rPr>
                <w:rFonts w:cs="Times New Roman"/>
                <w:szCs w:val="24"/>
              </w:rPr>
            </w:pPr>
            <w:r>
              <w:rPr>
                <w:rFonts w:hint="eastAsia"/>
                <w:lang w:val="en-US" w:eastAsia="zh-CN"/>
              </w:rPr>
              <w:t>根据</w:t>
            </w:r>
            <w:r>
              <w:rPr>
                <w:rFonts w:hint="eastAsia" w:cs="Times New Roman"/>
                <w:szCs w:val="24"/>
                <w:lang w:val="en-US" w:eastAsia="zh-CN"/>
              </w:rPr>
              <w:t>现有工程</w:t>
            </w:r>
            <w:r>
              <w:rPr>
                <w:rFonts w:cs="Times New Roman"/>
                <w:szCs w:val="24"/>
              </w:rPr>
              <w:t>噪声源强调查</w:t>
            </w:r>
            <w:r>
              <w:rPr>
                <w:rFonts w:hint="eastAsia" w:cs="Times New Roman"/>
                <w:szCs w:val="24"/>
                <w:lang w:eastAsia="zh-CN"/>
              </w:rPr>
              <w:t>，</w:t>
            </w:r>
            <w:r>
              <w:rPr>
                <w:rFonts w:cs="Times New Roman"/>
                <w:szCs w:val="24"/>
              </w:rPr>
              <w:t>噪声源主要为</w:t>
            </w:r>
            <w:r>
              <w:rPr>
                <w:rFonts w:hint="eastAsia" w:cs="Times New Roman"/>
                <w:szCs w:val="24"/>
                <w:lang w:val="en-US" w:eastAsia="zh-CN"/>
              </w:rPr>
              <w:t>分条机、裁切机、封装机和</w:t>
            </w:r>
            <w:r>
              <w:rPr>
                <w:rFonts w:cs="Times New Roman"/>
                <w:szCs w:val="24"/>
              </w:rPr>
              <w:t>空压机等设备，噪声污染源强为</w:t>
            </w:r>
            <w:r>
              <w:rPr>
                <w:rFonts w:hint="eastAsia" w:cs="Times New Roman"/>
                <w:szCs w:val="24"/>
                <w:lang w:val="en-US" w:eastAsia="zh-CN"/>
              </w:rPr>
              <w:t>65</w:t>
            </w:r>
            <w:r>
              <w:rPr>
                <w:rFonts w:cs="Times New Roman"/>
                <w:szCs w:val="24"/>
              </w:rPr>
              <w:t>-</w:t>
            </w:r>
            <w:r>
              <w:rPr>
                <w:rFonts w:hint="eastAsia" w:cs="Times New Roman"/>
                <w:szCs w:val="24"/>
                <w:lang w:val="en-US" w:eastAsia="zh-CN"/>
              </w:rPr>
              <w:t>82</w:t>
            </w:r>
            <w:r>
              <w:rPr>
                <w:rFonts w:cs="Times New Roman"/>
                <w:szCs w:val="24"/>
              </w:rPr>
              <w:t>dB（A），噪声源</w:t>
            </w:r>
            <w:r>
              <w:rPr>
                <w:rFonts w:hint="eastAsia" w:cs="Times New Roman"/>
                <w:szCs w:val="24"/>
                <w:lang w:eastAsia="zh-CN"/>
              </w:rPr>
              <w:t>调查结果</w:t>
            </w:r>
            <w:r>
              <w:rPr>
                <w:rFonts w:cs="Times New Roman"/>
                <w:szCs w:val="24"/>
              </w:rPr>
              <w:t>见表</w:t>
            </w:r>
            <w:r>
              <w:rPr>
                <w:rFonts w:hint="eastAsia" w:cs="Times New Roman"/>
                <w:szCs w:val="24"/>
                <w:lang w:val="en-US" w:eastAsia="zh-CN"/>
              </w:rPr>
              <w:t>2-12</w:t>
            </w:r>
            <w:r>
              <w:rPr>
                <w:rFonts w:cs="Times New Roman"/>
                <w:szCs w:val="24"/>
              </w:rPr>
              <w:t>。项目</w:t>
            </w:r>
            <w:r>
              <w:rPr>
                <w:rFonts w:hint="eastAsia" w:cs="Times New Roman"/>
                <w:szCs w:val="24"/>
                <w:lang w:eastAsia="zh-CN"/>
              </w:rPr>
              <w:t>采用</w:t>
            </w:r>
            <w:r>
              <w:rPr>
                <w:rFonts w:cs="Times New Roman"/>
                <w:szCs w:val="24"/>
              </w:rPr>
              <w:t>EIAProN 2021噪声预测评价模拟软件</w:t>
            </w:r>
            <w:r>
              <w:rPr>
                <w:rFonts w:hint="eastAsia" w:cs="Times New Roman"/>
                <w:szCs w:val="24"/>
                <w:lang w:val="en-US" w:eastAsia="zh-CN"/>
              </w:rPr>
              <w:t>对噪声进行预测</w:t>
            </w:r>
            <w:r>
              <w:rPr>
                <w:rFonts w:cs="Times New Roman"/>
                <w:szCs w:val="24"/>
              </w:rPr>
              <w:t>。</w:t>
            </w:r>
          </w:p>
          <w:p w14:paraId="50D9E507">
            <w:pPr>
              <w:pStyle w:val="38"/>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color w:val="auto"/>
              </w:rPr>
              <w:t>项目主要设备噪声源强见下表。</w:t>
            </w:r>
          </w:p>
          <w:p w14:paraId="72A1F3AC">
            <w:pPr>
              <w:pStyle w:val="7"/>
              <w:bidi w:val="0"/>
            </w:pPr>
            <w:r>
              <w:rPr>
                <w:rFonts w:hint="eastAsia"/>
                <w:lang w:val="zh-CN" w:eastAsia="zh-CN"/>
              </w:rPr>
              <w:t>表</w:t>
            </w:r>
            <w:r>
              <w:rPr>
                <w:rFonts w:hint="eastAsia"/>
                <w:lang w:val="en-US" w:eastAsia="zh-CN"/>
              </w:rPr>
              <w:t>2</w:t>
            </w:r>
            <w:r>
              <w:rPr>
                <w:rFonts w:hint="eastAsia"/>
                <w:lang w:val="zh-CN" w:eastAsia="zh-CN"/>
              </w:rPr>
              <w:t>-</w:t>
            </w:r>
            <w:r>
              <w:rPr>
                <w:rFonts w:hint="eastAsia"/>
                <w:lang w:val="en-US" w:eastAsia="zh-CN"/>
              </w:rPr>
              <w:t>12  现有工程</w:t>
            </w:r>
            <w:r>
              <w:rPr>
                <w:rFonts w:hint="eastAsia"/>
                <w:lang w:val="zh-CN" w:eastAsia="zh-CN"/>
              </w:rPr>
              <w:t>噪声源强</w:t>
            </w:r>
            <w:r>
              <w:rPr>
                <w:rFonts w:hint="eastAsia"/>
                <w:lang w:val="en-US" w:eastAsia="zh-CN"/>
              </w:rPr>
              <w:t>调查清单</w:t>
            </w:r>
            <w:r>
              <w:rPr>
                <w:rFonts w:hint="eastAsia"/>
                <w:lang w:val="zh-CN" w:eastAsia="zh-CN"/>
              </w:rPr>
              <w:t>（室</w:t>
            </w:r>
            <w:r>
              <w:rPr>
                <w:rFonts w:hint="eastAsia"/>
                <w:lang w:val="en-US" w:eastAsia="zh-CN"/>
              </w:rPr>
              <w:t>内</w:t>
            </w:r>
            <w:r>
              <w:rPr>
                <w:rFonts w:hint="eastAsia"/>
                <w:lang w:val="zh-CN" w:eastAsia="zh-CN"/>
              </w:rPr>
              <w:t>声源）</w:t>
            </w:r>
          </w:p>
          <w:tbl>
            <w:tblPr>
              <w:tblStyle w:val="3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816"/>
              <w:gridCol w:w="427"/>
              <w:gridCol w:w="790"/>
              <w:gridCol w:w="636"/>
              <w:gridCol w:w="321"/>
              <w:gridCol w:w="331"/>
              <w:gridCol w:w="562"/>
              <w:gridCol w:w="813"/>
              <w:gridCol w:w="790"/>
              <w:gridCol w:w="463"/>
              <w:gridCol w:w="790"/>
              <w:gridCol w:w="790"/>
              <w:gridCol w:w="459"/>
            </w:tblGrid>
            <w:tr w14:paraId="25BEB9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1" w:type="pct"/>
                  <w:vMerge w:val="restart"/>
                  <w:tcBorders>
                    <w:tl2br w:val="nil"/>
                    <w:tr2bl w:val="nil"/>
                  </w:tcBorders>
                  <w:noWrap w:val="0"/>
                  <w:vAlign w:val="center"/>
                </w:tcPr>
                <w:p w14:paraId="31D26CBA">
                  <w:pPr>
                    <w:pStyle w:val="5"/>
                    <w:bidi w:val="0"/>
                    <w:rPr>
                      <w:rFonts w:hint="eastAsia"/>
                      <w:b/>
                      <w:bCs/>
                      <w:lang w:val="zh-CN" w:eastAsia="zh-CN"/>
                    </w:rPr>
                  </w:pPr>
                  <w:r>
                    <w:rPr>
                      <w:rFonts w:hint="eastAsia"/>
                      <w:b/>
                      <w:bCs/>
                      <w:lang w:val="zh-CN" w:eastAsia="zh-CN"/>
                    </w:rPr>
                    <w:t>序号</w:t>
                  </w:r>
                </w:p>
              </w:tc>
              <w:tc>
                <w:tcPr>
                  <w:tcW w:w="268" w:type="pct"/>
                  <w:vMerge w:val="restart"/>
                  <w:tcBorders>
                    <w:tl2br w:val="nil"/>
                    <w:tr2bl w:val="nil"/>
                  </w:tcBorders>
                  <w:noWrap w:val="0"/>
                  <w:vAlign w:val="center"/>
                </w:tcPr>
                <w:p w14:paraId="6D869934">
                  <w:pPr>
                    <w:pStyle w:val="5"/>
                    <w:bidi w:val="0"/>
                    <w:rPr>
                      <w:rFonts w:hint="eastAsia"/>
                      <w:b/>
                      <w:bCs/>
                      <w:lang w:val="zh-CN" w:eastAsia="zh-CN"/>
                    </w:rPr>
                  </w:pPr>
                  <w:r>
                    <w:rPr>
                      <w:rFonts w:hint="eastAsia"/>
                      <w:b/>
                      <w:bCs/>
                      <w:lang w:val="zh-CN" w:eastAsia="zh-CN"/>
                    </w:rPr>
                    <w:t>建筑物名称</w:t>
                  </w:r>
                </w:p>
              </w:tc>
              <w:tc>
                <w:tcPr>
                  <w:tcW w:w="507" w:type="pct"/>
                  <w:vMerge w:val="restart"/>
                  <w:tcBorders>
                    <w:tl2br w:val="nil"/>
                    <w:tr2bl w:val="nil"/>
                  </w:tcBorders>
                  <w:noWrap w:val="0"/>
                  <w:vAlign w:val="center"/>
                </w:tcPr>
                <w:p w14:paraId="13873ACB">
                  <w:pPr>
                    <w:pStyle w:val="5"/>
                    <w:bidi w:val="0"/>
                    <w:rPr>
                      <w:rFonts w:hint="eastAsia"/>
                      <w:b/>
                      <w:bCs/>
                      <w:lang w:val="zh-CN" w:eastAsia="zh-CN"/>
                    </w:rPr>
                  </w:pPr>
                  <w:r>
                    <w:rPr>
                      <w:rFonts w:hint="eastAsia"/>
                      <w:b/>
                      <w:bCs/>
                      <w:lang w:val="zh-CN" w:eastAsia="zh-CN"/>
                    </w:rPr>
                    <w:t>声源名称</w:t>
                  </w:r>
                </w:p>
              </w:tc>
              <w:tc>
                <w:tcPr>
                  <w:tcW w:w="243" w:type="pct"/>
                  <w:vMerge w:val="restart"/>
                  <w:tcBorders>
                    <w:tl2br w:val="nil"/>
                    <w:tr2bl w:val="nil"/>
                  </w:tcBorders>
                  <w:noWrap w:val="0"/>
                  <w:vAlign w:val="center"/>
                </w:tcPr>
                <w:p w14:paraId="636B4EBA">
                  <w:pPr>
                    <w:pStyle w:val="5"/>
                    <w:bidi w:val="0"/>
                    <w:rPr>
                      <w:rFonts w:hint="eastAsia"/>
                      <w:b/>
                      <w:bCs/>
                      <w:lang w:val="zh-CN" w:eastAsia="zh-CN"/>
                    </w:rPr>
                  </w:pPr>
                  <w:r>
                    <w:rPr>
                      <w:rFonts w:hint="eastAsia"/>
                      <w:b/>
                      <w:bCs/>
                      <w:lang w:val="zh-CN" w:eastAsia="zh-CN"/>
                    </w:rPr>
                    <w:t>台数</w:t>
                  </w:r>
                </w:p>
              </w:tc>
              <w:tc>
                <w:tcPr>
                  <w:tcW w:w="447" w:type="pct"/>
                  <w:vMerge w:val="restart"/>
                  <w:tcBorders>
                    <w:tl2br w:val="nil"/>
                    <w:tr2bl w:val="nil"/>
                  </w:tcBorders>
                  <w:noWrap w:val="0"/>
                  <w:vAlign w:val="center"/>
                </w:tcPr>
                <w:p w14:paraId="6C7DC43E">
                  <w:pPr>
                    <w:pStyle w:val="5"/>
                    <w:bidi w:val="0"/>
                    <w:rPr>
                      <w:rFonts w:hint="eastAsia"/>
                      <w:b/>
                      <w:bCs/>
                      <w:lang w:val="zh-CN" w:eastAsia="zh-CN"/>
                    </w:rPr>
                  </w:pPr>
                  <w:r>
                    <w:rPr>
                      <w:rFonts w:hint="eastAsia"/>
                      <w:b/>
                      <w:bCs/>
                      <w:lang w:val="zh-CN" w:eastAsia="zh-CN"/>
                    </w:rPr>
                    <w:t>声源源强</w:t>
                  </w:r>
                </w:p>
              </w:tc>
              <w:tc>
                <w:tcPr>
                  <w:tcW w:w="349" w:type="pct"/>
                  <w:vMerge w:val="restart"/>
                  <w:tcBorders>
                    <w:tl2br w:val="nil"/>
                    <w:tr2bl w:val="nil"/>
                  </w:tcBorders>
                  <w:noWrap w:val="0"/>
                  <w:vAlign w:val="center"/>
                </w:tcPr>
                <w:p w14:paraId="537F5708">
                  <w:pPr>
                    <w:pStyle w:val="5"/>
                    <w:bidi w:val="0"/>
                    <w:rPr>
                      <w:rFonts w:hint="eastAsia"/>
                      <w:b/>
                      <w:bCs/>
                      <w:lang w:val="zh-CN" w:eastAsia="zh-CN"/>
                    </w:rPr>
                  </w:pPr>
                  <w:r>
                    <w:rPr>
                      <w:rFonts w:hint="eastAsia"/>
                      <w:b/>
                      <w:bCs/>
                      <w:lang w:val="zh-CN" w:eastAsia="zh-CN"/>
                    </w:rPr>
                    <w:t>声源控制措施</w:t>
                  </w:r>
                </w:p>
              </w:tc>
              <w:tc>
                <w:tcPr>
                  <w:tcW w:w="830" w:type="pct"/>
                  <w:gridSpan w:val="3"/>
                  <w:vMerge w:val="restart"/>
                  <w:tcBorders>
                    <w:tl2br w:val="nil"/>
                    <w:tr2bl w:val="nil"/>
                  </w:tcBorders>
                  <w:noWrap w:val="0"/>
                  <w:vAlign w:val="center"/>
                </w:tcPr>
                <w:p w14:paraId="0DF60A95">
                  <w:pPr>
                    <w:pStyle w:val="5"/>
                    <w:bidi w:val="0"/>
                    <w:rPr>
                      <w:rFonts w:hint="eastAsia"/>
                      <w:b/>
                      <w:bCs/>
                      <w:lang w:val="zh-CN" w:eastAsia="zh-CN"/>
                    </w:rPr>
                  </w:pPr>
                  <w:r>
                    <w:rPr>
                      <w:rFonts w:hint="eastAsia"/>
                      <w:b/>
                      <w:bCs/>
                      <w:lang w:val="zh-CN" w:eastAsia="zh-CN"/>
                    </w:rPr>
                    <w:t>空间相对位置</w:t>
                  </w:r>
                </w:p>
                <w:p w14:paraId="76EC26A2">
                  <w:pPr>
                    <w:pStyle w:val="5"/>
                    <w:bidi w:val="0"/>
                    <w:rPr>
                      <w:rFonts w:hint="eastAsia"/>
                      <w:b/>
                      <w:bCs/>
                      <w:lang w:val="zh-CN" w:eastAsia="zh-CN"/>
                    </w:rPr>
                  </w:pPr>
                  <w:r>
                    <w:rPr>
                      <w:rFonts w:hint="eastAsia"/>
                      <w:b/>
                      <w:bCs/>
                      <w:lang w:val="zh-CN" w:eastAsia="zh-CN"/>
                    </w:rPr>
                    <w:t>m</w:t>
                  </w:r>
                </w:p>
              </w:tc>
              <w:tc>
                <w:tcPr>
                  <w:tcW w:w="318" w:type="pct"/>
                  <w:vMerge w:val="restart"/>
                  <w:tcBorders>
                    <w:tl2br w:val="nil"/>
                    <w:tr2bl w:val="nil"/>
                  </w:tcBorders>
                  <w:noWrap w:val="0"/>
                  <w:vAlign w:val="center"/>
                </w:tcPr>
                <w:p w14:paraId="13D0E8F1">
                  <w:pPr>
                    <w:pStyle w:val="5"/>
                    <w:bidi w:val="0"/>
                    <w:rPr>
                      <w:rFonts w:hint="eastAsia"/>
                      <w:b/>
                      <w:bCs/>
                      <w:lang w:val="zh-CN" w:eastAsia="zh-CN"/>
                    </w:rPr>
                  </w:pPr>
                  <w:r>
                    <w:rPr>
                      <w:rFonts w:hint="eastAsia"/>
                      <w:b/>
                      <w:bCs/>
                      <w:lang w:val="zh-CN" w:eastAsia="zh-CN"/>
                    </w:rPr>
                    <w:t>距室内边界距离（m）</w:t>
                  </w:r>
                </w:p>
              </w:tc>
              <w:tc>
                <w:tcPr>
                  <w:tcW w:w="413" w:type="pct"/>
                  <w:vMerge w:val="restart"/>
                  <w:tcBorders>
                    <w:tl2br w:val="nil"/>
                    <w:tr2bl w:val="nil"/>
                  </w:tcBorders>
                  <w:noWrap w:val="0"/>
                  <w:vAlign w:val="center"/>
                </w:tcPr>
                <w:p w14:paraId="3C064D5C">
                  <w:pPr>
                    <w:pStyle w:val="5"/>
                    <w:bidi w:val="0"/>
                    <w:rPr>
                      <w:rFonts w:hint="eastAsia"/>
                      <w:b/>
                      <w:bCs/>
                      <w:lang w:val="zh-CN" w:eastAsia="zh-CN"/>
                    </w:rPr>
                  </w:pPr>
                  <w:r>
                    <w:rPr>
                      <w:rFonts w:hint="eastAsia"/>
                      <w:b/>
                      <w:bCs/>
                      <w:lang w:val="zh-CN" w:eastAsia="zh-CN"/>
                    </w:rPr>
                    <w:t>室内边界声级</w:t>
                  </w:r>
                </w:p>
                <w:p w14:paraId="7E45D9F7">
                  <w:pPr>
                    <w:pStyle w:val="5"/>
                    <w:bidi w:val="0"/>
                    <w:rPr>
                      <w:rFonts w:hint="eastAsia"/>
                      <w:b/>
                      <w:bCs/>
                      <w:lang w:val="zh-CN" w:eastAsia="zh-CN"/>
                    </w:rPr>
                  </w:pPr>
                  <w:r>
                    <w:rPr>
                      <w:rFonts w:hint="eastAsia"/>
                      <w:b/>
                      <w:bCs/>
                      <w:lang w:val="zh-CN" w:eastAsia="zh-CN"/>
                    </w:rPr>
                    <w:t>dB（A）</w:t>
                  </w:r>
                </w:p>
              </w:tc>
              <w:tc>
                <w:tcPr>
                  <w:tcW w:w="298" w:type="pct"/>
                  <w:vMerge w:val="restart"/>
                  <w:tcBorders>
                    <w:tl2br w:val="nil"/>
                    <w:tr2bl w:val="nil"/>
                  </w:tcBorders>
                  <w:noWrap w:val="0"/>
                  <w:vAlign w:val="center"/>
                </w:tcPr>
                <w:p w14:paraId="323D821D">
                  <w:pPr>
                    <w:pStyle w:val="5"/>
                    <w:bidi w:val="0"/>
                    <w:rPr>
                      <w:rFonts w:hint="eastAsia"/>
                      <w:b/>
                      <w:bCs/>
                      <w:lang w:val="zh-CN" w:eastAsia="zh-CN"/>
                    </w:rPr>
                  </w:pPr>
                  <w:r>
                    <w:rPr>
                      <w:rFonts w:hint="eastAsia"/>
                      <w:b/>
                      <w:bCs/>
                      <w:lang w:val="zh-CN" w:eastAsia="zh-CN"/>
                    </w:rPr>
                    <w:t>运行时段</w:t>
                  </w:r>
                </w:p>
              </w:tc>
              <w:tc>
                <w:tcPr>
                  <w:tcW w:w="395" w:type="pct"/>
                  <w:vMerge w:val="restart"/>
                  <w:tcBorders>
                    <w:tl2br w:val="nil"/>
                    <w:tr2bl w:val="nil"/>
                  </w:tcBorders>
                  <w:noWrap w:val="0"/>
                  <w:vAlign w:val="center"/>
                </w:tcPr>
                <w:p w14:paraId="279D3F6C">
                  <w:pPr>
                    <w:pStyle w:val="5"/>
                    <w:bidi w:val="0"/>
                    <w:rPr>
                      <w:rFonts w:hint="eastAsia"/>
                      <w:b/>
                      <w:bCs/>
                      <w:lang w:val="zh-CN" w:eastAsia="zh-CN"/>
                    </w:rPr>
                  </w:pPr>
                  <w:r>
                    <w:rPr>
                      <w:rFonts w:hint="eastAsia"/>
                      <w:b/>
                      <w:bCs/>
                      <w:lang w:val="zh-CN" w:eastAsia="zh-CN"/>
                    </w:rPr>
                    <w:t>建筑物插入损失</w:t>
                  </w:r>
                </w:p>
                <w:p w14:paraId="40094E32">
                  <w:pPr>
                    <w:pStyle w:val="5"/>
                    <w:bidi w:val="0"/>
                    <w:rPr>
                      <w:rFonts w:hint="eastAsia"/>
                      <w:b/>
                      <w:bCs/>
                      <w:lang w:val="zh-CN" w:eastAsia="zh-CN"/>
                    </w:rPr>
                  </w:pPr>
                  <w:r>
                    <w:rPr>
                      <w:rFonts w:hint="eastAsia"/>
                      <w:b/>
                      <w:bCs/>
                      <w:lang w:val="zh-CN" w:eastAsia="zh-CN"/>
                    </w:rPr>
                    <w:t>dB（A）</w:t>
                  </w:r>
                </w:p>
              </w:tc>
              <w:tc>
                <w:tcPr>
                  <w:tcW w:w="685" w:type="pct"/>
                  <w:gridSpan w:val="2"/>
                  <w:tcBorders>
                    <w:tl2br w:val="nil"/>
                    <w:tr2bl w:val="nil"/>
                  </w:tcBorders>
                  <w:noWrap w:val="0"/>
                  <w:vAlign w:val="center"/>
                </w:tcPr>
                <w:p w14:paraId="496015FC">
                  <w:pPr>
                    <w:pStyle w:val="5"/>
                    <w:bidi w:val="0"/>
                    <w:rPr>
                      <w:rFonts w:hint="eastAsia"/>
                      <w:b/>
                      <w:bCs/>
                      <w:lang w:val="zh-CN" w:eastAsia="zh-CN"/>
                    </w:rPr>
                  </w:pPr>
                  <w:r>
                    <w:rPr>
                      <w:rFonts w:hint="eastAsia"/>
                      <w:b/>
                      <w:bCs/>
                      <w:lang w:val="zh-CN" w:eastAsia="zh-CN"/>
                    </w:rPr>
                    <w:t>建筑物外噪声</w:t>
                  </w:r>
                </w:p>
              </w:tc>
            </w:tr>
            <w:tr w14:paraId="6B881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41" w:type="pct"/>
                  <w:vMerge w:val="continue"/>
                  <w:tcBorders>
                    <w:tl2br w:val="nil"/>
                    <w:tr2bl w:val="nil"/>
                  </w:tcBorders>
                  <w:noWrap w:val="0"/>
                  <w:vAlign w:val="center"/>
                </w:tcPr>
                <w:p w14:paraId="56753965">
                  <w:pPr>
                    <w:pStyle w:val="5"/>
                    <w:bidi w:val="0"/>
                    <w:rPr>
                      <w:rFonts w:hint="eastAsia"/>
                      <w:b/>
                      <w:bCs/>
                      <w:lang w:val="zh-CN" w:eastAsia="zh-CN"/>
                    </w:rPr>
                  </w:pPr>
                </w:p>
              </w:tc>
              <w:tc>
                <w:tcPr>
                  <w:tcW w:w="268" w:type="pct"/>
                  <w:vMerge w:val="continue"/>
                  <w:tcBorders>
                    <w:tl2br w:val="nil"/>
                    <w:tr2bl w:val="nil"/>
                  </w:tcBorders>
                  <w:noWrap w:val="0"/>
                  <w:vAlign w:val="center"/>
                </w:tcPr>
                <w:p w14:paraId="59B3C198">
                  <w:pPr>
                    <w:pStyle w:val="5"/>
                    <w:bidi w:val="0"/>
                    <w:rPr>
                      <w:rFonts w:hint="eastAsia"/>
                      <w:b/>
                      <w:bCs/>
                      <w:lang w:val="zh-CN" w:eastAsia="zh-CN"/>
                    </w:rPr>
                  </w:pPr>
                </w:p>
              </w:tc>
              <w:tc>
                <w:tcPr>
                  <w:tcW w:w="507" w:type="pct"/>
                  <w:vMerge w:val="continue"/>
                  <w:tcBorders>
                    <w:tl2br w:val="nil"/>
                    <w:tr2bl w:val="nil"/>
                  </w:tcBorders>
                  <w:noWrap w:val="0"/>
                  <w:vAlign w:val="center"/>
                </w:tcPr>
                <w:p w14:paraId="2DFA1BDC">
                  <w:pPr>
                    <w:pStyle w:val="5"/>
                    <w:bidi w:val="0"/>
                    <w:rPr>
                      <w:rFonts w:hint="eastAsia"/>
                      <w:b/>
                      <w:bCs/>
                      <w:lang w:val="zh-CN" w:eastAsia="zh-CN"/>
                    </w:rPr>
                  </w:pPr>
                </w:p>
              </w:tc>
              <w:tc>
                <w:tcPr>
                  <w:tcW w:w="243" w:type="pct"/>
                  <w:vMerge w:val="continue"/>
                  <w:tcBorders>
                    <w:tl2br w:val="nil"/>
                    <w:tr2bl w:val="nil"/>
                  </w:tcBorders>
                  <w:noWrap w:val="0"/>
                  <w:vAlign w:val="center"/>
                </w:tcPr>
                <w:p w14:paraId="3A7A899B">
                  <w:pPr>
                    <w:pStyle w:val="5"/>
                    <w:bidi w:val="0"/>
                    <w:rPr>
                      <w:rFonts w:hint="eastAsia"/>
                      <w:b/>
                      <w:bCs/>
                      <w:lang w:val="zh-CN" w:eastAsia="zh-CN"/>
                    </w:rPr>
                  </w:pPr>
                </w:p>
              </w:tc>
              <w:tc>
                <w:tcPr>
                  <w:tcW w:w="447" w:type="pct"/>
                  <w:vMerge w:val="continue"/>
                  <w:tcBorders>
                    <w:tl2br w:val="nil"/>
                    <w:tr2bl w:val="nil"/>
                  </w:tcBorders>
                  <w:noWrap w:val="0"/>
                  <w:vAlign w:val="center"/>
                </w:tcPr>
                <w:p w14:paraId="1DCC8D2A">
                  <w:pPr>
                    <w:pStyle w:val="5"/>
                    <w:bidi w:val="0"/>
                    <w:rPr>
                      <w:rFonts w:hint="eastAsia"/>
                      <w:b/>
                      <w:bCs/>
                      <w:lang w:val="zh-CN" w:eastAsia="zh-CN"/>
                    </w:rPr>
                  </w:pPr>
                </w:p>
              </w:tc>
              <w:tc>
                <w:tcPr>
                  <w:tcW w:w="349" w:type="pct"/>
                  <w:vMerge w:val="continue"/>
                  <w:tcBorders>
                    <w:tl2br w:val="nil"/>
                    <w:tr2bl w:val="nil"/>
                  </w:tcBorders>
                  <w:noWrap w:val="0"/>
                  <w:vAlign w:val="center"/>
                </w:tcPr>
                <w:p w14:paraId="022E5078">
                  <w:pPr>
                    <w:pStyle w:val="5"/>
                    <w:bidi w:val="0"/>
                    <w:rPr>
                      <w:rFonts w:hint="eastAsia"/>
                      <w:b/>
                      <w:bCs/>
                      <w:lang w:val="zh-CN" w:eastAsia="zh-CN"/>
                    </w:rPr>
                  </w:pPr>
                </w:p>
              </w:tc>
              <w:tc>
                <w:tcPr>
                  <w:tcW w:w="830" w:type="pct"/>
                  <w:gridSpan w:val="3"/>
                  <w:vMerge w:val="continue"/>
                  <w:tcBorders>
                    <w:tl2br w:val="nil"/>
                    <w:tr2bl w:val="nil"/>
                  </w:tcBorders>
                  <w:noWrap w:val="0"/>
                  <w:vAlign w:val="center"/>
                </w:tcPr>
                <w:p w14:paraId="5C03705B">
                  <w:pPr>
                    <w:pStyle w:val="5"/>
                    <w:bidi w:val="0"/>
                    <w:rPr>
                      <w:rFonts w:hint="eastAsia"/>
                      <w:b/>
                      <w:bCs/>
                      <w:lang w:val="zh-CN" w:eastAsia="zh-CN"/>
                    </w:rPr>
                  </w:pPr>
                </w:p>
              </w:tc>
              <w:tc>
                <w:tcPr>
                  <w:tcW w:w="318" w:type="pct"/>
                  <w:vMerge w:val="continue"/>
                  <w:tcBorders>
                    <w:tl2br w:val="nil"/>
                    <w:tr2bl w:val="nil"/>
                  </w:tcBorders>
                  <w:noWrap w:val="0"/>
                  <w:vAlign w:val="center"/>
                </w:tcPr>
                <w:p w14:paraId="22BA50AF">
                  <w:pPr>
                    <w:pStyle w:val="5"/>
                    <w:bidi w:val="0"/>
                    <w:rPr>
                      <w:rFonts w:hint="eastAsia"/>
                      <w:b/>
                      <w:bCs/>
                      <w:lang w:val="zh-CN" w:eastAsia="zh-CN"/>
                    </w:rPr>
                  </w:pPr>
                </w:p>
              </w:tc>
              <w:tc>
                <w:tcPr>
                  <w:tcW w:w="413" w:type="pct"/>
                  <w:vMerge w:val="continue"/>
                  <w:tcBorders>
                    <w:tl2br w:val="nil"/>
                    <w:tr2bl w:val="nil"/>
                  </w:tcBorders>
                  <w:noWrap w:val="0"/>
                  <w:vAlign w:val="center"/>
                </w:tcPr>
                <w:p w14:paraId="0B577900">
                  <w:pPr>
                    <w:pStyle w:val="5"/>
                    <w:bidi w:val="0"/>
                    <w:rPr>
                      <w:rFonts w:hint="eastAsia"/>
                      <w:b/>
                      <w:bCs/>
                      <w:lang w:val="zh-CN" w:eastAsia="zh-CN"/>
                    </w:rPr>
                  </w:pPr>
                </w:p>
              </w:tc>
              <w:tc>
                <w:tcPr>
                  <w:tcW w:w="298" w:type="pct"/>
                  <w:vMerge w:val="continue"/>
                  <w:tcBorders>
                    <w:tl2br w:val="nil"/>
                    <w:tr2bl w:val="nil"/>
                  </w:tcBorders>
                  <w:noWrap w:val="0"/>
                  <w:vAlign w:val="center"/>
                </w:tcPr>
                <w:p w14:paraId="76A55EE2">
                  <w:pPr>
                    <w:pStyle w:val="5"/>
                    <w:bidi w:val="0"/>
                    <w:rPr>
                      <w:rFonts w:hint="eastAsia"/>
                      <w:b/>
                      <w:bCs/>
                      <w:lang w:val="zh-CN" w:eastAsia="zh-CN"/>
                    </w:rPr>
                  </w:pPr>
                </w:p>
              </w:tc>
              <w:tc>
                <w:tcPr>
                  <w:tcW w:w="395" w:type="pct"/>
                  <w:vMerge w:val="continue"/>
                  <w:tcBorders>
                    <w:tl2br w:val="nil"/>
                    <w:tr2bl w:val="nil"/>
                  </w:tcBorders>
                  <w:noWrap w:val="0"/>
                  <w:vAlign w:val="center"/>
                </w:tcPr>
                <w:p w14:paraId="533711B0">
                  <w:pPr>
                    <w:pStyle w:val="5"/>
                    <w:bidi w:val="0"/>
                    <w:rPr>
                      <w:rFonts w:hint="eastAsia"/>
                      <w:b/>
                      <w:bCs/>
                      <w:lang w:val="zh-CN" w:eastAsia="zh-CN"/>
                    </w:rPr>
                  </w:pPr>
                </w:p>
              </w:tc>
              <w:tc>
                <w:tcPr>
                  <w:tcW w:w="395" w:type="pct"/>
                  <w:vMerge w:val="restart"/>
                  <w:tcBorders>
                    <w:tl2br w:val="nil"/>
                    <w:tr2bl w:val="nil"/>
                  </w:tcBorders>
                  <w:noWrap w:val="0"/>
                  <w:vAlign w:val="center"/>
                </w:tcPr>
                <w:p w14:paraId="437DE734">
                  <w:pPr>
                    <w:pStyle w:val="5"/>
                    <w:bidi w:val="0"/>
                    <w:rPr>
                      <w:rFonts w:hint="eastAsia"/>
                      <w:b/>
                      <w:bCs/>
                      <w:lang w:val="zh-CN" w:eastAsia="zh-CN"/>
                    </w:rPr>
                  </w:pPr>
                  <w:r>
                    <w:rPr>
                      <w:rFonts w:hint="eastAsia"/>
                      <w:b/>
                      <w:bCs/>
                      <w:lang w:val="zh-CN" w:eastAsia="zh-CN"/>
                    </w:rPr>
                    <w:t>声压级</w:t>
                  </w:r>
                </w:p>
                <w:p w14:paraId="625A7119">
                  <w:pPr>
                    <w:pStyle w:val="5"/>
                    <w:bidi w:val="0"/>
                    <w:rPr>
                      <w:rFonts w:hint="eastAsia"/>
                      <w:b/>
                      <w:bCs/>
                      <w:lang w:val="zh-CN" w:eastAsia="zh-CN"/>
                    </w:rPr>
                  </w:pPr>
                  <w:r>
                    <w:rPr>
                      <w:rFonts w:hint="eastAsia"/>
                      <w:b/>
                      <w:bCs/>
                      <w:lang w:val="zh-CN" w:eastAsia="zh-CN"/>
                    </w:rPr>
                    <w:t>dB（A）</w:t>
                  </w:r>
                </w:p>
              </w:tc>
              <w:tc>
                <w:tcPr>
                  <w:tcW w:w="290" w:type="pct"/>
                  <w:vMerge w:val="restart"/>
                  <w:tcBorders>
                    <w:tl2br w:val="nil"/>
                    <w:tr2bl w:val="nil"/>
                  </w:tcBorders>
                  <w:noWrap w:val="0"/>
                  <w:vAlign w:val="center"/>
                </w:tcPr>
                <w:p w14:paraId="1E6A255E">
                  <w:pPr>
                    <w:pStyle w:val="5"/>
                    <w:bidi w:val="0"/>
                    <w:rPr>
                      <w:rFonts w:hint="eastAsia"/>
                      <w:b/>
                      <w:bCs/>
                      <w:lang w:val="zh-CN" w:eastAsia="zh-CN"/>
                    </w:rPr>
                  </w:pPr>
                  <w:r>
                    <w:rPr>
                      <w:rFonts w:hint="eastAsia"/>
                      <w:b/>
                      <w:bCs/>
                      <w:lang w:val="zh-CN" w:eastAsia="zh-CN"/>
                    </w:rPr>
                    <w:t>建筑物外距离</w:t>
                  </w:r>
                </w:p>
              </w:tc>
            </w:tr>
            <w:tr w14:paraId="430102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vMerge w:val="continue"/>
                  <w:tcBorders>
                    <w:tl2br w:val="nil"/>
                    <w:tr2bl w:val="nil"/>
                  </w:tcBorders>
                  <w:noWrap w:val="0"/>
                  <w:vAlign w:val="center"/>
                </w:tcPr>
                <w:p w14:paraId="0E444189">
                  <w:pPr>
                    <w:pStyle w:val="5"/>
                    <w:bidi w:val="0"/>
                    <w:rPr>
                      <w:rFonts w:hint="eastAsia"/>
                      <w:lang w:val="zh-CN" w:eastAsia="zh-CN"/>
                    </w:rPr>
                  </w:pPr>
                </w:p>
              </w:tc>
              <w:tc>
                <w:tcPr>
                  <w:tcW w:w="268" w:type="pct"/>
                  <w:vMerge w:val="continue"/>
                  <w:tcBorders>
                    <w:tl2br w:val="nil"/>
                    <w:tr2bl w:val="nil"/>
                  </w:tcBorders>
                  <w:noWrap w:val="0"/>
                  <w:vAlign w:val="center"/>
                </w:tcPr>
                <w:p w14:paraId="39DFE92F">
                  <w:pPr>
                    <w:pStyle w:val="5"/>
                    <w:bidi w:val="0"/>
                    <w:rPr>
                      <w:rFonts w:hint="eastAsia"/>
                      <w:lang w:val="zh-CN" w:eastAsia="zh-CN"/>
                    </w:rPr>
                  </w:pPr>
                </w:p>
              </w:tc>
              <w:tc>
                <w:tcPr>
                  <w:tcW w:w="507" w:type="pct"/>
                  <w:vMerge w:val="continue"/>
                  <w:tcBorders>
                    <w:tl2br w:val="nil"/>
                    <w:tr2bl w:val="nil"/>
                  </w:tcBorders>
                  <w:noWrap w:val="0"/>
                  <w:vAlign w:val="center"/>
                </w:tcPr>
                <w:p w14:paraId="31EB7FC8">
                  <w:pPr>
                    <w:pStyle w:val="5"/>
                    <w:bidi w:val="0"/>
                    <w:rPr>
                      <w:rFonts w:hint="eastAsia"/>
                      <w:lang w:val="zh-CN" w:eastAsia="zh-CN"/>
                    </w:rPr>
                  </w:pPr>
                </w:p>
              </w:tc>
              <w:tc>
                <w:tcPr>
                  <w:tcW w:w="243" w:type="pct"/>
                  <w:vMerge w:val="continue"/>
                  <w:tcBorders>
                    <w:tl2br w:val="nil"/>
                    <w:tr2bl w:val="nil"/>
                  </w:tcBorders>
                  <w:noWrap w:val="0"/>
                  <w:vAlign w:val="center"/>
                </w:tcPr>
                <w:p w14:paraId="18786442">
                  <w:pPr>
                    <w:pStyle w:val="5"/>
                    <w:bidi w:val="0"/>
                    <w:rPr>
                      <w:rFonts w:hint="eastAsia"/>
                      <w:lang w:val="zh-CN" w:eastAsia="zh-CN"/>
                    </w:rPr>
                  </w:pPr>
                </w:p>
              </w:tc>
              <w:tc>
                <w:tcPr>
                  <w:tcW w:w="447" w:type="pct"/>
                  <w:tcBorders>
                    <w:tl2br w:val="nil"/>
                    <w:tr2bl w:val="nil"/>
                  </w:tcBorders>
                  <w:noWrap w:val="0"/>
                  <w:vAlign w:val="center"/>
                </w:tcPr>
                <w:p w14:paraId="5A72EBB4">
                  <w:pPr>
                    <w:pStyle w:val="5"/>
                    <w:bidi w:val="0"/>
                    <w:rPr>
                      <w:rFonts w:hint="eastAsia"/>
                      <w:b/>
                      <w:bCs/>
                      <w:lang w:val="zh-CN" w:eastAsia="zh-CN"/>
                    </w:rPr>
                  </w:pPr>
                  <w:r>
                    <w:rPr>
                      <w:rFonts w:hint="eastAsia"/>
                      <w:b/>
                      <w:bCs/>
                      <w:lang w:val="zh-CN" w:eastAsia="zh-CN"/>
                    </w:rPr>
                    <w:t>声功率级</w:t>
                  </w:r>
                </w:p>
                <w:p w14:paraId="05594D75">
                  <w:pPr>
                    <w:pStyle w:val="5"/>
                    <w:bidi w:val="0"/>
                    <w:rPr>
                      <w:rFonts w:hint="eastAsia"/>
                      <w:b/>
                      <w:bCs/>
                      <w:lang w:val="zh-CN" w:eastAsia="zh-CN"/>
                    </w:rPr>
                  </w:pPr>
                  <w:r>
                    <w:rPr>
                      <w:rFonts w:hint="eastAsia"/>
                      <w:b/>
                      <w:bCs/>
                      <w:lang w:val="zh-CN" w:eastAsia="zh-CN"/>
                    </w:rPr>
                    <w:t>dB</w:t>
                  </w:r>
                </w:p>
                <w:p w14:paraId="51F1AFC0">
                  <w:pPr>
                    <w:pStyle w:val="5"/>
                    <w:bidi w:val="0"/>
                    <w:rPr>
                      <w:rFonts w:hint="eastAsia"/>
                      <w:b/>
                      <w:bCs/>
                      <w:lang w:val="zh-CN" w:eastAsia="zh-CN"/>
                    </w:rPr>
                  </w:pPr>
                  <w:r>
                    <w:rPr>
                      <w:rFonts w:hint="eastAsia"/>
                      <w:b/>
                      <w:bCs/>
                      <w:lang w:val="zh-CN" w:eastAsia="zh-CN"/>
                    </w:rPr>
                    <w:t>（A）</w:t>
                  </w:r>
                </w:p>
              </w:tc>
              <w:tc>
                <w:tcPr>
                  <w:tcW w:w="349" w:type="pct"/>
                  <w:vMerge w:val="continue"/>
                  <w:tcBorders>
                    <w:tl2br w:val="nil"/>
                    <w:tr2bl w:val="nil"/>
                  </w:tcBorders>
                  <w:noWrap w:val="0"/>
                  <w:vAlign w:val="center"/>
                </w:tcPr>
                <w:p w14:paraId="19BC7CCD">
                  <w:pPr>
                    <w:pStyle w:val="5"/>
                    <w:bidi w:val="0"/>
                    <w:rPr>
                      <w:rFonts w:hint="eastAsia"/>
                      <w:b/>
                      <w:bCs/>
                      <w:lang w:val="zh-CN" w:eastAsia="zh-CN"/>
                    </w:rPr>
                  </w:pPr>
                </w:p>
              </w:tc>
              <w:tc>
                <w:tcPr>
                  <w:tcW w:w="232" w:type="pct"/>
                  <w:tcBorders>
                    <w:tl2br w:val="nil"/>
                    <w:tr2bl w:val="nil"/>
                  </w:tcBorders>
                  <w:noWrap w:val="0"/>
                  <w:vAlign w:val="center"/>
                </w:tcPr>
                <w:p w14:paraId="45D0E8E2">
                  <w:pPr>
                    <w:pStyle w:val="5"/>
                    <w:bidi w:val="0"/>
                    <w:rPr>
                      <w:rFonts w:hint="eastAsia"/>
                      <w:b/>
                      <w:bCs/>
                      <w:lang w:val="zh-CN" w:eastAsia="zh-CN"/>
                    </w:rPr>
                  </w:pPr>
                  <w:r>
                    <w:rPr>
                      <w:rFonts w:hint="eastAsia"/>
                      <w:b/>
                      <w:bCs/>
                      <w:lang w:val="zh-CN" w:eastAsia="zh-CN"/>
                    </w:rPr>
                    <w:t>x</w:t>
                  </w:r>
                </w:p>
              </w:tc>
              <w:tc>
                <w:tcPr>
                  <w:tcW w:w="244" w:type="pct"/>
                  <w:tcBorders>
                    <w:tl2br w:val="nil"/>
                    <w:tr2bl w:val="nil"/>
                  </w:tcBorders>
                  <w:noWrap w:val="0"/>
                  <w:vAlign w:val="center"/>
                </w:tcPr>
                <w:p w14:paraId="3620BFB2">
                  <w:pPr>
                    <w:pStyle w:val="5"/>
                    <w:bidi w:val="0"/>
                    <w:rPr>
                      <w:rFonts w:hint="eastAsia"/>
                      <w:b/>
                      <w:bCs/>
                      <w:lang w:val="zh-CN" w:eastAsia="zh-CN"/>
                    </w:rPr>
                  </w:pPr>
                  <w:r>
                    <w:rPr>
                      <w:rFonts w:hint="eastAsia"/>
                      <w:b/>
                      <w:bCs/>
                      <w:lang w:val="zh-CN" w:eastAsia="zh-CN"/>
                    </w:rPr>
                    <w:t>y</w:t>
                  </w:r>
                </w:p>
              </w:tc>
              <w:tc>
                <w:tcPr>
                  <w:tcW w:w="352" w:type="pct"/>
                  <w:tcBorders>
                    <w:tl2br w:val="nil"/>
                    <w:tr2bl w:val="nil"/>
                  </w:tcBorders>
                  <w:noWrap w:val="0"/>
                  <w:vAlign w:val="center"/>
                </w:tcPr>
                <w:p w14:paraId="54AB7225">
                  <w:pPr>
                    <w:pStyle w:val="5"/>
                    <w:bidi w:val="0"/>
                    <w:rPr>
                      <w:rFonts w:hint="eastAsia"/>
                      <w:b/>
                      <w:bCs/>
                      <w:lang w:val="zh-CN" w:eastAsia="zh-CN"/>
                    </w:rPr>
                  </w:pPr>
                  <w:r>
                    <w:rPr>
                      <w:rFonts w:hint="eastAsia"/>
                      <w:b/>
                      <w:bCs/>
                      <w:lang w:val="zh-CN" w:eastAsia="zh-CN"/>
                    </w:rPr>
                    <w:t>z</w:t>
                  </w:r>
                </w:p>
              </w:tc>
              <w:tc>
                <w:tcPr>
                  <w:tcW w:w="318" w:type="pct"/>
                  <w:vMerge w:val="continue"/>
                  <w:tcBorders>
                    <w:tl2br w:val="nil"/>
                    <w:tr2bl w:val="nil"/>
                  </w:tcBorders>
                  <w:noWrap w:val="0"/>
                  <w:vAlign w:val="center"/>
                </w:tcPr>
                <w:p w14:paraId="78AD3BBF">
                  <w:pPr>
                    <w:pStyle w:val="5"/>
                    <w:bidi w:val="0"/>
                    <w:rPr>
                      <w:rFonts w:hint="eastAsia"/>
                      <w:b/>
                      <w:bCs/>
                      <w:lang w:val="zh-CN" w:eastAsia="zh-CN"/>
                    </w:rPr>
                  </w:pPr>
                </w:p>
              </w:tc>
              <w:tc>
                <w:tcPr>
                  <w:tcW w:w="413" w:type="pct"/>
                  <w:vMerge w:val="continue"/>
                  <w:tcBorders>
                    <w:tl2br w:val="nil"/>
                    <w:tr2bl w:val="nil"/>
                  </w:tcBorders>
                  <w:noWrap w:val="0"/>
                  <w:vAlign w:val="center"/>
                </w:tcPr>
                <w:p w14:paraId="44FE94F8">
                  <w:pPr>
                    <w:pStyle w:val="5"/>
                    <w:bidi w:val="0"/>
                    <w:rPr>
                      <w:rFonts w:hint="eastAsia"/>
                      <w:lang w:val="zh-CN" w:eastAsia="zh-CN"/>
                    </w:rPr>
                  </w:pPr>
                </w:p>
              </w:tc>
              <w:tc>
                <w:tcPr>
                  <w:tcW w:w="298" w:type="pct"/>
                  <w:vMerge w:val="continue"/>
                  <w:tcBorders>
                    <w:tl2br w:val="nil"/>
                    <w:tr2bl w:val="nil"/>
                  </w:tcBorders>
                  <w:noWrap w:val="0"/>
                  <w:vAlign w:val="center"/>
                </w:tcPr>
                <w:p w14:paraId="56901D73">
                  <w:pPr>
                    <w:pStyle w:val="5"/>
                    <w:bidi w:val="0"/>
                    <w:rPr>
                      <w:rFonts w:hint="eastAsia"/>
                      <w:lang w:val="zh-CN" w:eastAsia="zh-CN"/>
                    </w:rPr>
                  </w:pPr>
                </w:p>
              </w:tc>
              <w:tc>
                <w:tcPr>
                  <w:tcW w:w="395" w:type="pct"/>
                  <w:vMerge w:val="continue"/>
                  <w:tcBorders>
                    <w:tl2br w:val="nil"/>
                    <w:tr2bl w:val="nil"/>
                  </w:tcBorders>
                  <w:noWrap w:val="0"/>
                  <w:vAlign w:val="center"/>
                </w:tcPr>
                <w:p w14:paraId="42BB6EA5">
                  <w:pPr>
                    <w:pStyle w:val="5"/>
                    <w:bidi w:val="0"/>
                    <w:rPr>
                      <w:rFonts w:hint="eastAsia"/>
                      <w:lang w:val="zh-CN" w:eastAsia="zh-CN"/>
                    </w:rPr>
                  </w:pPr>
                </w:p>
              </w:tc>
              <w:tc>
                <w:tcPr>
                  <w:tcW w:w="395" w:type="pct"/>
                  <w:vMerge w:val="continue"/>
                  <w:tcBorders>
                    <w:tl2br w:val="nil"/>
                    <w:tr2bl w:val="nil"/>
                  </w:tcBorders>
                  <w:noWrap w:val="0"/>
                  <w:vAlign w:val="center"/>
                </w:tcPr>
                <w:p w14:paraId="54EC1506">
                  <w:pPr>
                    <w:pStyle w:val="5"/>
                    <w:bidi w:val="0"/>
                    <w:rPr>
                      <w:rFonts w:hint="eastAsia"/>
                      <w:lang w:val="zh-CN" w:eastAsia="zh-CN"/>
                    </w:rPr>
                  </w:pPr>
                </w:p>
              </w:tc>
              <w:tc>
                <w:tcPr>
                  <w:tcW w:w="290" w:type="pct"/>
                  <w:vMerge w:val="continue"/>
                  <w:tcBorders>
                    <w:tl2br w:val="nil"/>
                    <w:tr2bl w:val="nil"/>
                  </w:tcBorders>
                  <w:noWrap w:val="0"/>
                  <w:vAlign w:val="center"/>
                </w:tcPr>
                <w:p w14:paraId="2C50894C">
                  <w:pPr>
                    <w:pStyle w:val="5"/>
                    <w:bidi w:val="0"/>
                    <w:rPr>
                      <w:rFonts w:hint="eastAsia"/>
                      <w:lang w:val="zh-CN" w:eastAsia="zh-CN"/>
                    </w:rPr>
                  </w:pPr>
                </w:p>
              </w:tc>
            </w:tr>
            <w:tr w14:paraId="0DDB83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41" w:type="pct"/>
                  <w:tcBorders>
                    <w:tl2br w:val="nil"/>
                    <w:tr2bl w:val="nil"/>
                  </w:tcBorders>
                  <w:noWrap w:val="0"/>
                  <w:vAlign w:val="center"/>
                </w:tcPr>
                <w:p w14:paraId="0A6CE91D">
                  <w:pPr>
                    <w:pStyle w:val="5"/>
                    <w:bidi w:val="0"/>
                    <w:rPr>
                      <w:rFonts w:hint="default"/>
                      <w:lang w:val="en-US" w:eastAsia="zh-CN"/>
                    </w:rPr>
                  </w:pPr>
                  <w:r>
                    <w:rPr>
                      <w:rFonts w:hint="eastAsia"/>
                      <w:lang w:val="en-US" w:eastAsia="zh-CN"/>
                    </w:rPr>
                    <w:t>1</w:t>
                  </w:r>
                </w:p>
              </w:tc>
              <w:tc>
                <w:tcPr>
                  <w:tcW w:w="268" w:type="pct"/>
                  <w:vMerge w:val="restart"/>
                  <w:tcBorders>
                    <w:tl2br w:val="nil"/>
                    <w:tr2bl w:val="nil"/>
                  </w:tcBorders>
                  <w:noWrap w:val="0"/>
                  <w:vAlign w:val="center"/>
                </w:tcPr>
                <w:p w14:paraId="62CA8683">
                  <w:pPr>
                    <w:pStyle w:val="5"/>
                    <w:bidi w:val="0"/>
                    <w:rPr>
                      <w:rFonts w:hint="eastAsia"/>
                      <w:lang w:val="zh-CN" w:eastAsia="zh-CN"/>
                    </w:rPr>
                  </w:pPr>
                  <w:r>
                    <w:rPr>
                      <w:rFonts w:hint="eastAsia"/>
                      <w:lang w:val="zh-CN" w:eastAsia="zh-CN"/>
                    </w:rPr>
                    <w:t>生产车间</w:t>
                  </w:r>
                </w:p>
              </w:tc>
              <w:tc>
                <w:tcPr>
                  <w:tcW w:w="507" w:type="pct"/>
                  <w:tcBorders>
                    <w:tl2br w:val="nil"/>
                    <w:tr2bl w:val="nil"/>
                  </w:tcBorders>
                  <w:noWrap w:val="0"/>
                  <w:vAlign w:val="center"/>
                </w:tcPr>
                <w:p w14:paraId="2F42C262">
                  <w:pPr>
                    <w:pStyle w:val="5"/>
                    <w:bidi w:val="0"/>
                    <w:rPr>
                      <w:rFonts w:hint="eastAsia"/>
                      <w:lang w:val="zh-CN" w:eastAsia="zh-CN"/>
                    </w:rPr>
                  </w:pPr>
                  <w:r>
                    <w:rPr>
                      <w:rFonts w:hint="eastAsia"/>
                      <w:sz w:val="21"/>
                      <w:szCs w:val="21"/>
                      <w:lang w:val="en-US" w:eastAsia="zh-CN"/>
                    </w:rPr>
                    <w:t>分条机</w:t>
                  </w:r>
                </w:p>
              </w:tc>
              <w:tc>
                <w:tcPr>
                  <w:tcW w:w="243" w:type="pct"/>
                  <w:tcBorders>
                    <w:tl2br w:val="nil"/>
                    <w:tr2bl w:val="nil"/>
                  </w:tcBorders>
                  <w:noWrap w:val="0"/>
                  <w:vAlign w:val="center"/>
                </w:tcPr>
                <w:p w14:paraId="16B5E22B">
                  <w:pPr>
                    <w:pStyle w:val="5"/>
                    <w:bidi w:val="0"/>
                    <w:jc w:val="both"/>
                    <w:rPr>
                      <w:rFonts w:hint="default"/>
                      <w:lang w:val="en-US" w:eastAsia="zh-CN"/>
                    </w:rPr>
                  </w:pPr>
                  <w:r>
                    <w:rPr>
                      <w:rFonts w:hint="eastAsia"/>
                      <w:lang w:val="en-US" w:eastAsia="zh-CN"/>
                    </w:rPr>
                    <w:t>1</w:t>
                  </w:r>
                </w:p>
              </w:tc>
              <w:tc>
                <w:tcPr>
                  <w:tcW w:w="447" w:type="pct"/>
                  <w:tcBorders>
                    <w:tl2br w:val="nil"/>
                    <w:tr2bl w:val="nil"/>
                  </w:tcBorders>
                  <w:noWrap w:val="0"/>
                  <w:vAlign w:val="center"/>
                </w:tcPr>
                <w:p w14:paraId="0241EC40">
                  <w:pPr>
                    <w:pStyle w:val="5"/>
                    <w:bidi w:val="0"/>
                    <w:rPr>
                      <w:rFonts w:hint="default"/>
                      <w:lang w:val="en-US" w:eastAsia="zh-CN"/>
                    </w:rPr>
                  </w:pPr>
                  <w:r>
                    <w:rPr>
                      <w:rFonts w:hint="eastAsia"/>
                      <w:lang w:val="en-US" w:eastAsia="zh-CN"/>
                    </w:rPr>
                    <w:t>65</w:t>
                  </w:r>
                </w:p>
              </w:tc>
              <w:tc>
                <w:tcPr>
                  <w:tcW w:w="349" w:type="pct"/>
                  <w:vMerge w:val="restart"/>
                  <w:tcBorders>
                    <w:tl2br w:val="nil"/>
                    <w:tr2bl w:val="nil"/>
                  </w:tcBorders>
                  <w:noWrap w:val="0"/>
                  <w:vAlign w:val="center"/>
                </w:tcPr>
                <w:p w14:paraId="5876D6A8">
                  <w:pPr>
                    <w:pStyle w:val="5"/>
                    <w:bidi w:val="0"/>
                    <w:rPr>
                      <w:rFonts w:hint="eastAsia"/>
                      <w:lang w:val="zh-CN" w:eastAsia="zh-CN"/>
                    </w:rPr>
                  </w:pPr>
                  <w:r>
                    <w:rPr>
                      <w:rFonts w:hint="eastAsia"/>
                      <w:lang w:val="zh-CN" w:eastAsia="zh-CN"/>
                    </w:rPr>
                    <w:t>选择低噪声机型，基础减振</w:t>
                  </w:r>
                </w:p>
              </w:tc>
              <w:tc>
                <w:tcPr>
                  <w:tcW w:w="232" w:type="pct"/>
                  <w:tcBorders>
                    <w:tl2br w:val="nil"/>
                    <w:tr2bl w:val="nil"/>
                  </w:tcBorders>
                  <w:noWrap w:val="0"/>
                  <w:vAlign w:val="center"/>
                </w:tcPr>
                <w:p w14:paraId="7CE3CB51">
                  <w:pPr>
                    <w:pStyle w:val="5"/>
                    <w:bidi w:val="0"/>
                    <w:rPr>
                      <w:rFonts w:hint="default"/>
                      <w:lang w:val="en-US" w:eastAsia="zh-CN"/>
                    </w:rPr>
                  </w:pPr>
                  <w:r>
                    <w:rPr>
                      <w:rFonts w:hint="eastAsia"/>
                      <w:lang w:val="en-US" w:eastAsia="zh-CN"/>
                    </w:rPr>
                    <w:t>19</w:t>
                  </w:r>
                </w:p>
              </w:tc>
              <w:tc>
                <w:tcPr>
                  <w:tcW w:w="244" w:type="pct"/>
                  <w:tcBorders>
                    <w:tl2br w:val="nil"/>
                    <w:tr2bl w:val="nil"/>
                  </w:tcBorders>
                  <w:noWrap w:val="0"/>
                  <w:vAlign w:val="center"/>
                </w:tcPr>
                <w:p w14:paraId="1670B56E">
                  <w:pPr>
                    <w:pStyle w:val="5"/>
                    <w:bidi w:val="0"/>
                    <w:rPr>
                      <w:rFonts w:hint="default"/>
                      <w:lang w:val="en-US" w:eastAsia="zh-CN"/>
                    </w:rPr>
                  </w:pPr>
                  <w:r>
                    <w:rPr>
                      <w:rFonts w:hint="eastAsia"/>
                      <w:lang w:val="en-US" w:eastAsia="zh-CN"/>
                    </w:rPr>
                    <w:t>91</w:t>
                  </w:r>
                </w:p>
              </w:tc>
              <w:tc>
                <w:tcPr>
                  <w:tcW w:w="352" w:type="pct"/>
                  <w:tcBorders>
                    <w:tl2br w:val="nil"/>
                    <w:tr2bl w:val="nil"/>
                  </w:tcBorders>
                  <w:noWrap w:val="0"/>
                  <w:vAlign w:val="center"/>
                </w:tcPr>
                <w:p w14:paraId="17ACB14C">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2D16D218">
                  <w:pPr>
                    <w:pStyle w:val="5"/>
                    <w:bidi w:val="0"/>
                    <w:rPr>
                      <w:rFonts w:hint="default"/>
                      <w:lang w:val="en-US" w:eastAsia="zh-CN"/>
                    </w:rPr>
                  </w:pPr>
                  <w:r>
                    <w:rPr>
                      <w:rFonts w:hint="eastAsia"/>
                      <w:lang w:val="en-US" w:eastAsia="zh-CN"/>
                    </w:rPr>
                    <w:t>1</w:t>
                  </w:r>
                </w:p>
              </w:tc>
              <w:tc>
                <w:tcPr>
                  <w:tcW w:w="413" w:type="pct"/>
                  <w:tcBorders>
                    <w:tl2br w:val="nil"/>
                    <w:tr2bl w:val="nil"/>
                  </w:tcBorders>
                  <w:noWrap w:val="0"/>
                  <w:vAlign w:val="center"/>
                </w:tcPr>
                <w:p w14:paraId="5C6FAE0B">
                  <w:pPr>
                    <w:pStyle w:val="5"/>
                    <w:bidi w:val="0"/>
                    <w:rPr>
                      <w:rFonts w:hint="default"/>
                      <w:lang w:val="en-US" w:eastAsia="zh-CN"/>
                    </w:rPr>
                  </w:pPr>
                  <w:r>
                    <w:rPr>
                      <w:rFonts w:hint="eastAsia"/>
                      <w:lang w:val="en-US" w:eastAsia="zh-CN"/>
                    </w:rPr>
                    <w:t>65</w:t>
                  </w:r>
                </w:p>
              </w:tc>
              <w:tc>
                <w:tcPr>
                  <w:tcW w:w="298" w:type="pct"/>
                  <w:tcBorders>
                    <w:tl2br w:val="nil"/>
                    <w:tr2bl w:val="nil"/>
                  </w:tcBorders>
                  <w:noWrap w:val="0"/>
                  <w:vAlign w:val="center"/>
                </w:tcPr>
                <w:p w14:paraId="1FAA317B">
                  <w:pPr>
                    <w:pStyle w:val="5"/>
                    <w:bidi w:val="0"/>
                    <w:rPr>
                      <w:rFonts w:hint="default"/>
                      <w:lang w:val="en-US" w:eastAsia="zh-CN"/>
                    </w:rPr>
                  </w:pPr>
                  <w:r>
                    <w:rPr>
                      <w:rFonts w:hint="eastAsia"/>
                      <w:lang w:val="en-US" w:eastAsia="zh-CN"/>
                    </w:rPr>
                    <w:t>8h</w:t>
                  </w:r>
                </w:p>
              </w:tc>
              <w:tc>
                <w:tcPr>
                  <w:tcW w:w="395" w:type="pct"/>
                  <w:tcBorders>
                    <w:tl2br w:val="nil"/>
                    <w:tr2bl w:val="nil"/>
                  </w:tcBorders>
                  <w:noWrap w:val="0"/>
                  <w:vAlign w:val="center"/>
                </w:tcPr>
                <w:p w14:paraId="2DEF3377">
                  <w:pPr>
                    <w:pStyle w:val="5"/>
                    <w:bidi w:val="0"/>
                    <w:rPr>
                      <w:rFonts w:hint="default"/>
                      <w:lang w:val="en-US" w:eastAsia="zh-CN"/>
                    </w:rPr>
                  </w:pPr>
                  <w:r>
                    <w:rPr>
                      <w:rFonts w:hint="eastAsia"/>
                      <w:lang w:val="zh-CN" w:eastAsia="zh-CN"/>
                    </w:rPr>
                    <w:t>2</w:t>
                  </w:r>
                  <w:r>
                    <w:rPr>
                      <w:rFonts w:hint="eastAsia"/>
                      <w:lang w:val="en-US" w:eastAsia="zh-CN"/>
                    </w:rPr>
                    <w:t>1</w:t>
                  </w:r>
                </w:p>
              </w:tc>
              <w:tc>
                <w:tcPr>
                  <w:tcW w:w="395" w:type="pct"/>
                  <w:tcBorders>
                    <w:tl2br w:val="nil"/>
                    <w:tr2bl w:val="nil"/>
                  </w:tcBorders>
                  <w:noWrap w:val="0"/>
                  <w:vAlign w:val="center"/>
                </w:tcPr>
                <w:p w14:paraId="2D8172F0">
                  <w:pPr>
                    <w:pStyle w:val="5"/>
                    <w:bidi w:val="0"/>
                    <w:rPr>
                      <w:rFonts w:hint="default"/>
                      <w:lang w:val="en-US" w:eastAsia="zh-CN"/>
                    </w:rPr>
                  </w:pPr>
                  <w:r>
                    <w:rPr>
                      <w:rFonts w:hint="eastAsia"/>
                      <w:lang w:val="en-US" w:eastAsia="zh-CN"/>
                    </w:rPr>
                    <w:t>57.48</w:t>
                  </w:r>
                </w:p>
              </w:tc>
              <w:tc>
                <w:tcPr>
                  <w:tcW w:w="290" w:type="pct"/>
                  <w:tcBorders>
                    <w:tl2br w:val="nil"/>
                    <w:tr2bl w:val="nil"/>
                  </w:tcBorders>
                  <w:noWrap w:val="0"/>
                  <w:vAlign w:val="center"/>
                </w:tcPr>
                <w:p w14:paraId="398B6ED5">
                  <w:pPr>
                    <w:pStyle w:val="5"/>
                    <w:bidi w:val="0"/>
                    <w:rPr>
                      <w:rFonts w:hint="default"/>
                      <w:lang w:val="en-US" w:eastAsia="zh-CN"/>
                    </w:rPr>
                  </w:pPr>
                  <w:r>
                    <w:rPr>
                      <w:rFonts w:hint="eastAsia"/>
                      <w:lang w:val="en-US" w:eastAsia="zh-CN"/>
                    </w:rPr>
                    <w:t>1</w:t>
                  </w:r>
                </w:p>
              </w:tc>
            </w:tr>
            <w:tr w14:paraId="4E2DD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tcBorders>
                    <w:tl2br w:val="nil"/>
                    <w:tr2bl w:val="nil"/>
                  </w:tcBorders>
                  <w:noWrap w:val="0"/>
                  <w:vAlign w:val="center"/>
                </w:tcPr>
                <w:p w14:paraId="14061B7F">
                  <w:pPr>
                    <w:pStyle w:val="5"/>
                    <w:bidi w:val="0"/>
                    <w:rPr>
                      <w:rFonts w:hint="default"/>
                      <w:lang w:val="en-US" w:eastAsia="zh-CN"/>
                    </w:rPr>
                  </w:pPr>
                  <w:r>
                    <w:rPr>
                      <w:rFonts w:hint="eastAsia"/>
                      <w:lang w:val="en-US" w:eastAsia="zh-CN"/>
                    </w:rPr>
                    <w:t>2</w:t>
                  </w:r>
                </w:p>
              </w:tc>
              <w:tc>
                <w:tcPr>
                  <w:tcW w:w="268" w:type="pct"/>
                  <w:vMerge w:val="continue"/>
                  <w:tcBorders>
                    <w:tl2br w:val="nil"/>
                    <w:tr2bl w:val="nil"/>
                  </w:tcBorders>
                  <w:noWrap w:val="0"/>
                  <w:vAlign w:val="center"/>
                </w:tcPr>
                <w:p w14:paraId="022FB929">
                  <w:pPr>
                    <w:pStyle w:val="5"/>
                    <w:bidi w:val="0"/>
                    <w:rPr>
                      <w:rFonts w:hint="eastAsia"/>
                      <w:lang w:val="zh-CN" w:eastAsia="zh-CN"/>
                    </w:rPr>
                  </w:pPr>
                </w:p>
              </w:tc>
              <w:tc>
                <w:tcPr>
                  <w:tcW w:w="507" w:type="pct"/>
                  <w:tcBorders>
                    <w:tl2br w:val="nil"/>
                    <w:tr2bl w:val="nil"/>
                  </w:tcBorders>
                  <w:noWrap w:val="0"/>
                  <w:vAlign w:val="center"/>
                </w:tcPr>
                <w:p w14:paraId="6117D129">
                  <w:pPr>
                    <w:pStyle w:val="5"/>
                    <w:bidi w:val="0"/>
                    <w:rPr>
                      <w:rFonts w:hint="eastAsia"/>
                      <w:lang w:val="zh-CN" w:eastAsia="zh-CN"/>
                    </w:rPr>
                  </w:pPr>
                  <w:r>
                    <w:rPr>
                      <w:rFonts w:hint="eastAsia"/>
                      <w:sz w:val="21"/>
                      <w:szCs w:val="21"/>
                      <w:lang w:val="en-US" w:eastAsia="zh-CN"/>
                    </w:rPr>
                    <w:t>裁切机</w:t>
                  </w:r>
                </w:p>
              </w:tc>
              <w:tc>
                <w:tcPr>
                  <w:tcW w:w="243" w:type="pct"/>
                  <w:tcBorders>
                    <w:tl2br w:val="nil"/>
                    <w:tr2bl w:val="nil"/>
                  </w:tcBorders>
                  <w:noWrap w:val="0"/>
                  <w:vAlign w:val="center"/>
                </w:tcPr>
                <w:p w14:paraId="59311198">
                  <w:pPr>
                    <w:pStyle w:val="5"/>
                    <w:bidi w:val="0"/>
                    <w:rPr>
                      <w:rFonts w:hint="default"/>
                      <w:lang w:val="en-US" w:eastAsia="zh-CN"/>
                    </w:rPr>
                  </w:pPr>
                  <w:r>
                    <w:rPr>
                      <w:rFonts w:hint="eastAsia"/>
                      <w:lang w:val="en-US" w:eastAsia="zh-CN"/>
                    </w:rPr>
                    <w:t>2</w:t>
                  </w:r>
                </w:p>
              </w:tc>
              <w:tc>
                <w:tcPr>
                  <w:tcW w:w="447" w:type="pct"/>
                  <w:tcBorders>
                    <w:tl2br w:val="nil"/>
                    <w:tr2bl w:val="nil"/>
                  </w:tcBorders>
                  <w:noWrap w:val="0"/>
                  <w:vAlign w:val="center"/>
                </w:tcPr>
                <w:p w14:paraId="0DDABE00">
                  <w:pPr>
                    <w:pStyle w:val="5"/>
                    <w:bidi w:val="0"/>
                    <w:rPr>
                      <w:rFonts w:hint="default"/>
                      <w:lang w:val="en-US" w:eastAsia="zh-CN"/>
                    </w:rPr>
                  </w:pPr>
                  <w:r>
                    <w:rPr>
                      <w:rFonts w:hint="eastAsia"/>
                      <w:lang w:val="en-US" w:eastAsia="zh-CN"/>
                    </w:rPr>
                    <w:t>68.01</w:t>
                  </w:r>
                </w:p>
              </w:tc>
              <w:tc>
                <w:tcPr>
                  <w:tcW w:w="349" w:type="pct"/>
                  <w:vMerge w:val="continue"/>
                  <w:tcBorders>
                    <w:tl2br w:val="nil"/>
                    <w:tr2bl w:val="nil"/>
                  </w:tcBorders>
                  <w:noWrap w:val="0"/>
                  <w:vAlign w:val="center"/>
                </w:tcPr>
                <w:p w14:paraId="41732FDC">
                  <w:pPr>
                    <w:pStyle w:val="5"/>
                    <w:bidi w:val="0"/>
                    <w:rPr>
                      <w:rFonts w:hint="eastAsia"/>
                      <w:lang w:val="zh-CN" w:eastAsia="zh-CN"/>
                    </w:rPr>
                  </w:pPr>
                </w:p>
              </w:tc>
              <w:tc>
                <w:tcPr>
                  <w:tcW w:w="232" w:type="pct"/>
                  <w:tcBorders>
                    <w:tl2br w:val="nil"/>
                    <w:tr2bl w:val="nil"/>
                  </w:tcBorders>
                  <w:noWrap w:val="0"/>
                  <w:vAlign w:val="center"/>
                </w:tcPr>
                <w:p w14:paraId="18FDD191">
                  <w:pPr>
                    <w:pStyle w:val="5"/>
                    <w:bidi w:val="0"/>
                    <w:rPr>
                      <w:rFonts w:hint="default"/>
                      <w:lang w:val="en-US" w:eastAsia="zh-CN"/>
                    </w:rPr>
                  </w:pPr>
                  <w:r>
                    <w:rPr>
                      <w:rFonts w:hint="eastAsia"/>
                      <w:lang w:val="en-US" w:eastAsia="zh-CN"/>
                    </w:rPr>
                    <w:t>20</w:t>
                  </w:r>
                </w:p>
              </w:tc>
              <w:tc>
                <w:tcPr>
                  <w:tcW w:w="244" w:type="pct"/>
                  <w:tcBorders>
                    <w:tl2br w:val="nil"/>
                    <w:tr2bl w:val="nil"/>
                  </w:tcBorders>
                  <w:noWrap w:val="0"/>
                  <w:vAlign w:val="center"/>
                </w:tcPr>
                <w:p w14:paraId="49332755">
                  <w:pPr>
                    <w:pStyle w:val="5"/>
                    <w:bidi w:val="0"/>
                    <w:rPr>
                      <w:rFonts w:hint="default"/>
                      <w:lang w:val="en-US" w:eastAsia="zh-CN"/>
                    </w:rPr>
                  </w:pPr>
                  <w:r>
                    <w:rPr>
                      <w:rFonts w:hint="eastAsia"/>
                      <w:lang w:val="en-US" w:eastAsia="zh-CN"/>
                    </w:rPr>
                    <w:t>82</w:t>
                  </w:r>
                </w:p>
              </w:tc>
              <w:tc>
                <w:tcPr>
                  <w:tcW w:w="352" w:type="pct"/>
                  <w:tcBorders>
                    <w:tl2br w:val="nil"/>
                    <w:tr2bl w:val="nil"/>
                  </w:tcBorders>
                  <w:noWrap w:val="0"/>
                  <w:vAlign w:val="center"/>
                </w:tcPr>
                <w:p w14:paraId="74F73540">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6D219A70">
                  <w:pPr>
                    <w:pStyle w:val="5"/>
                    <w:bidi w:val="0"/>
                    <w:rPr>
                      <w:rFonts w:hint="default"/>
                      <w:lang w:val="en-US" w:eastAsia="zh-CN"/>
                    </w:rPr>
                  </w:pPr>
                  <w:r>
                    <w:rPr>
                      <w:rFonts w:hint="eastAsia"/>
                      <w:lang w:val="en-US" w:eastAsia="zh-CN"/>
                    </w:rPr>
                    <w:t>1.5</w:t>
                  </w:r>
                </w:p>
              </w:tc>
              <w:tc>
                <w:tcPr>
                  <w:tcW w:w="413" w:type="pct"/>
                  <w:tcBorders>
                    <w:tl2br w:val="nil"/>
                    <w:tr2bl w:val="nil"/>
                  </w:tcBorders>
                  <w:noWrap w:val="0"/>
                  <w:vAlign w:val="center"/>
                </w:tcPr>
                <w:p w14:paraId="618A56AB">
                  <w:pPr>
                    <w:pStyle w:val="5"/>
                    <w:bidi w:val="0"/>
                    <w:rPr>
                      <w:rFonts w:hint="default"/>
                      <w:lang w:val="en-US" w:eastAsia="zh-CN"/>
                    </w:rPr>
                  </w:pPr>
                  <w:r>
                    <w:rPr>
                      <w:rFonts w:hint="eastAsia"/>
                      <w:lang w:val="en-US" w:eastAsia="zh-CN"/>
                    </w:rPr>
                    <w:t>64.49</w:t>
                  </w:r>
                </w:p>
              </w:tc>
              <w:tc>
                <w:tcPr>
                  <w:tcW w:w="298" w:type="pct"/>
                  <w:tcBorders>
                    <w:tl2br w:val="nil"/>
                    <w:tr2bl w:val="nil"/>
                  </w:tcBorders>
                  <w:noWrap w:val="0"/>
                  <w:vAlign w:val="center"/>
                </w:tcPr>
                <w:p w14:paraId="082CD98A">
                  <w:pPr>
                    <w:pStyle w:val="5"/>
                    <w:bidi w:val="0"/>
                    <w:rPr>
                      <w:rFonts w:hint="eastAsia"/>
                      <w:lang w:val="zh-CN" w:eastAsia="zh-CN"/>
                    </w:rPr>
                  </w:pPr>
                  <w:r>
                    <w:rPr>
                      <w:rFonts w:hint="eastAsia"/>
                      <w:lang w:val="en-US" w:eastAsia="zh-CN"/>
                    </w:rPr>
                    <w:t>8h</w:t>
                  </w:r>
                </w:p>
              </w:tc>
              <w:tc>
                <w:tcPr>
                  <w:tcW w:w="395" w:type="pct"/>
                  <w:tcBorders>
                    <w:tl2br w:val="nil"/>
                    <w:tr2bl w:val="nil"/>
                  </w:tcBorders>
                  <w:noWrap w:val="0"/>
                  <w:vAlign w:val="center"/>
                </w:tcPr>
                <w:p w14:paraId="194A1479">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6A706ABE">
                  <w:pPr>
                    <w:pStyle w:val="5"/>
                    <w:bidi w:val="0"/>
                    <w:rPr>
                      <w:rFonts w:hint="default"/>
                      <w:lang w:val="en-US" w:eastAsia="zh-CN"/>
                    </w:rPr>
                  </w:pPr>
                  <w:r>
                    <w:rPr>
                      <w:rFonts w:hint="eastAsia"/>
                      <w:lang w:val="en-US" w:eastAsia="zh-CN"/>
                    </w:rPr>
                    <w:t>60</w:t>
                  </w:r>
                </w:p>
              </w:tc>
              <w:tc>
                <w:tcPr>
                  <w:tcW w:w="290" w:type="pct"/>
                  <w:tcBorders>
                    <w:tl2br w:val="nil"/>
                    <w:tr2bl w:val="nil"/>
                  </w:tcBorders>
                  <w:noWrap w:val="0"/>
                  <w:vAlign w:val="center"/>
                </w:tcPr>
                <w:p w14:paraId="696F748F">
                  <w:pPr>
                    <w:pStyle w:val="5"/>
                    <w:bidi w:val="0"/>
                    <w:rPr>
                      <w:rFonts w:hint="default"/>
                      <w:lang w:val="en-US" w:eastAsia="zh-CN"/>
                    </w:rPr>
                  </w:pPr>
                  <w:r>
                    <w:rPr>
                      <w:rFonts w:hint="eastAsia"/>
                      <w:lang w:val="zh-CN" w:eastAsia="zh-CN"/>
                    </w:rPr>
                    <w:t>1</w:t>
                  </w:r>
                </w:p>
              </w:tc>
            </w:tr>
            <w:tr w14:paraId="3E1496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tcBorders>
                    <w:tl2br w:val="nil"/>
                    <w:tr2bl w:val="nil"/>
                  </w:tcBorders>
                  <w:noWrap w:val="0"/>
                  <w:vAlign w:val="center"/>
                </w:tcPr>
                <w:p w14:paraId="4C6CEB7F">
                  <w:pPr>
                    <w:pStyle w:val="5"/>
                    <w:bidi w:val="0"/>
                    <w:rPr>
                      <w:rFonts w:hint="default"/>
                      <w:lang w:val="en-US" w:eastAsia="zh-CN"/>
                    </w:rPr>
                  </w:pPr>
                  <w:r>
                    <w:rPr>
                      <w:rFonts w:hint="eastAsia"/>
                      <w:lang w:val="en-US" w:eastAsia="zh-CN"/>
                    </w:rPr>
                    <w:t>3</w:t>
                  </w:r>
                </w:p>
              </w:tc>
              <w:tc>
                <w:tcPr>
                  <w:tcW w:w="268" w:type="pct"/>
                  <w:vMerge w:val="continue"/>
                  <w:tcBorders>
                    <w:tl2br w:val="nil"/>
                    <w:tr2bl w:val="nil"/>
                  </w:tcBorders>
                  <w:noWrap w:val="0"/>
                  <w:vAlign w:val="center"/>
                </w:tcPr>
                <w:p w14:paraId="4A4CADF3">
                  <w:pPr>
                    <w:pStyle w:val="5"/>
                    <w:bidi w:val="0"/>
                    <w:rPr>
                      <w:rFonts w:hint="eastAsia"/>
                      <w:lang w:val="zh-CN" w:eastAsia="zh-CN"/>
                    </w:rPr>
                  </w:pPr>
                </w:p>
              </w:tc>
              <w:tc>
                <w:tcPr>
                  <w:tcW w:w="507" w:type="pct"/>
                  <w:tcBorders>
                    <w:tl2br w:val="nil"/>
                    <w:tr2bl w:val="nil"/>
                  </w:tcBorders>
                  <w:noWrap w:val="0"/>
                  <w:vAlign w:val="center"/>
                </w:tcPr>
                <w:p w14:paraId="31116B64">
                  <w:pPr>
                    <w:pStyle w:val="5"/>
                    <w:bidi w:val="0"/>
                    <w:rPr>
                      <w:rFonts w:hint="eastAsia"/>
                      <w:lang w:val="zh-CN" w:eastAsia="zh-CN"/>
                    </w:rPr>
                  </w:pPr>
                  <w:r>
                    <w:rPr>
                      <w:rFonts w:hint="eastAsia"/>
                      <w:sz w:val="21"/>
                      <w:szCs w:val="21"/>
                      <w:lang w:val="en-US" w:eastAsia="zh-CN"/>
                    </w:rPr>
                    <w:t>五合一封装机</w:t>
                  </w:r>
                </w:p>
              </w:tc>
              <w:tc>
                <w:tcPr>
                  <w:tcW w:w="243" w:type="pct"/>
                  <w:tcBorders>
                    <w:tl2br w:val="nil"/>
                    <w:tr2bl w:val="nil"/>
                  </w:tcBorders>
                  <w:noWrap w:val="0"/>
                  <w:vAlign w:val="center"/>
                </w:tcPr>
                <w:p w14:paraId="5867A2A6">
                  <w:pPr>
                    <w:pStyle w:val="5"/>
                    <w:bidi w:val="0"/>
                    <w:rPr>
                      <w:rFonts w:hint="default"/>
                      <w:lang w:val="en-US" w:eastAsia="zh-CN"/>
                    </w:rPr>
                  </w:pPr>
                  <w:r>
                    <w:rPr>
                      <w:rFonts w:hint="eastAsia"/>
                      <w:sz w:val="21"/>
                      <w:szCs w:val="21"/>
                      <w:lang w:val="en-US" w:eastAsia="zh-CN"/>
                    </w:rPr>
                    <w:t>5</w:t>
                  </w:r>
                </w:p>
              </w:tc>
              <w:tc>
                <w:tcPr>
                  <w:tcW w:w="447" w:type="pct"/>
                  <w:tcBorders>
                    <w:tl2br w:val="nil"/>
                    <w:tr2bl w:val="nil"/>
                  </w:tcBorders>
                  <w:noWrap w:val="0"/>
                  <w:vAlign w:val="center"/>
                </w:tcPr>
                <w:p w14:paraId="28757F80">
                  <w:pPr>
                    <w:pStyle w:val="5"/>
                    <w:bidi w:val="0"/>
                    <w:rPr>
                      <w:rFonts w:hint="default"/>
                      <w:lang w:val="en-US" w:eastAsia="zh-CN"/>
                    </w:rPr>
                  </w:pPr>
                  <w:r>
                    <w:rPr>
                      <w:rFonts w:hint="eastAsia"/>
                      <w:lang w:val="en-US" w:eastAsia="zh-CN"/>
                    </w:rPr>
                    <w:t>81.99</w:t>
                  </w:r>
                </w:p>
              </w:tc>
              <w:tc>
                <w:tcPr>
                  <w:tcW w:w="349" w:type="pct"/>
                  <w:vMerge w:val="continue"/>
                  <w:tcBorders>
                    <w:tl2br w:val="nil"/>
                    <w:tr2bl w:val="nil"/>
                  </w:tcBorders>
                  <w:noWrap w:val="0"/>
                  <w:vAlign w:val="center"/>
                </w:tcPr>
                <w:p w14:paraId="015CA4A2">
                  <w:pPr>
                    <w:pStyle w:val="5"/>
                    <w:bidi w:val="0"/>
                    <w:rPr>
                      <w:rFonts w:hint="eastAsia"/>
                      <w:lang w:val="zh-CN" w:eastAsia="zh-CN"/>
                    </w:rPr>
                  </w:pPr>
                </w:p>
              </w:tc>
              <w:tc>
                <w:tcPr>
                  <w:tcW w:w="232" w:type="pct"/>
                  <w:tcBorders>
                    <w:tl2br w:val="nil"/>
                    <w:tr2bl w:val="nil"/>
                  </w:tcBorders>
                  <w:noWrap w:val="0"/>
                  <w:vAlign w:val="center"/>
                </w:tcPr>
                <w:p w14:paraId="0084F7B5">
                  <w:pPr>
                    <w:pStyle w:val="5"/>
                    <w:bidi w:val="0"/>
                    <w:rPr>
                      <w:rFonts w:hint="default"/>
                      <w:lang w:val="en-US" w:eastAsia="zh-CN"/>
                    </w:rPr>
                  </w:pPr>
                  <w:r>
                    <w:rPr>
                      <w:rFonts w:hint="eastAsia"/>
                      <w:lang w:val="en-US" w:eastAsia="zh-CN"/>
                    </w:rPr>
                    <w:t>20</w:t>
                  </w:r>
                </w:p>
              </w:tc>
              <w:tc>
                <w:tcPr>
                  <w:tcW w:w="244" w:type="pct"/>
                  <w:tcBorders>
                    <w:tl2br w:val="nil"/>
                    <w:tr2bl w:val="nil"/>
                  </w:tcBorders>
                  <w:noWrap w:val="0"/>
                  <w:vAlign w:val="center"/>
                </w:tcPr>
                <w:p w14:paraId="3826473E">
                  <w:pPr>
                    <w:pStyle w:val="5"/>
                    <w:bidi w:val="0"/>
                    <w:rPr>
                      <w:rFonts w:hint="default"/>
                      <w:lang w:val="en-US" w:eastAsia="zh-CN"/>
                    </w:rPr>
                  </w:pPr>
                  <w:r>
                    <w:rPr>
                      <w:rFonts w:hint="eastAsia"/>
                      <w:lang w:val="en-US" w:eastAsia="zh-CN"/>
                    </w:rPr>
                    <w:t>70</w:t>
                  </w:r>
                </w:p>
              </w:tc>
              <w:tc>
                <w:tcPr>
                  <w:tcW w:w="352" w:type="pct"/>
                  <w:tcBorders>
                    <w:tl2br w:val="nil"/>
                    <w:tr2bl w:val="nil"/>
                  </w:tcBorders>
                  <w:noWrap w:val="0"/>
                  <w:vAlign w:val="center"/>
                </w:tcPr>
                <w:p w14:paraId="1308A195">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30FA3F32">
                  <w:pPr>
                    <w:pStyle w:val="5"/>
                    <w:bidi w:val="0"/>
                    <w:rPr>
                      <w:rFonts w:hint="default"/>
                      <w:lang w:val="en-US" w:eastAsia="zh-CN"/>
                    </w:rPr>
                  </w:pPr>
                  <w:r>
                    <w:rPr>
                      <w:rFonts w:hint="eastAsia"/>
                      <w:lang w:val="en-US" w:eastAsia="zh-CN"/>
                    </w:rPr>
                    <w:t>2</w:t>
                  </w:r>
                </w:p>
              </w:tc>
              <w:tc>
                <w:tcPr>
                  <w:tcW w:w="413" w:type="pct"/>
                  <w:tcBorders>
                    <w:tl2br w:val="nil"/>
                    <w:tr2bl w:val="nil"/>
                  </w:tcBorders>
                  <w:noWrap w:val="0"/>
                  <w:vAlign w:val="center"/>
                </w:tcPr>
                <w:p w14:paraId="5C03B666">
                  <w:pPr>
                    <w:pStyle w:val="5"/>
                    <w:bidi w:val="0"/>
                    <w:rPr>
                      <w:rFonts w:hint="default"/>
                      <w:lang w:val="en-US" w:eastAsia="zh-CN"/>
                    </w:rPr>
                  </w:pPr>
                  <w:r>
                    <w:rPr>
                      <w:rFonts w:hint="eastAsia"/>
                      <w:lang w:val="en-US" w:eastAsia="zh-CN"/>
                    </w:rPr>
                    <w:t>75.97</w:t>
                  </w:r>
                </w:p>
              </w:tc>
              <w:tc>
                <w:tcPr>
                  <w:tcW w:w="298" w:type="pct"/>
                  <w:tcBorders>
                    <w:tl2br w:val="nil"/>
                    <w:tr2bl w:val="nil"/>
                  </w:tcBorders>
                  <w:noWrap w:val="0"/>
                  <w:vAlign w:val="center"/>
                </w:tcPr>
                <w:p w14:paraId="72847FF4">
                  <w:pPr>
                    <w:pStyle w:val="5"/>
                    <w:bidi w:val="0"/>
                    <w:rPr>
                      <w:rFonts w:hint="default"/>
                      <w:lang w:val="en-US" w:eastAsia="zh-CN"/>
                    </w:rPr>
                  </w:pPr>
                  <w:r>
                    <w:rPr>
                      <w:rFonts w:hint="eastAsia"/>
                      <w:lang w:val="en-US" w:eastAsia="zh-CN"/>
                    </w:rPr>
                    <w:t>8h</w:t>
                  </w:r>
                </w:p>
              </w:tc>
              <w:tc>
                <w:tcPr>
                  <w:tcW w:w="395" w:type="pct"/>
                  <w:tcBorders>
                    <w:tl2br w:val="nil"/>
                    <w:tr2bl w:val="nil"/>
                  </w:tcBorders>
                  <w:noWrap w:val="0"/>
                  <w:vAlign w:val="center"/>
                </w:tcPr>
                <w:p w14:paraId="48629F8C">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5D9D2773">
                  <w:pPr>
                    <w:pStyle w:val="5"/>
                    <w:bidi w:val="0"/>
                    <w:rPr>
                      <w:rFonts w:hint="default"/>
                      <w:lang w:val="en-US" w:eastAsia="zh-CN"/>
                    </w:rPr>
                  </w:pPr>
                  <w:r>
                    <w:rPr>
                      <w:rFonts w:hint="eastAsia"/>
                      <w:lang w:val="en-US" w:eastAsia="zh-CN"/>
                    </w:rPr>
                    <w:t>39.46</w:t>
                  </w:r>
                </w:p>
              </w:tc>
              <w:tc>
                <w:tcPr>
                  <w:tcW w:w="290" w:type="pct"/>
                  <w:tcBorders>
                    <w:tl2br w:val="nil"/>
                    <w:tr2bl w:val="nil"/>
                  </w:tcBorders>
                  <w:noWrap w:val="0"/>
                  <w:vAlign w:val="center"/>
                </w:tcPr>
                <w:p w14:paraId="0A10821F">
                  <w:pPr>
                    <w:pStyle w:val="5"/>
                    <w:bidi w:val="0"/>
                    <w:rPr>
                      <w:rFonts w:hint="eastAsia"/>
                      <w:lang w:val="zh-CN" w:eastAsia="zh-CN"/>
                    </w:rPr>
                  </w:pPr>
                  <w:r>
                    <w:rPr>
                      <w:rFonts w:hint="eastAsia"/>
                      <w:lang w:val="en-US" w:eastAsia="zh-CN"/>
                    </w:rPr>
                    <w:t>1</w:t>
                  </w:r>
                </w:p>
              </w:tc>
            </w:tr>
            <w:tr w14:paraId="270F86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1" w:type="pct"/>
                  <w:tcBorders>
                    <w:tl2br w:val="nil"/>
                    <w:tr2bl w:val="nil"/>
                  </w:tcBorders>
                  <w:noWrap w:val="0"/>
                  <w:vAlign w:val="center"/>
                </w:tcPr>
                <w:p w14:paraId="37C20DE0">
                  <w:pPr>
                    <w:pStyle w:val="5"/>
                    <w:bidi w:val="0"/>
                    <w:rPr>
                      <w:rFonts w:hint="default"/>
                      <w:lang w:val="en-US" w:eastAsia="zh-CN"/>
                    </w:rPr>
                  </w:pPr>
                  <w:r>
                    <w:rPr>
                      <w:rFonts w:hint="eastAsia"/>
                      <w:lang w:val="en-US" w:eastAsia="zh-CN"/>
                    </w:rPr>
                    <w:t>4</w:t>
                  </w:r>
                </w:p>
              </w:tc>
              <w:tc>
                <w:tcPr>
                  <w:tcW w:w="268" w:type="pct"/>
                  <w:vMerge w:val="continue"/>
                  <w:tcBorders>
                    <w:tl2br w:val="nil"/>
                    <w:tr2bl w:val="nil"/>
                  </w:tcBorders>
                  <w:noWrap w:val="0"/>
                  <w:vAlign w:val="center"/>
                </w:tcPr>
                <w:p w14:paraId="3E92BDE1">
                  <w:pPr>
                    <w:pStyle w:val="5"/>
                    <w:bidi w:val="0"/>
                    <w:rPr>
                      <w:rFonts w:hint="eastAsia"/>
                      <w:lang w:val="zh-CN" w:eastAsia="zh-CN"/>
                    </w:rPr>
                  </w:pPr>
                </w:p>
              </w:tc>
              <w:tc>
                <w:tcPr>
                  <w:tcW w:w="507" w:type="pct"/>
                  <w:tcBorders>
                    <w:tl2br w:val="nil"/>
                    <w:tr2bl w:val="nil"/>
                  </w:tcBorders>
                  <w:noWrap w:val="0"/>
                  <w:vAlign w:val="center"/>
                </w:tcPr>
                <w:p w14:paraId="21A56580">
                  <w:pPr>
                    <w:pStyle w:val="5"/>
                    <w:bidi w:val="0"/>
                    <w:rPr>
                      <w:rFonts w:hint="default"/>
                      <w:sz w:val="21"/>
                      <w:szCs w:val="21"/>
                      <w:lang w:val="en-US" w:eastAsia="zh-CN"/>
                    </w:rPr>
                  </w:pPr>
                  <w:r>
                    <w:rPr>
                      <w:rFonts w:hint="eastAsia"/>
                      <w:sz w:val="21"/>
                      <w:szCs w:val="21"/>
                      <w:lang w:val="en-US" w:eastAsia="zh-CN"/>
                    </w:rPr>
                    <w:t>七合一封装机</w:t>
                  </w:r>
                </w:p>
              </w:tc>
              <w:tc>
                <w:tcPr>
                  <w:tcW w:w="243" w:type="pct"/>
                  <w:tcBorders>
                    <w:tl2br w:val="nil"/>
                    <w:tr2bl w:val="nil"/>
                  </w:tcBorders>
                  <w:noWrap w:val="0"/>
                  <w:vAlign w:val="center"/>
                </w:tcPr>
                <w:p w14:paraId="3D29EB97">
                  <w:pPr>
                    <w:pStyle w:val="5"/>
                    <w:bidi w:val="0"/>
                    <w:rPr>
                      <w:rFonts w:hint="default"/>
                      <w:sz w:val="21"/>
                      <w:szCs w:val="21"/>
                      <w:lang w:val="en-US" w:eastAsia="zh-CN"/>
                    </w:rPr>
                  </w:pPr>
                  <w:r>
                    <w:rPr>
                      <w:rFonts w:hint="eastAsia"/>
                      <w:sz w:val="21"/>
                      <w:szCs w:val="21"/>
                      <w:lang w:val="en-US" w:eastAsia="zh-CN"/>
                    </w:rPr>
                    <w:t>5</w:t>
                  </w:r>
                </w:p>
              </w:tc>
              <w:tc>
                <w:tcPr>
                  <w:tcW w:w="447" w:type="pct"/>
                  <w:tcBorders>
                    <w:tl2br w:val="nil"/>
                    <w:tr2bl w:val="nil"/>
                  </w:tcBorders>
                  <w:noWrap w:val="0"/>
                  <w:vAlign w:val="center"/>
                </w:tcPr>
                <w:p w14:paraId="3B12448D">
                  <w:pPr>
                    <w:pStyle w:val="5"/>
                    <w:bidi w:val="0"/>
                    <w:rPr>
                      <w:rFonts w:hint="default"/>
                      <w:lang w:val="en-US" w:eastAsia="zh-CN"/>
                    </w:rPr>
                  </w:pPr>
                  <w:r>
                    <w:rPr>
                      <w:rFonts w:hint="eastAsia"/>
                      <w:lang w:val="en-US" w:eastAsia="zh-CN"/>
                    </w:rPr>
                    <w:t>81.99</w:t>
                  </w:r>
                </w:p>
              </w:tc>
              <w:tc>
                <w:tcPr>
                  <w:tcW w:w="349" w:type="pct"/>
                  <w:vMerge w:val="continue"/>
                  <w:tcBorders>
                    <w:tl2br w:val="nil"/>
                    <w:tr2bl w:val="nil"/>
                  </w:tcBorders>
                  <w:noWrap w:val="0"/>
                  <w:vAlign w:val="center"/>
                </w:tcPr>
                <w:p w14:paraId="47357543">
                  <w:pPr>
                    <w:pStyle w:val="5"/>
                    <w:bidi w:val="0"/>
                    <w:rPr>
                      <w:rFonts w:hint="eastAsia"/>
                      <w:lang w:val="zh-CN" w:eastAsia="zh-CN"/>
                    </w:rPr>
                  </w:pPr>
                </w:p>
              </w:tc>
              <w:tc>
                <w:tcPr>
                  <w:tcW w:w="232" w:type="pct"/>
                  <w:tcBorders>
                    <w:tl2br w:val="nil"/>
                    <w:tr2bl w:val="nil"/>
                  </w:tcBorders>
                  <w:noWrap w:val="0"/>
                  <w:vAlign w:val="center"/>
                </w:tcPr>
                <w:p w14:paraId="33EFA578">
                  <w:pPr>
                    <w:pStyle w:val="5"/>
                    <w:bidi w:val="0"/>
                    <w:rPr>
                      <w:rFonts w:hint="default"/>
                      <w:lang w:val="en-US" w:eastAsia="zh-CN"/>
                    </w:rPr>
                  </w:pPr>
                  <w:r>
                    <w:rPr>
                      <w:rFonts w:hint="eastAsia"/>
                      <w:lang w:val="en-US" w:eastAsia="zh-CN"/>
                    </w:rPr>
                    <w:t>21</w:t>
                  </w:r>
                </w:p>
              </w:tc>
              <w:tc>
                <w:tcPr>
                  <w:tcW w:w="244" w:type="pct"/>
                  <w:tcBorders>
                    <w:tl2br w:val="nil"/>
                    <w:tr2bl w:val="nil"/>
                  </w:tcBorders>
                  <w:noWrap w:val="0"/>
                  <w:vAlign w:val="center"/>
                </w:tcPr>
                <w:p w14:paraId="4EF74C4D">
                  <w:pPr>
                    <w:pStyle w:val="5"/>
                    <w:bidi w:val="0"/>
                    <w:rPr>
                      <w:rFonts w:hint="default"/>
                      <w:lang w:val="en-US" w:eastAsia="zh-CN"/>
                    </w:rPr>
                  </w:pPr>
                  <w:r>
                    <w:rPr>
                      <w:rFonts w:hint="eastAsia"/>
                      <w:lang w:val="en-US" w:eastAsia="zh-CN"/>
                    </w:rPr>
                    <w:t>50</w:t>
                  </w:r>
                </w:p>
              </w:tc>
              <w:tc>
                <w:tcPr>
                  <w:tcW w:w="352" w:type="pct"/>
                  <w:tcBorders>
                    <w:tl2br w:val="nil"/>
                    <w:tr2bl w:val="nil"/>
                  </w:tcBorders>
                  <w:noWrap w:val="0"/>
                  <w:vAlign w:val="center"/>
                </w:tcPr>
                <w:p w14:paraId="6C8EC6DF">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11886F1A">
                  <w:pPr>
                    <w:pStyle w:val="5"/>
                    <w:bidi w:val="0"/>
                    <w:rPr>
                      <w:rFonts w:hint="default"/>
                      <w:lang w:val="en-US" w:eastAsia="zh-CN"/>
                    </w:rPr>
                  </w:pPr>
                  <w:r>
                    <w:rPr>
                      <w:rFonts w:hint="eastAsia"/>
                      <w:lang w:val="en-US" w:eastAsia="zh-CN"/>
                    </w:rPr>
                    <w:t>2</w:t>
                  </w:r>
                </w:p>
              </w:tc>
              <w:tc>
                <w:tcPr>
                  <w:tcW w:w="413" w:type="pct"/>
                  <w:tcBorders>
                    <w:tl2br w:val="nil"/>
                    <w:tr2bl w:val="nil"/>
                  </w:tcBorders>
                  <w:noWrap w:val="0"/>
                  <w:vAlign w:val="center"/>
                </w:tcPr>
                <w:p w14:paraId="330B6F3D">
                  <w:pPr>
                    <w:pStyle w:val="5"/>
                    <w:bidi w:val="0"/>
                    <w:rPr>
                      <w:rFonts w:hint="default"/>
                      <w:lang w:val="en-US" w:eastAsia="zh-CN"/>
                    </w:rPr>
                  </w:pPr>
                  <w:r>
                    <w:rPr>
                      <w:rFonts w:hint="eastAsia"/>
                      <w:lang w:val="en-US" w:eastAsia="zh-CN"/>
                    </w:rPr>
                    <w:t>75.97</w:t>
                  </w:r>
                </w:p>
              </w:tc>
              <w:tc>
                <w:tcPr>
                  <w:tcW w:w="298" w:type="pct"/>
                  <w:tcBorders>
                    <w:tl2br w:val="nil"/>
                    <w:tr2bl w:val="nil"/>
                  </w:tcBorders>
                  <w:noWrap w:val="0"/>
                  <w:vAlign w:val="center"/>
                </w:tcPr>
                <w:p w14:paraId="3A7BEDFF">
                  <w:pPr>
                    <w:pStyle w:val="5"/>
                    <w:bidi w:val="0"/>
                    <w:rPr>
                      <w:rFonts w:hint="eastAsia"/>
                      <w:lang w:val="en-US" w:eastAsia="zh-CN"/>
                    </w:rPr>
                  </w:pPr>
                  <w:r>
                    <w:rPr>
                      <w:rFonts w:hint="eastAsia"/>
                      <w:lang w:val="en-US" w:eastAsia="zh-CN"/>
                    </w:rPr>
                    <w:t>8h</w:t>
                  </w:r>
                </w:p>
              </w:tc>
              <w:tc>
                <w:tcPr>
                  <w:tcW w:w="395" w:type="pct"/>
                  <w:tcBorders>
                    <w:tl2br w:val="nil"/>
                    <w:tr2bl w:val="nil"/>
                  </w:tcBorders>
                  <w:noWrap w:val="0"/>
                  <w:vAlign w:val="center"/>
                </w:tcPr>
                <w:p w14:paraId="3B2C0DEF">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4DAD4425">
                  <w:pPr>
                    <w:pStyle w:val="5"/>
                    <w:bidi w:val="0"/>
                    <w:rPr>
                      <w:rFonts w:hint="default"/>
                      <w:lang w:val="en-US" w:eastAsia="zh-CN"/>
                    </w:rPr>
                  </w:pPr>
                  <w:r>
                    <w:rPr>
                      <w:rFonts w:hint="eastAsia"/>
                      <w:lang w:val="en-US" w:eastAsia="zh-CN"/>
                    </w:rPr>
                    <w:t>54</w:t>
                  </w:r>
                </w:p>
              </w:tc>
              <w:tc>
                <w:tcPr>
                  <w:tcW w:w="290" w:type="pct"/>
                  <w:tcBorders>
                    <w:tl2br w:val="nil"/>
                    <w:tr2bl w:val="nil"/>
                  </w:tcBorders>
                  <w:noWrap w:val="0"/>
                  <w:vAlign w:val="center"/>
                </w:tcPr>
                <w:p w14:paraId="437710E7">
                  <w:pPr>
                    <w:pStyle w:val="5"/>
                    <w:bidi w:val="0"/>
                    <w:rPr>
                      <w:rFonts w:hint="default"/>
                      <w:lang w:val="en-US" w:eastAsia="zh-CN"/>
                    </w:rPr>
                  </w:pPr>
                  <w:r>
                    <w:rPr>
                      <w:rFonts w:hint="eastAsia"/>
                      <w:lang w:val="en-US" w:eastAsia="zh-CN"/>
                    </w:rPr>
                    <w:t>1</w:t>
                  </w:r>
                </w:p>
              </w:tc>
            </w:tr>
            <w:tr w14:paraId="1E3A8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1" w:type="pct"/>
                  <w:tcBorders>
                    <w:tl2br w:val="nil"/>
                    <w:tr2bl w:val="nil"/>
                  </w:tcBorders>
                  <w:noWrap w:val="0"/>
                  <w:vAlign w:val="center"/>
                </w:tcPr>
                <w:p w14:paraId="2F9D6E06">
                  <w:pPr>
                    <w:pStyle w:val="5"/>
                    <w:bidi w:val="0"/>
                    <w:rPr>
                      <w:rFonts w:hint="default"/>
                      <w:lang w:val="en-US" w:eastAsia="zh-CN"/>
                    </w:rPr>
                  </w:pPr>
                  <w:r>
                    <w:rPr>
                      <w:rFonts w:hint="eastAsia"/>
                      <w:lang w:val="en-US" w:eastAsia="zh-CN"/>
                    </w:rPr>
                    <w:t>5</w:t>
                  </w:r>
                </w:p>
              </w:tc>
              <w:tc>
                <w:tcPr>
                  <w:tcW w:w="268" w:type="pct"/>
                  <w:vMerge w:val="continue"/>
                  <w:tcBorders>
                    <w:tl2br w:val="nil"/>
                    <w:tr2bl w:val="nil"/>
                  </w:tcBorders>
                  <w:noWrap w:val="0"/>
                  <w:vAlign w:val="center"/>
                </w:tcPr>
                <w:p w14:paraId="36E3057B">
                  <w:pPr>
                    <w:pStyle w:val="5"/>
                    <w:bidi w:val="0"/>
                    <w:rPr>
                      <w:rFonts w:hint="eastAsia"/>
                      <w:lang w:val="zh-CN" w:eastAsia="zh-CN"/>
                    </w:rPr>
                  </w:pPr>
                </w:p>
              </w:tc>
              <w:tc>
                <w:tcPr>
                  <w:tcW w:w="507" w:type="pct"/>
                  <w:tcBorders>
                    <w:tl2br w:val="nil"/>
                    <w:tr2bl w:val="nil"/>
                  </w:tcBorders>
                  <w:noWrap w:val="0"/>
                  <w:vAlign w:val="center"/>
                </w:tcPr>
                <w:p w14:paraId="0314BE56">
                  <w:pPr>
                    <w:pStyle w:val="5"/>
                    <w:bidi w:val="0"/>
                    <w:rPr>
                      <w:rFonts w:hint="default"/>
                      <w:sz w:val="21"/>
                      <w:szCs w:val="21"/>
                      <w:lang w:val="en-US" w:eastAsia="zh-CN"/>
                    </w:rPr>
                  </w:pPr>
                  <w:r>
                    <w:rPr>
                      <w:rFonts w:hint="default" w:ascii="Times New Roman" w:hAnsi="Times New Roman" w:eastAsia="宋体" w:cs="Times New Roman"/>
                      <w:bCs/>
                      <w:color w:val="auto"/>
                      <w:sz w:val="21"/>
                      <w:szCs w:val="21"/>
                      <w:lang w:val="en-US" w:eastAsia="zh-CN"/>
                    </w:rPr>
                    <w:t>自动装堆线</w:t>
                  </w:r>
                </w:p>
              </w:tc>
              <w:tc>
                <w:tcPr>
                  <w:tcW w:w="243" w:type="pct"/>
                  <w:tcBorders>
                    <w:tl2br w:val="nil"/>
                    <w:tr2bl w:val="nil"/>
                  </w:tcBorders>
                  <w:noWrap w:val="0"/>
                  <w:vAlign w:val="center"/>
                </w:tcPr>
                <w:p w14:paraId="5AEDFE05">
                  <w:pPr>
                    <w:pStyle w:val="5"/>
                    <w:bidi w:val="0"/>
                    <w:rPr>
                      <w:rFonts w:hint="default"/>
                      <w:sz w:val="21"/>
                      <w:szCs w:val="21"/>
                      <w:lang w:val="en-US" w:eastAsia="zh-CN"/>
                    </w:rPr>
                  </w:pPr>
                  <w:r>
                    <w:rPr>
                      <w:rFonts w:hint="eastAsia"/>
                      <w:sz w:val="21"/>
                      <w:szCs w:val="21"/>
                      <w:lang w:val="en-US" w:eastAsia="zh-CN"/>
                    </w:rPr>
                    <w:t>2</w:t>
                  </w:r>
                </w:p>
              </w:tc>
              <w:tc>
                <w:tcPr>
                  <w:tcW w:w="447" w:type="pct"/>
                  <w:tcBorders>
                    <w:tl2br w:val="nil"/>
                    <w:tr2bl w:val="nil"/>
                  </w:tcBorders>
                  <w:noWrap w:val="0"/>
                  <w:vAlign w:val="center"/>
                </w:tcPr>
                <w:p w14:paraId="4B8A37F5">
                  <w:pPr>
                    <w:pStyle w:val="5"/>
                    <w:bidi w:val="0"/>
                    <w:rPr>
                      <w:rFonts w:hint="default"/>
                      <w:lang w:val="en-US" w:eastAsia="zh-CN"/>
                    </w:rPr>
                  </w:pPr>
                  <w:r>
                    <w:rPr>
                      <w:rFonts w:hint="eastAsia"/>
                      <w:lang w:val="en-US" w:eastAsia="zh-CN"/>
                    </w:rPr>
                    <w:t>78.01</w:t>
                  </w:r>
                </w:p>
              </w:tc>
              <w:tc>
                <w:tcPr>
                  <w:tcW w:w="349" w:type="pct"/>
                  <w:vMerge w:val="continue"/>
                  <w:tcBorders>
                    <w:tl2br w:val="nil"/>
                    <w:tr2bl w:val="nil"/>
                  </w:tcBorders>
                  <w:noWrap w:val="0"/>
                  <w:vAlign w:val="center"/>
                </w:tcPr>
                <w:p w14:paraId="53A89324">
                  <w:pPr>
                    <w:pStyle w:val="5"/>
                    <w:bidi w:val="0"/>
                    <w:rPr>
                      <w:rFonts w:hint="eastAsia"/>
                      <w:lang w:val="zh-CN" w:eastAsia="zh-CN"/>
                    </w:rPr>
                  </w:pPr>
                </w:p>
              </w:tc>
              <w:tc>
                <w:tcPr>
                  <w:tcW w:w="232" w:type="pct"/>
                  <w:tcBorders>
                    <w:tl2br w:val="nil"/>
                    <w:tr2bl w:val="nil"/>
                  </w:tcBorders>
                  <w:noWrap w:val="0"/>
                  <w:vAlign w:val="center"/>
                </w:tcPr>
                <w:p w14:paraId="024D1A3D">
                  <w:pPr>
                    <w:pStyle w:val="5"/>
                    <w:bidi w:val="0"/>
                    <w:rPr>
                      <w:rFonts w:hint="default"/>
                      <w:lang w:val="en-US" w:eastAsia="zh-CN"/>
                    </w:rPr>
                  </w:pPr>
                  <w:r>
                    <w:rPr>
                      <w:rFonts w:hint="eastAsia"/>
                      <w:lang w:val="en-US" w:eastAsia="zh-CN"/>
                    </w:rPr>
                    <w:t>3</w:t>
                  </w:r>
                </w:p>
              </w:tc>
              <w:tc>
                <w:tcPr>
                  <w:tcW w:w="244" w:type="pct"/>
                  <w:tcBorders>
                    <w:tl2br w:val="nil"/>
                    <w:tr2bl w:val="nil"/>
                  </w:tcBorders>
                  <w:noWrap w:val="0"/>
                  <w:vAlign w:val="center"/>
                </w:tcPr>
                <w:p w14:paraId="40CCD69A">
                  <w:pPr>
                    <w:pStyle w:val="5"/>
                    <w:bidi w:val="0"/>
                    <w:rPr>
                      <w:rFonts w:hint="default"/>
                      <w:lang w:val="en-US" w:eastAsia="zh-CN"/>
                    </w:rPr>
                  </w:pPr>
                  <w:r>
                    <w:rPr>
                      <w:rFonts w:hint="eastAsia"/>
                      <w:lang w:val="en-US" w:eastAsia="zh-CN"/>
                    </w:rPr>
                    <w:t>30</w:t>
                  </w:r>
                </w:p>
              </w:tc>
              <w:tc>
                <w:tcPr>
                  <w:tcW w:w="352" w:type="pct"/>
                  <w:tcBorders>
                    <w:tl2br w:val="nil"/>
                    <w:tr2bl w:val="nil"/>
                  </w:tcBorders>
                  <w:noWrap w:val="0"/>
                  <w:vAlign w:val="center"/>
                </w:tcPr>
                <w:p w14:paraId="2B5D8446">
                  <w:pPr>
                    <w:pStyle w:val="5"/>
                    <w:bidi w:val="0"/>
                    <w:rPr>
                      <w:rFonts w:hint="default"/>
                      <w:lang w:val="en-US" w:eastAsia="zh-CN"/>
                    </w:rPr>
                  </w:pPr>
                  <w:r>
                    <w:rPr>
                      <w:rFonts w:hint="eastAsia"/>
                      <w:lang w:val="en-US" w:eastAsia="zh-CN"/>
                    </w:rPr>
                    <w:t>16.5</w:t>
                  </w:r>
                </w:p>
              </w:tc>
              <w:tc>
                <w:tcPr>
                  <w:tcW w:w="318" w:type="pct"/>
                  <w:tcBorders>
                    <w:tl2br w:val="nil"/>
                    <w:tr2bl w:val="nil"/>
                  </w:tcBorders>
                  <w:noWrap w:val="0"/>
                  <w:vAlign w:val="center"/>
                </w:tcPr>
                <w:p w14:paraId="09C51CA7">
                  <w:pPr>
                    <w:pStyle w:val="5"/>
                    <w:bidi w:val="0"/>
                    <w:rPr>
                      <w:rFonts w:hint="default"/>
                      <w:lang w:val="en-US" w:eastAsia="zh-CN"/>
                    </w:rPr>
                  </w:pPr>
                  <w:r>
                    <w:rPr>
                      <w:rFonts w:hint="eastAsia"/>
                      <w:lang w:val="en-US" w:eastAsia="zh-CN"/>
                    </w:rPr>
                    <w:t>1.5</w:t>
                  </w:r>
                </w:p>
              </w:tc>
              <w:tc>
                <w:tcPr>
                  <w:tcW w:w="413" w:type="pct"/>
                  <w:tcBorders>
                    <w:tl2br w:val="nil"/>
                    <w:tr2bl w:val="nil"/>
                  </w:tcBorders>
                  <w:noWrap w:val="0"/>
                  <w:vAlign w:val="center"/>
                </w:tcPr>
                <w:p w14:paraId="0E29B866">
                  <w:pPr>
                    <w:pStyle w:val="5"/>
                    <w:bidi w:val="0"/>
                    <w:rPr>
                      <w:rFonts w:hint="default"/>
                      <w:lang w:val="en-US" w:eastAsia="zh-CN"/>
                    </w:rPr>
                  </w:pPr>
                  <w:r>
                    <w:rPr>
                      <w:rFonts w:hint="eastAsia"/>
                      <w:lang w:val="en-US" w:eastAsia="zh-CN"/>
                    </w:rPr>
                    <w:t>74.89</w:t>
                  </w:r>
                </w:p>
              </w:tc>
              <w:tc>
                <w:tcPr>
                  <w:tcW w:w="298" w:type="pct"/>
                  <w:tcBorders>
                    <w:tl2br w:val="nil"/>
                    <w:tr2bl w:val="nil"/>
                  </w:tcBorders>
                  <w:noWrap w:val="0"/>
                  <w:vAlign w:val="center"/>
                </w:tcPr>
                <w:p w14:paraId="03C9E27B">
                  <w:pPr>
                    <w:pStyle w:val="5"/>
                    <w:bidi w:val="0"/>
                    <w:rPr>
                      <w:rFonts w:hint="default"/>
                      <w:lang w:val="en-US" w:eastAsia="zh-CN"/>
                    </w:rPr>
                  </w:pPr>
                  <w:r>
                    <w:rPr>
                      <w:rFonts w:hint="eastAsia"/>
                      <w:lang w:val="en-US" w:eastAsia="zh-CN"/>
                    </w:rPr>
                    <w:t>8h</w:t>
                  </w:r>
                </w:p>
              </w:tc>
              <w:tc>
                <w:tcPr>
                  <w:tcW w:w="395" w:type="pct"/>
                  <w:tcBorders>
                    <w:tl2br w:val="nil"/>
                    <w:tr2bl w:val="nil"/>
                  </w:tcBorders>
                  <w:noWrap w:val="0"/>
                  <w:vAlign w:val="center"/>
                </w:tcPr>
                <w:p w14:paraId="0FC7F8CB">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7E3D69B1">
                  <w:pPr>
                    <w:pStyle w:val="5"/>
                    <w:bidi w:val="0"/>
                    <w:rPr>
                      <w:rFonts w:hint="default"/>
                      <w:lang w:val="en-US" w:eastAsia="zh-CN"/>
                    </w:rPr>
                  </w:pPr>
                  <w:r>
                    <w:rPr>
                      <w:rFonts w:hint="eastAsia"/>
                      <w:lang w:val="en-US" w:eastAsia="zh-CN"/>
                    </w:rPr>
                    <w:t>53.89</w:t>
                  </w:r>
                </w:p>
              </w:tc>
              <w:tc>
                <w:tcPr>
                  <w:tcW w:w="290" w:type="pct"/>
                  <w:tcBorders>
                    <w:tl2br w:val="nil"/>
                    <w:tr2bl w:val="nil"/>
                  </w:tcBorders>
                  <w:noWrap w:val="0"/>
                  <w:vAlign w:val="center"/>
                </w:tcPr>
                <w:p w14:paraId="2AB18ADC">
                  <w:pPr>
                    <w:pStyle w:val="5"/>
                    <w:bidi w:val="0"/>
                    <w:rPr>
                      <w:rFonts w:hint="default"/>
                      <w:lang w:val="en-US" w:eastAsia="zh-CN"/>
                    </w:rPr>
                  </w:pPr>
                  <w:r>
                    <w:rPr>
                      <w:rFonts w:hint="default"/>
                      <w:lang w:val="en-US" w:eastAsia="zh-CN"/>
                    </w:rPr>
                    <w:t>1</w:t>
                  </w:r>
                </w:p>
              </w:tc>
            </w:tr>
            <w:tr w14:paraId="1B1971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1" w:type="pct"/>
                  <w:tcBorders>
                    <w:tl2br w:val="nil"/>
                    <w:tr2bl w:val="nil"/>
                  </w:tcBorders>
                  <w:noWrap w:val="0"/>
                  <w:vAlign w:val="center"/>
                </w:tcPr>
                <w:p w14:paraId="499D224A">
                  <w:pPr>
                    <w:pStyle w:val="5"/>
                    <w:bidi w:val="0"/>
                    <w:rPr>
                      <w:rFonts w:hint="default"/>
                      <w:lang w:val="en-US" w:eastAsia="zh-CN"/>
                    </w:rPr>
                  </w:pPr>
                  <w:r>
                    <w:rPr>
                      <w:rFonts w:hint="eastAsia"/>
                      <w:lang w:val="en-US" w:eastAsia="zh-CN"/>
                    </w:rPr>
                    <w:t>6</w:t>
                  </w:r>
                </w:p>
              </w:tc>
              <w:tc>
                <w:tcPr>
                  <w:tcW w:w="268" w:type="pct"/>
                  <w:vMerge w:val="continue"/>
                  <w:tcBorders>
                    <w:tl2br w:val="nil"/>
                    <w:tr2bl w:val="nil"/>
                  </w:tcBorders>
                  <w:noWrap w:val="0"/>
                  <w:vAlign w:val="center"/>
                </w:tcPr>
                <w:p w14:paraId="72E73957">
                  <w:pPr>
                    <w:pStyle w:val="5"/>
                    <w:bidi w:val="0"/>
                    <w:rPr>
                      <w:rFonts w:hint="eastAsia"/>
                      <w:lang w:val="zh-CN" w:eastAsia="zh-CN"/>
                    </w:rPr>
                  </w:pPr>
                </w:p>
              </w:tc>
              <w:tc>
                <w:tcPr>
                  <w:tcW w:w="507" w:type="pct"/>
                  <w:tcBorders>
                    <w:tl2br w:val="nil"/>
                    <w:tr2bl w:val="nil"/>
                  </w:tcBorders>
                  <w:noWrap w:val="0"/>
                  <w:vAlign w:val="center"/>
                </w:tcPr>
                <w:p w14:paraId="0DBF437D">
                  <w:pPr>
                    <w:pStyle w:val="5"/>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无油涡旋空压机</w:t>
                  </w:r>
                </w:p>
              </w:tc>
              <w:tc>
                <w:tcPr>
                  <w:tcW w:w="243" w:type="pct"/>
                  <w:tcBorders>
                    <w:tl2br w:val="nil"/>
                    <w:tr2bl w:val="nil"/>
                  </w:tcBorders>
                  <w:noWrap w:val="0"/>
                  <w:vAlign w:val="center"/>
                </w:tcPr>
                <w:p w14:paraId="1A4E4FC4">
                  <w:pPr>
                    <w:pStyle w:val="5"/>
                    <w:bidi w:val="0"/>
                    <w:rPr>
                      <w:rFonts w:hint="default"/>
                      <w:sz w:val="21"/>
                      <w:szCs w:val="21"/>
                      <w:lang w:val="en-US" w:eastAsia="zh-CN"/>
                    </w:rPr>
                  </w:pPr>
                  <w:r>
                    <w:rPr>
                      <w:rFonts w:hint="eastAsia"/>
                      <w:sz w:val="21"/>
                      <w:szCs w:val="21"/>
                      <w:lang w:val="en-US" w:eastAsia="zh-CN"/>
                    </w:rPr>
                    <w:t>2</w:t>
                  </w:r>
                </w:p>
              </w:tc>
              <w:tc>
                <w:tcPr>
                  <w:tcW w:w="447" w:type="pct"/>
                  <w:tcBorders>
                    <w:tl2br w:val="nil"/>
                    <w:tr2bl w:val="nil"/>
                  </w:tcBorders>
                  <w:noWrap w:val="0"/>
                  <w:vAlign w:val="center"/>
                </w:tcPr>
                <w:p w14:paraId="358F1E72">
                  <w:pPr>
                    <w:pStyle w:val="5"/>
                    <w:bidi w:val="0"/>
                    <w:rPr>
                      <w:rFonts w:hint="default"/>
                      <w:lang w:val="en-US" w:eastAsia="zh-CN"/>
                    </w:rPr>
                  </w:pPr>
                  <w:r>
                    <w:rPr>
                      <w:rFonts w:hint="eastAsia"/>
                      <w:lang w:val="en-US" w:eastAsia="zh-CN"/>
                    </w:rPr>
                    <w:t>78.01</w:t>
                  </w:r>
                </w:p>
              </w:tc>
              <w:tc>
                <w:tcPr>
                  <w:tcW w:w="349" w:type="pct"/>
                  <w:vMerge w:val="continue"/>
                  <w:tcBorders>
                    <w:tl2br w:val="nil"/>
                    <w:tr2bl w:val="nil"/>
                  </w:tcBorders>
                  <w:noWrap w:val="0"/>
                  <w:vAlign w:val="center"/>
                </w:tcPr>
                <w:p w14:paraId="4EE958C0">
                  <w:pPr>
                    <w:pStyle w:val="5"/>
                    <w:bidi w:val="0"/>
                    <w:rPr>
                      <w:rFonts w:hint="eastAsia"/>
                      <w:lang w:val="zh-CN" w:eastAsia="zh-CN"/>
                    </w:rPr>
                  </w:pPr>
                </w:p>
              </w:tc>
              <w:tc>
                <w:tcPr>
                  <w:tcW w:w="232" w:type="pct"/>
                  <w:tcBorders>
                    <w:tl2br w:val="nil"/>
                    <w:tr2bl w:val="nil"/>
                  </w:tcBorders>
                  <w:noWrap w:val="0"/>
                  <w:vAlign w:val="center"/>
                </w:tcPr>
                <w:p w14:paraId="42F14C1C">
                  <w:pPr>
                    <w:pStyle w:val="5"/>
                    <w:bidi w:val="0"/>
                    <w:rPr>
                      <w:rFonts w:hint="default"/>
                      <w:lang w:val="en-US" w:eastAsia="zh-CN"/>
                    </w:rPr>
                  </w:pPr>
                  <w:r>
                    <w:rPr>
                      <w:rFonts w:hint="eastAsia"/>
                      <w:lang w:val="en-US" w:eastAsia="zh-CN"/>
                    </w:rPr>
                    <w:t>5</w:t>
                  </w:r>
                </w:p>
              </w:tc>
              <w:tc>
                <w:tcPr>
                  <w:tcW w:w="244" w:type="pct"/>
                  <w:tcBorders>
                    <w:tl2br w:val="nil"/>
                    <w:tr2bl w:val="nil"/>
                  </w:tcBorders>
                  <w:noWrap w:val="0"/>
                  <w:vAlign w:val="center"/>
                </w:tcPr>
                <w:p w14:paraId="56E2F5F9">
                  <w:pPr>
                    <w:pStyle w:val="5"/>
                    <w:bidi w:val="0"/>
                    <w:rPr>
                      <w:rFonts w:hint="default"/>
                      <w:lang w:val="en-US" w:eastAsia="zh-CN"/>
                    </w:rPr>
                  </w:pPr>
                  <w:r>
                    <w:rPr>
                      <w:rFonts w:hint="eastAsia"/>
                      <w:lang w:val="en-US" w:eastAsia="zh-CN"/>
                    </w:rPr>
                    <w:t>9</w:t>
                  </w:r>
                </w:p>
              </w:tc>
              <w:tc>
                <w:tcPr>
                  <w:tcW w:w="352" w:type="pct"/>
                  <w:tcBorders>
                    <w:tl2br w:val="nil"/>
                    <w:tr2bl w:val="nil"/>
                  </w:tcBorders>
                  <w:noWrap w:val="0"/>
                  <w:vAlign w:val="center"/>
                </w:tcPr>
                <w:p w14:paraId="69D396F6">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3896FB74">
                  <w:pPr>
                    <w:pStyle w:val="5"/>
                    <w:bidi w:val="0"/>
                    <w:rPr>
                      <w:rFonts w:hint="default"/>
                      <w:lang w:val="en-US" w:eastAsia="zh-CN"/>
                    </w:rPr>
                  </w:pPr>
                  <w:r>
                    <w:rPr>
                      <w:rFonts w:hint="eastAsia"/>
                      <w:lang w:val="en-US" w:eastAsia="zh-CN"/>
                    </w:rPr>
                    <w:t>1</w:t>
                  </w:r>
                </w:p>
              </w:tc>
              <w:tc>
                <w:tcPr>
                  <w:tcW w:w="413" w:type="pct"/>
                  <w:tcBorders>
                    <w:tl2br w:val="nil"/>
                    <w:tr2bl w:val="nil"/>
                  </w:tcBorders>
                  <w:shd w:val="clear" w:color="auto" w:fill="auto"/>
                  <w:noWrap w:val="0"/>
                  <w:vAlign w:val="center"/>
                </w:tcPr>
                <w:p w14:paraId="3E1CEBE0">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78.01</w:t>
                  </w:r>
                </w:p>
              </w:tc>
              <w:tc>
                <w:tcPr>
                  <w:tcW w:w="298" w:type="pct"/>
                  <w:tcBorders>
                    <w:tl2br w:val="nil"/>
                    <w:tr2bl w:val="nil"/>
                  </w:tcBorders>
                  <w:noWrap w:val="0"/>
                  <w:vAlign w:val="center"/>
                </w:tcPr>
                <w:p w14:paraId="2A689C7A">
                  <w:pPr>
                    <w:pStyle w:val="5"/>
                    <w:bidi w:val="0"/>
                    <w:rPr>
                      <w:rFonts w:hint="eastAsia"/>
                      <w:lang w:val="en-US" w:eastAsia="zh-CN"/>
                    </w:rPr>
                  </w:pPr>
                  <w:r>
                    <w:rPr>
                      <w:rFonts w:hint="eastAsia"/>
                      <w:lang w:val="en-US" w:eastAsia="zh-CN"/>
                    </w:rPr>
                    <w:t>8h</w:t>
                  </w:r>
                </w:p>
              </w:tc>
              <w:tc>
                <w:tcPr>
                  <w:tcW w:w="395" w:type="pct"/>
                  <w:tcBorders>
                    <w:tl2br w:val="nil"/>
                    <w:tr2bl w:val="nil"/>
                  </w:tcBorders>
                  <w:noWrap w:val="0"/>
                  <w:vAlign w:val="center"/>
                </w:tcPr>
                <w:p w14:paraId="044036DB">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04250B09">
                  <w:pPr>
                    <w:pStyle w:val="5"/>
                    <w:bidi w:val="0"/>
                    <w:rPr>
                      <w:rFonts w:hint="default"/>
                      <w:lang w:val="en-US" w:eastAsia="zh-CN"/>
                    </w:rPr>
                  </w:pPr>
                  <w:r>
                    <w:rPr>
                      <w:rFonts w:hint="eastAsia"/>
                      <w:lang w:val="en-US" w:eastAsia="zh-CN"/>
                    </w:rPr>
                    <w:t>57.01</w:t>
                  </w:r>
                </w:p>
              </w:tc>
              <w:tc>
                <w:tcPr>
                  <w:tcW w:w="290" w:type="pct"/>
                  <w:tcBorders>
                    <w:tl2br w:val="nil"/>
                    <w:tr2bl w:val="nil"/>
                  </w:tcBorders>
                  <w:noWrap w:val="0"/>
                  <w:vAlign w:val="center"/>
                </w:tcPr>
                <w:p w14:paraId="48B62B16">
                  <w:pPr>
                    <w:pStyle w:val="5"/>
                    <w:bidi w:val="0"/>
                    <w:rPr>
                      <w:rFonts w:hint="default"/>
                      <w:lang w:val="en-US" w:eastAsia="zh-CN"/>
                    </w:rPr>
                  </w:pPr>
                  <w:r>
                    <w:rPr>
                      <w:rFonts w:hint="eastAsia"/>
                      <w:lang w:val="en-US" w:eastAsia="zh-CN"/>
                    </w:rPr>
                    <w:t>1</w:t>
                  </w:r>
                </w:p>
              </w:tc>
            </w:tr>
            <w:tr w14:paraId="3C56F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1" w:type="pct"/>
                  <w:tcBorders>
                    <w:tl2br w:val="nil"/>
                    <w:tr2bl w:val="nil"/>
                  </w:tcBorders>
                  <w:noWrap w:val="0"/>
                  <w:vAlign w:val="center"/>
                </w:tcPr>
                <w:p w14:paraId="198A198D">
                  <w:pPr>
                    <w:pStyle w:val="5"/>
                    <w:bidi w:val="0"/>
                    <w:rPr>
                      <w:rFonts w:hint="default"/>
                      <w:lang w:val="en-US" w:eastAsia="zh-CN"/>
                    </w:rPr>
                  </w:pPr>
                  <w:r>
                    <w:rPr>
                      <w:rFonts w:hint="eastAsia"/>
                      <w:lang w:val="en-US" w:eastAsia="zh-CN"/>
                    </w:rPr>
                    <w:t>7</w:t>
                  </w:r>
                </w:p>
              </w:tc>
              <w:tc>
                <w:tcPr>
                  <w:tcW w:w="268" w:type="pct"/>
                  <w:vMerge w:val="continue"/>
                  <w:tcBorders>
                    <w:tl2br w:val="nil"/>
                    <w:tr2bl w:val="nil"/>
                  </w:tcBorders>
                  <w:noWrap w:val="0"/>
                  <w:vAlign w:val="center"/>
                </w:tcPr>
                <w:p w14:paraId="025D14F6">
                  <w:pPr>
                    <w:pStyle w:val="5"/>
                    <w:bidi w:val="0"/>
                    <w:rPr>
                      <w:rFonts w:hint="eastAsia"/>
                      <w:lang w:val="zh-CN" w:eastAsia="zh-CN"/>
                    </w:rPr>
                  </w:pPr>
                </w:p>
              </w:tc>
              <w:tc>
                <w:tcPr>
                  <w:tcW w:w="507" w:type="pct"/>
                  <w:tcBorders>
                    <w:tl2br w:val="nil"/>
                    <w:tr2bl w:val="nil"/>
                  </w:tcBorders>
                  <w:noWrap w:val="0"/>
                  <w:vAlign w:val="center"/>
                </w:tcPr>
                <w:p w14:paraId="4AB64416">
                  <w:pPr>
                    <w:pStyle w:val="5"/>
                    <w:bidi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螺杆空压机</w:t>
                  </w:r>
                </w:p>
              </w:tc>
              <w:tc>
                <w:tcPr>
                  <w:tcW w:w="243" w:type="pct"/>
                  <w:tcBorders>
                    <w:tl2br w:val="nil"/>
                    <w:tr2bl w:val="nil"/>
                  </w:tcBorders>
                  <w:noWrap w:val="0"/>
                  <w:vAlign w:val="center"/>
                </w:tcPr>
                <w:p w14:paraId="6B97CD0F">
                  <w:pPr>
                    <w:pStyle w:val="5"/>
                    <w:bidi w:val="0"/>
                    <w:rPr>
                      <w:rFonts w:hint="default"/>
                      <w:sz w:val="21"/>
                      <w:szCs w:val="21"/>
                      <w:lang w:val="en-US" w:eastAsia="zh-CN"/>
                    </w:rPr>
                  </w:pPr>
                  <w:r>
                    <w:rPr>
                      <w:rFonts w:hint="eastAsia"/>
                      <w:sz w:val="21"/>
                      <w:szCs w:val="21"/>
                      <w:lang w:val="en-US" w:eastAsia="zh-CN"/>
                    </w:rPr>
                    <w:t>3</w:t>
                  </w:r>
                </w:p>
              </w:tc>
              <w:tc>
                <w:tcPr>
                  <w:tcW w:w="447" w:type="pct"/>
                  <w:tcBorders>
                    <w:tl2br w:val="nil"/>
                    <w:tr2bl w:val="nil"/>
                  </w:tcBorders>
                  <w:noWrap w:val="0"/>
                  <w:vAlign w:val="center"/>
                </w:tcPr>
                <w:p w14:paraId="022BBD88">
                  <w:pPr>
                    <w:pStyle w:val="5"/>
                    <w:bidi w:val="0"/>
                    <w:rPr>
                      <w:rFonts w:hint="default"/>
                      <w:lang w:val="en-US" w:eastAsia="zh-CN"/>
                    </w:rPr>
                  </w:pPr>
                  <w:r>
                    <w:rPr>
                      <w:rFonts w:hint="eastAsia"/>
                      <w:lang w:val="en-US" w:eastAsia="zh-CN"/>
                    </w:rPr>
                    <w:t>79.77</w:t>
                  </w:r>
                </w:p>
              </w:tc>
              <w:tc>
                <w:tcPr>
                  <w:tcW w:w="349" w:type="pct"/>
                  <w:vMerge w:val="continue"/>
                  <w:tcBorders>
                    <w:tl2br w:val="nil"/>
                    <w:tr2bl w:val="nil"/>
                  </w:tcBorders>
                  <w:noWrap w:val="0"/>
                  <w:vAlign w:val="center"/>
                </w:tcPr>
                <w:p w14:paraId="29431487">
                  <w:pPr>
                    <w:pStyle w:val="5"/>
                    <w:bidi w:val="0"/>
                    <w:rPr>
                      <w:rFonts w:hint="eastAsia"/>
                      <w:lang w:val="zh-CN" w:eastAsia="zh-CN"/>
                    </w:rPr>
                  </w:pPr>
                </w:p>
              </w:tc>
              <w:tc>
                <w:tcPr>
                  <w:tcW w:w="232" w:type="pct"/>
                  <w:tcBorders>
                    <w:tl2br w:val="nil"/>
                    <w:tr2bl w:val="nil"/>
                  </w:tcBorders>
                  <w:noWrap w:val="0"/>
                  <w:vAlign w:val="center"/>
                </w:tcPr>
                <w:p w14:paraId="3EF9F967">
                  <w:pPr>
                    <w:pStyle w:val="5"/>
                    <w:bidi w:val="0"/>
                    <w:rPr>
                      <w:rFonts w:hint="default"/>
                      <w:lang w:val="en-US" w:eastAsia="zh-CN"/>
                    </w:rPr>
                  </w:pPr>
                  <w:r>
                    <w:rPr>
                      <w:rFonts w:hint="eastAsia"/>
                      <w:lang w:val="en-US" w:eastAsia="zh-CN"/>
                    </w:rPr>
                    <w:t>6</w:t>
                  </w:r>
                </w:p>
              </w:tc>
              <w:tc>
                <w:tcPr>
                  <w:tcW w:w="244" w:type="pct"/>
                  <w:tcBorders>
                    <w:tl2br w:val="nil"/>
                    <w:tr2bl w:val="nil"/>
                  </w:tcBorders>
                  <w:noWrap w:val="0"/>
                  <w:vAlign w:val="center"/>
                </w:tcPr>
                <w:p w14:paraId="28DE9583">
                  <w:pPr>
                    <w:pStyle w:val="5"/>
                    <w:bidi w:val="0"/>
                    <w:rPr>
                      <w:rFonts w:hint="default"/>
                      <w:lang w:val="en-US" w:eastAsia="zh-CN"/>
                    </w:rPr>
                  </w:pPr>
                  <w:r>
                    <w:rPr>
                      <w:rFonts w:hint="eastAsia"/>
                      <w:lang w:val="en-US" w:eastAsia="zh-CN"/>
                    </w:rPr>
                    <w:t>9</w:t>
                  </w:r>
                </w:p>
              </w:tc>
              <w:tc>
                <w:tcPr>
                  <w:tcW w:w="352" w:type="pct"/>
                  <w:tcBorders>
                    <w:tl2br w:val="nil"/>
                    <w:tr2bl w:val="nil"/>
                  </w:tcBorders>
                  <w:noWrap w:val="0"/>
                  <w:vAlign w:val="center"/>
                </w:tcPr>
                <w:p w14:paraId="0CCE02CB">
                  <w:pPr>
                    <w:pStyle w:val="5"/>
                    <w:bidi w:val="0"/>
                    <w:rPr>
                      <w:rFonts w:hint="default"/>
                      <w:lang w:val="en-US" w:eastAsia="zh-CN"/>
                    </w:rPr>
                  </w:pPr>
                  <w:r>
                    <w:rPr>
                      <w:rFonts w:hint="eastAsia"/>
                      <w:lang w:val="en-US" w:eastAsia="zh-CN"/>
                    </w:rPr>
                    <w:t>0.5</w:t>
                  </w:r>
                </w:p>
              </w:tc>
              <w:tc>
                <w:tcPr>
                  <w:tcW w:w="318" w:type="pct"/>
                  <w:tcBorders>
                    <w:tl2br w:val="nil"/>
                    <w:tr2bl w:val="nil"/>
                  </w:tcBorders>
                  <w:noWrap w:val="0"/>
                  <w:vAlign w:val="center"/>
                </w:tcPr>
                <w:p w14:paraId="28D876C7">
                  <w:pPr>
                    <w:pStyle w:val="5"/>
                    <w:bidi w:val="0"/>
                    <w:rPr>
                      <w:rFonts w:hint="default"/>
                      <w:lang w:val="en-US" w:eastAsia="zh-CN"/>
                    </w:rPr>
                  </w:pPr>
                  <w:r>
                    <w:rPr>
                      <w:rFonts w:hint="eastAsia"/>
                      <w:lang w:val="en-US" w:eastAsia="zh-CN"/>
                    </w:rPr>
                    <w:t>1</w:t>
                  </w:r>
                </w:p>
              </w:tc>
              <w:tc>
                <w:tcPr>
                  <w:tcW w:w="413" w:type="pct"/>
                  <w:tcBorders>
                    <w:tl2br w:val="nil"/>
                    <w:tr2bl w:val="nil"/>
                  </w:tcBorders>
                  <w:shd w:val="clear" w:color="auto" w:fill="auto"/>
                  <w:noWrap w:val="0"/>
                  <w:vAlign w:val="center"/>
                </w:tcPr>
                <w:p w14:paraId="5871BE96">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79.77</w:t>
                  </w:r>
                </w:p>
              </w:tc>
              <w:tc>
                <w:tcPr>
                  <w:tcW w:w="298" w:type="pct"/>
                  <w:tcBorders>
                    <w:tl2br w:val="nil"/>
                    <w:tr2bl w:val="nil"/>
                  </w:tcBorders>
                  <w:noWrap w:val="0"/>
                  <w:vAlign w:val="center"/>
                </w:tcPr>
                <w:p w14:paraId="1ECE4424">
                  <w:pPr>
                    <w:pStyle w:val="5"/>
                    <w:bidi w:val="0"/>
                    <w:rPr>
                      <w:rFonts w:hint="eastAsia"/>
                      <w:lang w:val="en-US" w:eastAsia="zh-CN"/>
                    </w:rPr>
                  </w:pPr>
                  <w:r>
                    <w:rPr>
                      <w:rFonts w:hint="eastAsia"/>
                      <w:lang w:val="en-US" w:eastAsia="zh-CN"/>
                    </w:rPr>
                    <w:t>8h</w:t>
                  </w:r>
                </w:p>
              </w:tc>
              <w:tc>
                <w:tcPr>
                  <w:tcW w:w="395" w:type="pct"/>
                  <w:tcBorders>
                    <w:tl2br w:val="nil"/>
                    <w:tr2bl w:val="nil"/>
                  </w:tcBorders>
                  <w:noWrap w:val="0"/>
                  <w:vAlign w:val="center"/>
                </w:tcPr>
                <w:p w14:paraId="3036944E">
                  <w:pPr>
                    <w:pStyle w:val="5"/>
                    <w:bidi w:val="0"/>
                    <w:rPr>
                      <w:rFonts w:hint="default"/>
                      <w:lang w:val="en-US" w:eastAsia="zh-CN"/>
                    </w:rPr>
                  </w:pPr>
                  <w:r>
                    <w:rPr>
                      <w:rFonts w:hint="eastAsia"/>
                      <w:lang w:val="en-US" w:eastAsia="zh-CN"/>
                    </w:rPr>
                    <w:t>21</w:t>
                  </w:r>
                </w:p>
              </w:tc>
              <w:tc>
                <w:tcPr>
                  <w:tcW w:w="395" w:type="pct"/>
                  <w:tcBorders>
                    <w:tl2br w:val="nil"/>
                    <w:tr2bl w:val="nil"/>
                  </w:tcBorders>
                  <w:noWrap w:val="0"/>
                  <w:vAlign w:val="center"/>
                </w:tcPr>
                <w:p w14:paraId="598AF3EB">
                  <w:pPr>
                    <w:pStyle w:val="5"/>
                    <w:bidi w:val="0"/>
                    <w:rPr>
                      <w:rFonts w:hint="default"/>
                      <w:lang w:val="en-US" w:eastAsia="zh-CN"/>
                    </w:rPr>
                  </w:pPr>
                  <w:r>
                    <w:rPr>
                      <w:rFonts w:hint="eastAsia"/>
                      <w:lang w:val="en-US" w:eastAsia="zh-CN"/>
                    </w:rPr>
                    <w:t>58.77</w:t>
                  </w:r>
                </w:p>
              </w:tc>
              <w:tc>
                <w:tcPr>
                  <w:tcW w:w="290" w:type="pct"/>
                  <w:tcBorders>
                    <w:tl2br w:val="nil"/>
                    <w:tr2bl w:val="nil"/>
                  </w:tcBorders>
                  <w:noWrap w:val="0"/>
                  <w:vAlign w:val="center"/>
                </w:tcPr>
                <w:p w14:paraId="380C577F">
                  <w:pPr>
                    <w:pStyle w:val="5"/>
                    <w:bidi w:val="0"/>
                    <w:rPr>
                      <w:rFonts w:hint="default"/>
                      <w:lang w:val="en-US" w:eastAsia="zh-CN"/>
                    </w:rPr>
                  </w:pPr>
                  <w:r>
                    <w:rPr>
                      <w:rFonts w:hint="eastAsia"/>
                      <w:lang w:val="en-US" w:eastAsia="zh-CN"/>
                    </w:rPr>
                    <w:t>1</w:t>
                  </w:r>
                </w:p>
              </w:tc>
            </w:tr>
            <w:tr w14:paraId="54D336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5"/>
                  <w:tcBorders>
                    <w:tl2br w:val="nil"/>
                    <w:tr2bl w:val="nil"/>
                  </w:tcBorders>
                  <w:noWrap w:val="0"/>
                  <w:vAlign w:val="center"/>
                </w:tcPr>
                <w:p w14:paraId="0E38ED48">
                  <w:pPr>
                    <w:pStyle w:val="5"/>
                    <w:bidi w:val="0"/>
                    <w:jc w:val="both"/>
                    <w:rPr>
                      <w:rFonts w:hint="eastAsia"/>
                      <w:lang w:val="en-US" w:eastAsia="zh-CN"/>
                    </w:rPr>
                  </w:pPr>
                  <w:r>
                    <w:rPr>
                      <w:rFonts w:hint="eastAsia"/>
                      <w:lang w:val="en-US" w:eastAsia="zh-CN"/>
                    </w:rPr>
                    <w:t>注：</w:t>
                  </w:r>
                  <w:r>
                    <w:rPr>
                      <w:rFonts w:hint="eastAsia"/>
                      <w:sz w:val="21"/>
                      <w:szCs w:val="21"/>
                      <w:lang w:val="en-US" w:eastAsia="zh-CN"/>
                    </w:rPr>
                    <w:t>裁切机、五合一封装机、七合一封装机、</w:t>
                  </w:r>
                  <w:r>
                    <w:rPr>
                      <w:rFonts w:hint="default" w:ascii="Times New Roman" w:hAnsi="Times New Roman" w:eastAsia="宋体" w:cs="Times New Roman"/>
                      <w:bCs/>
                      <w:color w:val="auto"/>
                      <w:sz w:val="21"/>
                      <w:szCs w:val="21"/>
                      <w:lang w:val="en-US" w:eastAsia="zh-CN"/>
                    </w:rPr>
                    <w:t>自动装堆线</w:t>
                  </w:r>
                  <w:r>
                    <w:rPr>
                      <w:rFonts w:hint="eastAsia" w:cs="Times New Roman"/>
                      <w:bCs/>
                      <w:color w:val="auto"/>
                      <w:sz w:val="21"/>
                      <w:szCs w:val="21"/>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无油涡旋空压机</w:t>
                  </w:r>
                  <w:r>
                    <w:rPr>
                      <w:rFonts w:hint="eastAsia"/>
                      <w:sz w:val="21"/>
                      <w:szCs w:val="21"/>
                      <w:lang w:val="en-US" w:eastAsia="zh-CN"/>
                    </w:rPr>
                    <w:t>和</w:t>
                  </w:r>
                  <w:r>
                    <w:rPr>
                      <w:rFonts w:hint="default" w:ascii="Times New Roman" w:hAnsi="Times New Roman" w:eastAsia="宋体" w:cs="Times New Roman"/>
                      <w:i w:val="0"/>
                      <w:iCs w:val="0"/>
                      <w:color w:val="000000"/>
                      <w:kern w:val="0"/>
                      <w:sz w:val="21"/>
                      <w:szCs w:val="21"/>
                      <w:u w:val="none"/>
                      <w:lang w:val="en-US" w:eastAsia="zh-CN" w:bidi="ar"/>
                    </w:rPr>
                    <w:t>螺杆空压机</w:t>
                  </w:r>
                  <w:r>
                    <w:rPr>
                      <w:rFonts w:hint="eastAsia"/>
                      <w:sz w:val="21"/>
                      <w:szCs w:val="21"/>
                      <w:lang w:val="en-US" w:eastAsia="zh-CN"/>
                    </w:rPr>
                    <w:t>声源源强值为多台同类设备声源叠加后的值；厂房建筑隔声量</w:t>
                  </w:r>
                  <w:r>
                    <w:rPr>
                      <w:rFonts w:hint="eastAsia"/>
                      <w:lang w:val="en-US" w:eastAsia="zh-CN"/>
                    </w:rPr>
                    <w:t>取值为15</w:t>
                  </w:r>
                  <w:r>
                    <w:rPr>
                      <w:rFonts w:hint="eastAsia"/>
                      <w:b w:val="0"/>
                      <w:bCs w:val="0"/>
                      <w:lang w:val="zh-CN" w:eastAsia="zh-CN"/>
                    </w:rPr>
                    <w:t>dB</w:t>
                  </w:r>
                  <w:r>
                    <w:rPr>
                      <w:rFonts w:hint="eastAsia"/>
                      <w:b/>
                      <w:bCs/>
                      <w:lang w:val="zh-CN" w:eastAsia="zh-CN"/>
                    </w:rPr>
                    <w:t>。</w:t>
                  </w:r>
                  <w:r>
                    <w:rPr>
                      <w:rFonts w:hint="eastAsia"/>
                      <w:b w:val="0"/>
                      <w:color w:val="auto"/>
                      <w:sz w:val="21"/>
                      <w:szCs w:val="21"/>
                    </w:rPr>
                    <w:t>表中坐标以</w:t>
                  </w:r>
                  <w:r>
                    <w:rPr>
                      <w:rFonts w:hint="eastAsia"/>
                      <w:b w:val="0"/>
                      <w:color w:val="auto"/>
                      <w:sz w:val="21"/>
                      <w:szCs w:val="21"/>
                      <w:lang w:val="en-US" w:eastAsia="zh-CN"/>
                    </w:rPr>
                    <w:t>项目所在车间</w:t>
                  </w:r>
                  <w:r>
                    <w:rPr>
                      <w:rFonts w:hint="eastAsia"/>
                      <w:b w:val="0"/>
                      <w:color w:val="auto"/>
                      <w:sz w:val="21"/>
                      <w:szCs w:val="21"/>
                    </w:rPr>
                    <w:t>西南角为坐标原点，正东向为X轴正方向，正北向为Y轴正方向。</w:t>
                  </w:r>
                </w:p>
              </w:tc>
            </w:tr>
          </w:tbl>
          <w:p w14:paraId="04A9BA2C">
            <w:pPr>
              <w:ind w:firstLine="0"/>
            </w:pPr>
            <w:r>
              <w:rPr>
                <w:rFonts w:hint="eastAsia"/>
                <w:lang w:val="en-US" w:eastAsia="zh-CN"/>
              </w:rPr>
              <w:t>现有工程</w:t>
            </w:r>
            <w:r>
              <w:t>噪声预测结果与达标分析见下表</w:t>
            </w:r>
            <w:r>
              <w:rPr>
                <w:rFonts w:hint="eastAsia"/>
                <w:lang w:val="en-US" w:eastAsia="zh-CN"/>
              </w:rPr>
              <w:t>2-13</w:t>
            </w:r>
            <w:r>
              <w:t>。</w:t>
            </w:r>
          </w:p>
          <w:p w14:paraId="7E57E83F">
            <w:pPr>
              <w:pStyle w:val="7"/>
              <w:bidi w:val="0"/>
            </w:pPr>
            <w:r>
              <w:t>表</w:t>
            </w:r>
            <w:r>
              <w:rPr>
                <w:rFonts w:hint="eastAsia"/>
                <w:lang w:val="en-US" w:eastAsia="zh-CN"/>
              </w:rPr>
              <w:t>2-13</w:t>
            </w:r>
            <w:r>
              <w:t xml:space="preserve">  </w:t>
            </w:r>
            <w:r>
              <w:rPr>
                <w:rFonts w:hint="eastAsia"/>
                <w:lang w:val="en-US" w:eastAsia="zh-CN"/>
              </w:rPr>
              <w:t>现有工程</w:t>
            </w:r>
            <w:r>
              <w:t>厂界噪声预测结果</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1249"/>
              <w:gridCol w:w="1964"/>
              <w:gridCol w:w="1456"/>
              <w:gridCol w:w="1605"/>
            </w:tblGrid>
            <w:tr w14:paraId="22202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pct"/>
                  <w:vAlign w:val="center"/>
                </w:tcPr>
                <w:p w14:paraId="0D75B6EB">
                  <w:pPr>
                    <w:spacing w:line="240" w:lineRule="auto"/>
                    <w:ind w:firstLine="0" w:firstLineChars="0"/>
                    <w:jc w:val="center"/>
                    <w:rPr>
                      <w:rFonts w:cs="Times New Roman"/>
                      <w:b/>
                      <w:bCs/>
                      <w:sz w:val="21"/>
                      <w:szCs w:val="21"/>
                    </w:rPr>
                  </w:pPr>
                  <w:r>
                    <w:rPr>
                      <w:rFonts w:cs="Times New Roman"/>
                      <w:b/>
                      <w:bCs/>
                      <w:sz w:val="21"/>
                      <w:szCs w:val="21"/>
                    </w:rPr>
                    <w:t>预测方位</w:t>
                  </w:r>
                </w:p>
              </w:tc>
              <w:tc>
                <w:tcPr>
                  <w:tcW w:w="706" w:type="pct"/>
                  <w:vAlign w:val="center"/>
                </w:tcPr>
                <w:p w14:paraId="77F71CED">
                  <w:pPr>
                    <w:spacing w:line="240" w:lineRule="auto"/>
                    <w:ind w:firstLine="0" w:firstLineChars="0"/>
                    <w:jc w:val="center"/>
                    <w:rPr>
                      <w:rFonts w:cs="Times New Roman"/>
                      <w:b/>
                      <w:bCs/>
                      <w:sz w:val="21"/>
                      <w:szCs w:val="21"/>
                    </w:rPr>
                  </w:pPr>
                  <w:r>
                    <w:rPr>
                      <w:rFonts w:cs="Times New Roman"/>
                      <w:b/>
                      <w:bCs/>
                      <w:sz w:val="21"/>
                      <w:szCs w:val="21"/>
                    </w:rPr>
                    <w:t>时段</w:t>
                  </w:r>
                </w:p>
              </w:tc>
              <w:tc>
                <w:tcPr>
                  <w:tcW w:w="1110" w:type="pct"/>
                  <w:vAlign w:val="center"/>
                </w:tcPr>
                <w:p w14:paraId="5E1D9BD8">
                  <w:pPr>
                    <w:spacing w:line="240" w:lineRule="auto"/>
                    <w:ind w:firstLine="0" w:firstLineChars="0"/>
                    <w:jc w:val="center"/>
                    <w:rPr>
                      <w:rFonts w:cs="Times New Roman"/>
                      <w:b/>
                      <w:bCs/>
                      <w:sz w:val="21"/>
                      <w:szCs w:val="21"/>
                    </w:rPr>
                  </w:pPr>
                  <w:r>
                    <w:rPr>
                      <w:rFonts w:cs="Times New Roman"/>
                      <w:b/>
                      <w:bCs/>
                      <w:sz w:val="21"/>
                      <w:szCs w:val="21"/>
                    </w:rPr>
                    <w:t>贡献值</w:t>
                  </w:r>
                  <w:r>
                    <w:rPr>
                      <w:b/>
                      <w:bCs/>
                      <w:sz w:val="21"/>
                      <w:szCs w:val="21"/>
                    </w:rPr>
                    <w:t>dB（A）</w:t>
                  </w:r>
                </w:p>
              </w:tc>
              <w:tc>
                <w:tcPr>
                  <w:tcW w:w="823" w:type="pct"/>
                  <w:vAlign w:val="center"/>
                </w:tcPr>
                <w:p w14:paraId="30F08F1A">
                  <w:pPr>
                    <w:spacing w:line="240" w:lineRule="auto"/>
                    <w:ind w:firstLine="0" w:firstLineChars="0"/>
                    <w:jc w:val="center"/>
                    <w:rPr>
                      <w:rFonts w:cs="Times New Roman"/>
                      <w:b/>
                      <w:bCs/>
                      <w:sz w:val="21"/>
                      <w:szCs w:val="21"/>
                    </w:rPr>
                  </w:pPr>
                  <w:r>
                    <w:rPr>
                      <w:rFonts w:cs="Times New Roman"/>
                      <w:b/>
                      <w:bCs/>
                      <w:sz w:val="21"/>
                      <w:szCs w:val="21"/>
                    </w:rPr>
                    <w:t>标准限值</w:t>
                  </w:r>
                </w:p>
              </w:tc>
              <w:tc>
                <w:tcPr>
                  <w:tcW w:w="907" w:type="pct"/>
                  <w:vAlign w:val="center"/>
                </w:tcPr>
                <w:p w14:paraId="17AEA5ED">
                  <w:pPr>
                    <w:spacing w:line="240" w:lineRule="auto"/>
                    <w:ind w:firstLine="0" w:firstLineChars="0"/>
                    <w:jc w:val="center"/>
                    <w:rPr>
                      <w:rFonts w:cs="Times New Roman"/>
                      <w:b/>
                      <w:bCs/>
                      <w:sz w:val="21"/>
                      <w:szCs w:val="21"/>
                    </w:rPr>
                  </w:pPr>
                  <w:r>
                    <w:rPr>
                      <w:rFonts w:cs="Times New Roman"/>
                      <w:b/>
                      <w:bCs/>
                      <w:sz w:val="21"/>
                      <w:szCs w:val="21"/>
                    </w:rPr>
                    <w:t>达标情况</w:t>
                  </w:r>
                </w:p>
              </w:tc>
            </w:tr>
            <w:tr w14:paraId="28AEE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pct"/>
                  <w:vAlign w:val="center"/>
                </w:tcPr>
                <w:p w14:paraId="45B32D3B">
                  <w:pPr>
                    <w:spacing w:line="240" w:lineRule="auto"/>
                    <w:ind w:firstLine="0" w:firstLineChars="0"/>
                    <w:jc w:val="center"/>
                    <w:rPr>
                      <w:rFonts w:cs="Times New Roman"/>
                      <w:spacing w:val="-3"/>
                      <w:sz w:val="21"/>
                      <w:szCs w:val="21"/>
                    </w:rPr>
                  </w:pPr>
                  <w:r>
                    <w:rPr>
                      <w:rFonts w:cs="Times New Roman"/>
                      <w:spacing w:val="-3"/>
                      <w:sz w:val="21"/>
                      <w:szCs w:val="21"/>
                    </w:rPr>
                    <w:t>北侧厂界外1m</w:t>
                  </w:r>
                </w:p>
              </w:tc>
              <w:tc>
                <w:tcPr>
                  <w:tcW w:w="706" w:type="pct"/>
                  <w:vAlign w:val="center"/>
                </w:tcPr>
                <w:p w14:paraId="05DB0D93">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1110" w:type="pct"/>
                  <w:vAlign w:val="center"/>
                </w:tcPr>
                <w:p w14:paraId="4335B1B5">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22.88</w:t>
                  </w:r>
                </w:p>
              </w:tc>
              <w:tc>
                <w:tcPr>
                  <w:tcW w:w="823" w:type="pct"/>
                  <w:vAlign w:val="center"/>
                </w:tcPr>
                <w:p w14:paraId="21B97F07">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907" w:type="pct"/>
                  <w:vAlign w:val="center"/>
                </w:tcPr>
                <w:p w14:paraId="644AE7E3">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4828F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pct"/>
                  <w:vAlign w:val="center"/>
                </w:tcPr>
                <w:p w14:paraId="68031B80">
                  <w:pPr>
                    <w:spacing w:line="240" w:lineRule="auto"/>
                    <w:ind w:firstLine="0" w:firstLineChars="0"/>
                    <w:jc w:val="center"/>
                    <w:rPr>
                      <w:rFonts w:cs="Times New Roman"/>
                      <w:spacing w:val="-3"/>
                      <w:sz w:val="21"/>
                      <w:szCs w:val="21"/>
                    </w:rPr>
                  </w:pPr>
                  <w:r>
                    <w:rPr>
                      <w:rFonts w:cs="Times New Roman"/>
                      <w:spacing w:val="-3"/>
                      <w:sz w:val="21"/>
                      <w:szCs w:val="21"/>
                    </w:rPr>
                    <w:t>南侧厂界外1m</w:t>
                  </w:r>
                </w:p>
              </w:tc>
              <w:tc>
                <w:tcPr>
                  <w:tcW w:w="706" w:type="pct"/>
                  <w:vAlign w:val="center"/>
                </w:tcPr>
                <w:p w14:paraId="5A42F0E3">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1110" w:type="pct"/>
                  <w:vAlign w:val="center"/>
                </w:tcPr>
                <w:p w14:paraId="37CF5F01">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20.01</w:t>
                  </w:r>
                </w:p>
              </w:tc>
              <w:tc>
                <w:tcPr>
                  <w:tcW w:w="823" w:type="pct"/>
                  <w:vAlign w:val="center"/>
                </w:tcPr>
                <w:p w14:paraId="4DFEE7E6">
                  <w:pPr>
                    <w:spacing w:line="240" w:lineRule="auto"/>
                    <w:ind w:left="0" w:leftChars="0"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65</w:t>
                  </w:r>
                </w:p>
              </w:tc>
              <w:tc>
                <w:tcPr>
                  <w:tcW w:w="907" w:type="pct"/>
                  <w:vAlign w:val="center"/>
                </w:tcPr>
                <w:p w14:paraId="47133D71">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66816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pct"/>
                  <w:vAlign w:val="center"/>
                </w:tcPr>
                <w:p w14:paraId="4CC13C52">
                  <w:pPr>
                    <w:spacing w:line="240" w:lineRule="auto"/>
                    <w:ind w:firstLine="0" w:firstLineChars="0"/>
                    <w:jc w:val="center"/>
                    <w:rPr>
                      <w:rFonts w:cs="Times New Roman"/>
                      <w:spacing w:val="-3"/>
                      <w:sz w:val="21"/>
                      <w:szCs w:val="21"/>
                    </w:rPr>
                  </w:pPr>
                  <w:r>
                    <w:rPr>
                      <w:rFonts w:cs="Times New Roman"/>
                      <w:spacing w:val="-3"/>
                      <w:sz w:val="21"/>
                      <w:szCs w:val="21"/>
                    </w:rPr>
                    <w:t>东侧厂界外1m</w:t>
                  </w:r>
                </w:p>
              </w:tc>
              <w:tc>
                <w:tcPr>
                  <w:tcW w:w="706" w:type="pct"/>
                  <w:vAlign w:val="center"/>
                </w:tcPr>
                <w:p w14:paraId="2C33E9A3">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1110" w:type="pct"/>
                  <w:vAlign w:val="center"/>
                </w:tcPr>
                <w:p w14:paraId="659C5C95">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30.48</w:t>
                  </w:r>
                </w:p>
              </w:tc>
              <w:tc>
                <w:tcPr>
                  <w:tcW w:w="823" w:type="pct"/>
                  <w:vAlign w:val="center"/>
                </w:tcPr>
                <w:p w14:paraId="5AA37808">
                  <w:pPr>
                    <w:spacing w:line="240" w:lineRule="auto"/>
                    <w:ind w:left="0" w:leftChars="0" w:firstLine="0" w:firstLineChars="0"/>
                    <w:jc w:val="center"/>
                    <w:rPr>
                      <w:rFonts w:cs="Times New Roman"/>
                      <w:spacing w:val="-3"/>
                      <w:sz w:val="21"/>
                      <w:szCs w:val="21"/>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907" w:type="pct"/>
                  <w:vAlign w:val="center"/>
                </w:tcPr>
                <w:p w14:paraId="4C40A186">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15AE3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pct"/>
                  <w:vAlign w:val="center"/>
                </w:tcPr>
                <w:p w14:paraId="3D7FEF3D">
                  <w:pPr>
                    <w:spacing w:line="240" w:lineRule="auto"/>
                    <w:ind w:firstLine="0" w:firstLineChars="0"/>
                    <w:jc w:val="center"/>
                    <w:rPr>
                      <w:rFonts w:cs="Times New Roman"/>
                      <w:spacing w:val="-3"/>
                      <w:sz w:val="21"/>
                      <w:szCs w:val="21"/>
                    </w:rPr>
                  </w:pPr>
                  <w:r>
                    <w:rPr>
                      <w:rFonts w:cs="Times New Roman"/>
                      <w:spacing w:val="-3"/>
                      <w:sz w:val="21"/>
                      <w:szCs w:val="21"/>
                    </w:rPr>
                    <w:t>西侧厂界外1m</w:t>
                  </w:r>
                </w:p>
              </w:tc>
              <w:tc>
                <w:tcPr>
                  <w:tcW w:w="706" w:type="pct"/>
                  <w:vAlign w:val="center"/>
                </w:tcPr>
                <w:p w14:paraId="7009D57E">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1110" w:type="pct"/>
                  <w:vAlign w:val="center"/>
                </w:tcPr>
                <w:p w14:paraId="445036EA">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26.68</w:t>
                  </w:r>
                </w:p>
              </w:tc>
              <w:tc>
                <w:tcPr>
                  <w:tcW w:w="823" w:type="pct"/>
                  <w:vAlign w:val="center"/>
                </w:tcPr>
                <w:p w14:paraId="54577776">
                  <w:pPr>
                    <w:spacing w:line="240" w:lineRule="auto"/>
                    <w:ind w:left="0" w:leftChars="0" w:firstLine="0" w:firstLineChars="0"/>
                    <w:jc w:val="center"/>
                    <w:rPr>
                      <w:rFonts w:hint="default" w:cs="Times New Roman"/>
                      <w:spacing w:val="-3"/>
                      <w:sz w:val="21"/>
                      <w:szCs w:val="21"/>
                      <w:lang w:val="en-US"/>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907" w:type="pct"/>
                  <w:vAlign w:val="center"/>
                </w:tcPr>
                <w:p w14:paraId="3A8EDC82">
                  <w:pPr>
                    <w:spacing w:line="240" w:lineRule="auto"/>
                    <w:ind w:firstLine="0" w:firstLineChars="0"/>
                    <w:jc w:val="center"/>
                    <w:rPr>
                      <w:rFonts w:cs="Times New Roman"/>
                      <w:spacing w:val="-3"/>
                      <w:sz w:val="21"/>
                      <w:szCs w:val="21"/>
                    </w:rPr>
                  </w:pPr>
                  <w:r>
                    <w:rPr>
                      <w:rFonts w:cs="Times New Roman"/>
                      <w:spacing w:val="-3"/>
                      <w:sz w:val="21"/>
                      <w:szCs w:val="21"/>
                    </w:rPr>
                    <w:t>达标</w:t>
                  </w:r>
                </w:p>
              </w:tc>
            </w:tr>
          </w:tbl>
          <w:p w14:paraId="575D6ED5">
            <w:pPr>
              <w:pStyle w:val="7"/>
              <w:widowControl w:val="0"/>
              <w:wordWrap w:val="0"/>
              <w:ind w:firstLineChars="0"/>
              <w:jc w:val="center"/>
            </w:pPr>
            <w:r>
              <w:drawing>
                <wp:inline distT="0" distB="0" distL="114300" distR="114300">
                  <wp:extent cx="5354320" cy="3892550"/>
                  <wp:effectExtent l="0" t="0" r="17780" b="1270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3"/>
                          <a:stretch>
                            <a:fillRect/>
                          </a:stretch>
                        </pic:blipFill>
                        <pic:spPr>
                          <a:xfrm>
                            <a:off x="0" y="0"/>
                            <a:ext cx="5354320" cy="3892550"/>
                          </a:xfrm>
                          <a:prstGeom prst="rect">
                            <a:avLst/>
                          </a:prstGeom>
                          <a:noFill/>
                          <a:ln>
                            <a:noFill/>
                          </a:ln>
                        </pic:spPr>
                      </pic:pic>
                    </a:graphicData>
                  </a:graphic>
                </wp:inline>
              </w:drawing>
            </w:r>
          </w:p>
          <w:p w14:paraId="64B123F2">
            <w:pPr>
              <w:pStyle w:val="7"/>
              <w:widowControl w:val="0"/>
              <w:wordWrap w:val="0"/>
              <w:ind w:firstLineChars="0"/>
              <w:jc w:val="center"/>
              <w:rPr>
                <w:lang w:val="en-US" w:eastAsia="zh-CN"/>
              </w:rPr>
            </w:pPr>
            <w:r>
              <w:rPr>
                <w:rFonts w:hint="eastAsia"/>
                <w:lang w:val="en-US" w:eastAsia="zh-CN"/>
              </w:rPr>
              <w:t>图2-7   噪声预测贡献值等声级线图</w:t>
            </w:r>
          </w:p>
          <w:p w14:paraId="1E6F8439">
            <w:pPr>
              <w:ind w:firstLine="480"/>
              <w:rPr>
                <w:rFonts w:cs="Times New Roman"/>
                <w:kern w:val="0"/>
                <w:szCs w:val="24"/>
              </w:rPr>
            </w:pPr>
            <w:r>
              <w:rPr>
                <w:rFonts w:cs="Times New Roman"/>
                <w:kern w:val="0"/>
                <w:szCs w:val="24"/>
              </w:rPr>
              <w:t>根据噪声预测结果，</w:t>
            </w:r>
            <w:r>
              <w:rPr>
                <w:rFonts w:hint="eastAsia" w:cs="Times New Roman"/>
                <w:kern w:val="0"/>
                <w:szCs w:val="24"/>
                <w:lang w:val="en-US" w:eastAsia="zh-CN"/>
              </w:rPr>
              <w:t>现有工程</w:t>
            </w:r>
            <w:r>
              <w:rPr>
                <w:rFonts w:cs="Times New Roman"/>
                <w:kern w:val="0"/>
                <w:szCs w:val="24"/>
              </w:rPr>
              <w:t>厂界噪声贡献值</w:t>
            </w:r>
            <w:r>
              <w:rPr>
                <w:rFonts w:hint="eastAsia" w:cs="Times New Roman"/>
                <w:kern w:val="0"/>
                <w:szCs w:val="24"/>
                <w:lang w:val="en-US" w:eastAsia="zh-CN"/>
              </w:rPr>
              <w:t>满足</w:t>
            </w:r>
            <w:r>
              <w:rPr>
                <w:color w:val="auto"/>
              </w:rPr>
              <w:t>《工业企业厂界环境噪声排放标准》（GB12348-2008）3类</w:t>
            </w:r>
            <w:r>
              <w:rPr>
                <w:rFonts w:hint="eastAsia"/>
                <w:color w:val="auto"/>
                <w:lang w:val="en-US" w:eastAsia="zh-CN"/>
              </w:rPr>
              <w:t>标准</w:t>
            </w:r>
            <w:r>
              <w:rPr>
                <w:color w:val="auto"/>
              </w:rPr>
              <w:t>限值</w:t>
            </w:r>
            <w:r>
              <w:rPr>
                <w:rFonts w:cs="Times New Roman"/>
                <w:kern w:val="0"/>
                <w:szCs w:val="24"/>
              </w:rPr>
              <w:t>。</w:t>
            </w:r>
          </w:p>
          <w:p w14:paraId="6E3D4DDF">
            <w:pPr>
              <w:pStyle w:val="38"/>
              <w:ind w:firstLine="480"/>
              <w:rPr>
                <w:rFonts w:hint="eastAsia"/>
                <w:lang w:val="en-US" w:eastAsia="zh-CN"/>
              </w:rPr>
            </w:pPr>
            <w:r>
              <w:rPr>
                <w:rFonts w:hint="eastAsia"/>
                <w:lang w:val="en-US" w:eastAsia="zh-CN"/>
              </w:rPr>
              <w:t>3、固体废物</w:t>
            </w:r>
          </w:p>
          <w:p w14:paraId="1E19EC36">
            <w:pPr>
              <w:pStyle w:val="38"/>
              <w:ind w:firstLine="480"/>
              <w:rPr>
                <w:rFonts w:hint="eastAsia"/>
                <w:lang w:val="en-US" w:eastAsia="zh-CN"/>
              </w:rPr>
            </w:pPr>
            <w:r>
              <w:rPr>
                <w:rFonts w:hint="eastAsia"/>
                <w:lang w:val="en-US" w:eastAsia="zh-CN"/>
              </w:rPr>
              <w:t>现有工程产生的固体废物产生情况如下。</w:t>
            </w:r>
          </w:p>
          <w:p w14:paraId="25359037">
            <w:pPr>
              <w:pStyle w:val="7"/>
              <w:bidi w:val="0"/>
            </w:pPr>
            <w:r>
              <w:rPr>
                <w:rFonts w:hint="eastAsia"/>
              </w:rPr>
              <w:t>表</w:t>
            </w:r>
            <w:r>
              <w:rPr>
                <w:rFonts w:hint="eastAsia"/>
                <w:lang w:val="en-US" w:eastAsia="zh-CN"/>
              </w:rPr>
              <w:t>2-14</w:t>
            </w:r>
            <w:r>
              <w:rPr>
                <w:rFonts w:hint="eastAsia"/>
              </w:rPr>
              <w:t xml:space="preserve">  固体废物产生</w:t>
            </w:r>
            <w:r>
              <w:rPr>
                <w:rFonts w:hint="eastAsia"/>
                <w:lang w:val="en-US" w:eastAsia="zh-CN"/>
              </w:rPr>
              <w:t>情况</w:t>
            </w:r>
            <w:r>
              <w:rPr>
                <w:rFonts w:hint="eastAsia"/>
              </w:rPr>
              <w:t>一览表</w:t>
            </w:r>
          </w:p>
          <w:tbl>
            <w:tblPr>
              <w:tblStyle w:val="30"/>
              <w:tblW w:w="87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442"/>
              <w:gridCol w:w="914"/>
              <w:gridCol w:w="912"/>
              <w:gridCol w:w="1012"/>
              <w:gridCol w:w="1076"/>
              <w:gridCol w:w="1049"/>
              <w:gridCol w:w="775"/>
              <w:gridCol w:w="1000"/>
              <w:gridCol w:w="1614"/>
            </w:tblGrid>
            <w:tr w14:paraId="45E5C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741" w:hRule="atLeast"/>
              </w:trPr>
              <w:tc>
                <w:tcPr>
                  <w:tcW w:w="251" w:type="pct"/>
                  <w:tcBorders>
                    <w:tl2br w:val="nil"/>
                    <w:tr2bl w:val="nil"/>
                  </w:tcBorders>
                  <w:vAlign w:val="center"/>
                </w:tcPr>
                <w:p w14:paraId="0AAF563F">
                  <w:pPr>
                    <w:pStyle w:val="5"/>
                    <w:bidi w:val="0"/>
                    <w:rPr>
                      <w:b/>
                      <w:bCs/>
                      <w:lang w:val="en-US" w:eastAsia="zh-CN"/>
                    </w:rPr>
                  </w:pPr>
                  <w:r>
                    <w:rPr>
                      <w:rFonts w:hint="eastAsia"/>
                      <w:b/>
                      <w:bCs/>
                      <w:lang w:val="en-US" w:eastAsia="zh-CN"/>
                    </w:rPr>
                    <w:t>序号</w:t>
                  </w:r>
                </w:p>
              </w:tc>
              <w:tc>
                <w:tcPr>
                  <w:tcW w:w="519" w:type="pct"/>
                  <w:tcBorders>
                    <w:tl2br w:val="nil"/>
                    <w:tr2bl w:val="nil"/>
                  </w:tcBorders>
                  <w:vAlign w:val="center"/>
                </w:tcPr>
                <w:p w14:paraId="5E7261F8">
                  <w:pPr>
                    <w:pStyle w:val="5"/>
                    <w:bidi w:val="0"/>
                    <w:rPr>
                      <w:b/>
                      <w:bCs/>
                      <w:lang w:val="en-US" w:eastAsia="zh-CN"/>
                    </w:rPr>
                  </w:pPr>
                  <w:r>
                    <w:rPr>
                      <w:rFonts w:hint="eastAsia"/>
                      <w:b/>
                      <w:bCs/>
                      <w:lang w:val="en-US" w:eastAsia="zh-CN"/>
                    </w:rPr>
                    <w:t>危险废物名称</w:t>
                  </w:r>
                </w:p>
              </w:tc>
              <w:tc>
                <w:tcPr>
                  <w:tcW w:w="518" w:type="pct"/>
                  <w:tcBorders>
                    <w:tl2br w:val="nil"/>
                    <w:tr2bl w:val="nil"/>
                  </w:tcBorders>
                  <w:vAlign w:val="center"/>
                </w:tcPr>
                <w:p w14:paraId="3F13A81C">
                  <w:pPr>
                    <w:pStyle w:val="5"/>
                    <w:bidi w:val="0"/>
                    <w:rPr>
                      <w:b/>
                      <w:bCs/>
                      <w:lang w:val="en-US" w:eastAsia="zh-CN"/>
                    </w:rPr>
                  </w:pPr>
                  <w:r>
                    <w:rPr>
                      <w:rFonts w:hint="eastAsia"/>
                      <w:b/>
                      <w:bCs/>
                      <w:lang w:val="en-US" w:eastAsia="zh-CN"/>
                    </w:rPr>
                    <w:t>危险废物类别</w:t>
                  </w:r>
                </w:p>
              </w:tc>
              <w:tc>
                <w:tcPr>
                  <w:tcW w:w="575" w:type="pct"/>
                  <w:tcBorders>
                    <w:tl2br w:val="nil"/>
                    <w:tr2bl w:val="nil"/>
                  </w:tcBorders>
                  <w:vAlign w:val="center"/>
                </w:tcPr>
                <w:p w14:paraId="74581745">
                  <w:pPr>
                    <w:pStyle w:val="5"/>
                    <w:bidi w:val="0"/>
                    <w:rPr>
                      <w:b/>
                      <w:bCs/>
                      <w:lang w:val="en-US" w:eastAsia="zh-CN"/>
                    </w:rPr>
                  </w:pPr>
                  <w:r>
                    <w:rPr>
                      <w:rFonts w:hint="eastAsia"/>
                      <w:b/>
                      <w:bCs/>
                      <w:lang w:val="en-US" w:eastAsia="zh-CN"/>
                    </w:rPr>
                    <w:t>危险废物代码</w:t>
                  </w:r>
                  <w:r>
                    <w:rPr>
                      <w:rFonts w:hint="eastAsia"/>
                      <w:b/>
                      <w:bCs/>
                    </w:rPr>
                    <w:t>编码</w:t>
                  </w:r>
                </w:p>
              </w:tc>
              <w:tc>
                <w:tcPr>
                  <w:tcW w:w="611" w:type="pct"/>
                  <w:tcBorders>
                    <w:tl2br w:val="nil"/>
                    <w:tr2bl w:val="nil"/>
                  </w:tcBorders>
                  <w:vAlign w:val="center"/>
                </w:tcPr>
                <w:p w14:paraId="7F3B203A">
                  <w:pPr>
                    <w:pStyle w:val="5"/>
                    <w:bidi w:val="0"/>
                    <w:rPr>
                      <w:rFonts w:hint="eastAsia"/>
                      <w:b/>
                      <w:bCs/>
                      <w:lang w:val="en-US" w:eastAsia="zh-CN"/>
                    </w:rPr>
                  </w:pPr>
                  <w:r>
                    <w:rPr>
                      <w:rFonts w:hint="eastAsia"/>
                      <w:b/>
                      <w:bCs/>
                      <w:lang w:val="en-US" w:eastAsia="zh-CN"/>
                    </w:rPr>
                    <w:t>产生量</w:t>
                  </w:r>
                </w:p>
                <w:p w14:paraId="0C2DE90A">
                  <w:pPr>
                    <w:pStyle w:val="5"/>
                    <w:bidi w:val="0"/>
                    <w:rPr>
                      <w:rFonts w:hint="eastAsia"/>
                      <w:b/>
                      <w:bCs/>
                      <w:lang w:val="en-US" w:eastAsia="zh-CN"/>
                    </w:rPr>
                  </w:pPr>
                  <w:r>
                    <w:rPr>
                      <w:rFonts w:hint="eastAsia"/>
                      <w:b/>
                      <w:bCs/>
                      <w:lang w:val="en-US" w:eastAsia="zh-CN"/>
                    </w:rPr>
                    <w:t>（t/a）</w:t>
                  </w:r>
                </w:p>
              </w:tc>
              <w:tc>
                <w:tcPr>
                  <w:tcW w:w="596" w:type="pct"/>
                  <w:tcBorders>
                    <w:tl2br w:val="nil"/>
                    <w:tr2bl w:val="nil"/>
                  </w:tcBorders>
                  <w:vAlign w:val="center"/>
                </w:tcPr>
                <w:p w14:paraId="61B258D1">
                  <w:pPr>
                    <w:pStyle w:val="5"/>
                    <w:bidi w:val="0"/>
                    <w:rPr>
                      <w:b/>
                      <w:bCs/>
                      <w:lang w:val="en-US" w:eastAsia="zh-CN"/>
                    </w:rPr>
                  </w:pPr>
                  <w:r>
                    <w:rPr>
                      <w:rFonts w:hint="eastAsia"/>
                      <w:b/>
                      <w:bCs/>
                      <w:lang w:val="en-US" w:eastAsia="zh-CN"/>
                    </w:rPr>
                    <w:t>产生工序及装置</w:t>
                  </w:r>
                </w:p>
              </w:tc>
              <w:tc>
                <w:tcPr>
                  <w:tcW w:w="440" w:type="pct"/>
                  <w:tcBorders>
                    <w:tl2br w:val="nil"/>
                    <w:tr2bl w:val="nil"/>
                  </w:tcBorders>
                  <w:vAlign w:val="center"/>
                </w:tcPr>
                <w:p w14:paraId="2E7379ED">
                  <w:pPr>
                    <w:pStyle w:val="5"/>
                    <w:bidi w:val="0"/>
                    <w:rPr>
                      <w:b/>
                      <w:bCs/>
                      <w:lang w:val="en-US" w:eastAsia="zh-CN"/>
                    </w:rPr>
                  </w:pPr>
                  <w:r>
                    <w:rPr>
                      <w:rFonts w:hint="eastAsia"/>
                      <w:b/>
                      <w:bCs/>
                      <w:lang w:val="en-US" w:eastAsia="zh-CN"/>
                    </w:rPr>
                    <w:t>形态</w:t>
                  </w:r>
                </w:p>
              </w:tc>
              <w:tc>
                <w:tcPr>
                  <w:tcW w:w="568" w:type="pct"/>
                  <w:tcBorders>
                    <w:tl2br w:val="nil"/>
                    <w:tr2bl w:val="nil"/>
                  </w:tcBorders>
                  <w:vAlign w:val="center"/>
                </w:tcPr>
                <w:p w14:paraId="35CACC36">
                  <w:pPr>
                    <w:pStyle w:val="5"/>
                    <w:bidi w:val="0"/>
                    <w:rPr>
                      <w:b/>
                      <w:bCs/>
                      <w:lang w:val="en-US" w:eastAsia="zh-CN"/>
                    </w:rPr>
                  </w:pPr>
                  <w:r>
                    <w:rPr>
                      <w:rFonts w:hint="eastAsia"/>
                      <w:b/>
                      <w:bCs/>
                      <w:lang w:val="en-US" w:eastAsia="zh-CN"/>
                    </w:rPr>
                    <w:t>有害成分</w:t>
                  </w:r>
                </w:p>
              </w:tc>
              <w:tc>
                <w:tcPr>
                  <w:tcW w:w="917" w:type="pct"/>
                  <w:tcBorders>
                    <w:tl2br w:val="nil"/>
                    <w:tr2bl w:val="nil"/>
                  </w:tcBorders>
                  <w:vAlign w:val="center"/>
                </w:tcPr>
                <w:p w14:paraId="31B2EA9A">
                  <w:pPr>
                    <w:pStyle w:val="5"/>
                    <w:bidi w:val="0"/>
                    <w:rPr>
                      <w:b/>
                      <w:bCs/>
                      <w:lang w:val="en-US" w:eastAsia="zh-CN"/>
                    </w:rPr>
                  </w:pPr>
                  <w:r>
                    <w:rPr>
                      <w:rFonts w:hint="eastAsia"/>
                      <w:b/>
                      <w:bCs/>
                      <w:lang w:val="en-US" w:eastAsia="zh-CN"/>
                    </w:rPr>
                    <w:t>污染防治措施</w:t>
                  </w:r>
                </w:p>
              </w:tc>
            </w:tr>
            <w:tr w14:paraId="6495A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828" w:hRule="atLeast"/>
              </w:trPr>
              <w:tc>
                <w:tcPr>
                  <w:tcW w:w="251" w:type="pct"/>
                  <w:tcBorders>
                    <w:tl2br w:val="nil"/>
                    <w:tr2bl w:val="nil"/>
                  </w:tcBorders>
                  <w:vAlign w:val="center"/>
                </w:tcPr>
                <w:p w14:paraId="7DDFF1AC">
                  <w:pPr>
                    <w:pStyle w:val="5"/>
                    <w:bidi w:val="0"/>
                    <w:rPr>
                      <w:lang w:val="en-US" w:eastAsia="zh-CN"/>
                    </w:rPr>
                  </w:pPr>
                  <w:r>
                    <w:rPr>
                      <w:rFonts w:hint="eastAsia"/>
                      <w:lang w:val="en-US" w:eastAsia="zh-CN"/>
                    </w:rPr>
                    <w:t>1</w:t>
                  </w:r>
                </w:p>
              </w:tc>
              <w:tc>
                <w:tcPr>
                  <w:tcW w:w="519" w:type="pct"/>
                  <w:tcBorders>
                    <w:tl2br w:val="nil"/>
                    <w:tr2bl w:val="nil"/>
                  </w:tcBorders>
                  <w:vAlign w:val="center"/>
                </w:tcPr>
                <w:p w14:paraId="7A9CE54B">
                  <w:pPr>
                    <w:pStyle w:val="5"/>
                    <w:bidi w:val="0"/>
                    <w:rPr>
                      <w:lang w:val="en-US" w:eastAsia="zh-CN"/>
                    </w:rPr>
                  </w:pPr>
                  <w:r>
                    <w:rPr>
                      <w:rFonts w:hint="eastAsia"/>
                      <w:lang w:val="en-US" w:eastAsia="zh-CN"/>
                    </w:rPr>
                    <w:t>废边角料</w:t>
                  </w:r>
                </w:p>
              </w:tc>
              <w:tc>
                <w:tcPr>
                  <w:tcW w:w="518" w:type="pct"/>
                  <w:vMerge w:val="restart"/>
                  <w:tcBorders>
                    <w:tl2br w:val="nil"/>
                    <w:tr2bl w:val="nil"/>
                  </w:tcBorders>
                  <w:shd w:val="clear" w:color="auto" w:fill="auto"/>
                  <w:vAlign w:val="center"/>
                </w:tcPr>
                <w:p w14:paraId="480F78FF">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一般固废</w:t>
                  </w:r>
                </w:p>
              </w:tc>
              <w:tc>
                <w:tcPr>
                  <w:tcW w:w="575" w:type="pct"/>
                  <w:tcBorders>
                    <w:tl2br w:val="nil"/>
                    <w:tr2bl w:val="nil"/>
                  </w:tcBorders>
                  <w:vAlign w:val="center"/>
                </w:tcPr>
                <w:p w14:paraId="644E7429">
                  <w:pPr>
                    <w:pStyle w:val="5"/>
                    <w:bidi w:val="0"/>
                    <w:rPr>
                      <w:lang w:val="en-US" w:eastAsia="zh-CN"/>
                    </w:rPr>
                  </w:pPr>
                  <w:r>
                    <w:rPr>
                      <w:rFonts w:hint="eastAsia"/>
                    </w:rPr>
                    <w:t>SW</w:t>
                  </w:r>
                  <w:r>
                    <w:rPr>
                      <w:rFonts w:hint="eastAsia"/>
                      <w:lang w:val="en-US" w:eastAsia="zh-CN"/>
                    </w:rPr>
                    <w:t>64</w:t>
                  </w:r>
                  <w:r>
                    <w:rPr>
                      <w:rFonts w:hint="eastAsia"/>
                    </w:rPr>
                    <w:t xml:space="preserve">  </w:t>
                  </w:r>
                  <w:r>
                    <w:rPr>
                      <w:rFonts w:hint="eastAsia"/>
                      <w:lang w:val="en-US" w:eastAsia="zh-CN"/>
                    </w:rPr>
                    <w:t>900-001-S64</w:t>
                  </w:r>
                </w:p>
              </w:tc>
              <w:tc>
                <w:tcPr>
                  <w:tcW w:w="611" w:type="pct"/>
                  <w:tcBorders>
                    <w:tl2br w:val="nil"/>
                    <w:tr2bl w:val="nil"/>
                  </w:tcBorders>
                  <w:shd w:val="clear" w:color="auto" w:fill="auto"/>
                  <w:vAlign w:val="center"/>
                </w:tcPr>
                <w:p w14:paraId="56FFEE39">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0.56</w:t>
                  </w:r>
                </w:p>
              </w:tc>
              <w:tc>
                <w:tcPr>
                  <w:tcW w:w="596" w:type="pct"/>
                  <w:tcBorders>
                    <w:tl2br w:val="nil"/>
                    <w:tr2bl w:val="nil"/>
                  </w:tcBorders>
                  <w:shd w:val="clear" w:color="auto" w:fill="auto"/>
                  <w:vAlign w:val="center"/>
                </w:tcPr>
                <w:p w14:paraId="3D17340A">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分条、裁切</w:t>
                  </w:r>
                </w:p>
              </w:tc>
              <w:tc>
                <w:tcPr>
                  <w:tcW w:w="440" w:type="pct"/>
                  <w:tcBorders>
                    <w:tl2br w:val="nil"/>
                    <w:tr2bl w:val="nil"/>
                  </w:tcBorders>
                  <w:vAlign w:val="center"/>
                </w:tcPr>
                <w:p w14:paraId="5355BBBF">
                  <w:pPr>
                    <w:pStyle w:val="5"/>
                    <w:bidi w:val="0"/>
                    <w:rPr>
                      <w:lang w:val="en-US" w:eastAsia="zh-CN"/>
                    </w:rPr>
                  </w:pPr>
                  <w:r>
                    <w:rPr>
                      <w:rFonts w:hint="eastAsia"/>
                      <w:lang w:val="en-US" w:eastAsia="zh-CN"/>
                    </w:rPr>
                    <w:t>固态</w:t>
                  </w:r>
                </w:p>
              </w:tc>
              <w:tc>
                <w:tcPr>
                  <w:tcW w:w="568" w:type="pct"/>
                  <w:tcBorders>
                    <w:tl2br w:val="nil"/>
                    <w:tr2bl w:val="nil"/>
                  </w:tcBorders>
                  <w:shd w:val="clear" w:color="auto" w:fill="auto"/>
                  <w:vAlign w:val="center"/>
                </w:tcPr>
                <w:p w14:paraId="0E142BA6">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w:t>
                  </w:r>
                </w:p>
              </w:tc>
              <w:tc>
                <w:tcPr>
                  <w:tcW w:w="917" w:type="pct"/>
                  <w:vMerge w:val="restart"/>
                  <w:tcBorders>
                    <w:tl2br w:val="nil"/>
                    <w:tr2bl w:val="nil"/>
                  </w:tcBorders>
                  <w:vAlign w:val="center"/>
                </w:tcPr>
                <w:p w14:paraId="266494B0">
                  <w:pPr>
                    <w:pStyle w:val="5"/>
                    <w:bidi w:val="0"/>
                    <w:jc w:val="both"/>
                    <w:rPr>
                      <w:lang w:val="en-US" w:eastAsia="zh-CN"/>
                    </w:rPr>
                  </w:pPr>
                  <w:r>
                    <w:rPr>
                      <w:rFonts w:hint="eastAsia"/>
                      <w:lang w:val="en-US" w:eastAsia="zh-CN"/>
                    </w:rPr>
                    <w:t>收集后暂存于一般固废暂存点，定期外售处置。</w:t>
                  </w:r>
                </w:p>
              </w:tc>
            </w:tr>
            <w:tr w14:paraId="0163C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292" w:hRule="atLeast"/>
              </w:trPr>
              <w:tc>
                <w:tcPr>
                  <w:tcW w:w="251" w:type="pct"/>
                  <w:tcBorders>
                    <w:tl2br w:val="nil"/>
                    <w:tr2bl w:val="nil"/>
                  </w:tcBorders>
                  <w:vAlign w:val="center"/>
                </w:tcPr>
                <w:p w14:paraId="0C64497C">
                  <w:pPr>
                    <w:pStyle w:val="5"/>
                    <w:bidi w:val="0"/>
                    <w:rPr>
                      <w:lang w:val="en-US" w:eastAsia="zh-CN"/>
                    </w:rPr>
                  </w:pPr>
                  <w:r>
                    <w:rPr>
                      <w:rFonts w:hint="eastAsia"/>
                      <w:lang w:val="en-US" w:eastAsia="zh-CN"/>
                    </w:rPr>
                    <w:t>2</w:t>
                  </w:r>
                </w:p>
              </w:tc>
              <w:tc>
                <w:tcPr>
                  <w:tcW w:w="519" w:type="pct"/>
                  <w:tcBorders>
                    <w:tl2br w:val="nil"/>
                    <w:tr2bl w:val="nil"/>
                  </w:tcBorders>
                  <w:vAlign w:val="center"/>
                </w:tcPr>
                <w:p w14:paraId="319DF6EC">
                  <w:pPr>
                    <w:pStyle w:val="5"/>
                    <w:bidi w:val="0"/>
                    <w:rPr>
                      <w:lang w:val="en-US" w:eastAsia="zh-CN"/>
                    </w:rPr>
                  </w:pPr>
                  <w:r>
                    <w:t>废</w:t>
                  </w:r>
                  <w:r>
                    <w:rPr>
                      <w:rFonts w:hint="eastAsia"/>
                      <w:lang w:val="en-US" w:eastAsia="zh-CN"/>
                    </w:rPr>
                    <w:t>包装袋</w:t>
                  </w:r>
                </w:p>
              </w:tc>
              <w:tc>
                <w:tcPr>
                  <w:tcW w:w="518" w:type="pct"/>
                  <w:vMerge w:val="continue"/>
                  <w:tcBorders>
                    <w:tl2br w:val="nil"/>
                    <w:tr2bl w:val="nil"/>
                  </w:tcBorders>
                  <w:shd w:val="clear" w:color="auto" w:fill="auto"/>
                  <w:vAlign w:val="center"/>
                </w:tcPr>
                <w:p w14:paraId="720D048E">
                  <w:pPr>
                    <w:pStyle w:val="5"/>
                    <w:bidi w:val="0"/>
                    <w:ind w:firstLine="0" w:firstLineChars="0"/>
                    <w:rPr>
                      <w:rFonts w:hint="default" w:ascii="Times New Roman" w:hAnsi="Times New Roman" w:eastAsia="宋体" w:cs="Times New Roman"/>
                      <w:kern w:val="2"/>
                      <w:sz w:val="21"/>
                      <w:lang w:val="en-US" w:eastAsia="zh-CN" w:bidi="ar-SA"/>
                    </w:rPr>
                  </w:pPr>
                </w:p>
              </w:tc>
              <w:tc>
                <w:tcPr>
                  <w:tcW w:w="575" w:type="pct"/>
                  <w:tcBorders>
                    <w:tl2br w:val="nil"/>
                    <w:tr2bl w:val="nil"/>
                  </w:tcBorders>
                  <w:vAlign w:val="center"/>
                </w:tcPr>
                <w:p w14:paraId="382348B1">
                  <w:pPr>
                    <w:pStyle w:val="5"/>
                    <w:bidi w:val="0"/>
                    <w:rPr>
                      <w:lang w:val="en-US" w:eastAsia="zh-CN"/>
                    </w:rPr>
                  </w:pPr>
                  <w:r>
                    <w:rPr>
                      <w:rFonts w:hint="eastAsia"/>
                    </w:rPr>
                    <w:t>SW</w:t>
                  </w:r>
                  <w:r>
                    <w:rPr>
                      <w:rFonts w:hint="eastAsia"/>
                      <w:lang w:val="en-US" w:eastAsia="zh-CN"/>
                    </w:rPr>
                    <w:t>17</w:t>
                  </w:r>
                  <w:r>
                    <w:rPr>
                      <w:rFonts w:hint="eastAsia"/>
                    </w:rPr>
                    <w:t xml:space="preserve">  900-005-S17</w:t>
                  </w:r>
                  <w:r>
                    <w:rPr>
                      <w:rFonts w:hint="eastAsia"/>
                      <w:lang w:val="en-US" w:eastAsia="zh-CN"/>
                    </w:rPr>
                    <w:t>和</w:t>
                  </w:r>
                  <w:r>
                    <w:rPr>
                      <w:rFonts w:hint="eastAsia"/>
                    </w:rPr>
                    <w:t>900-003-S17</w:t>
                  </w:r>
                </w:p>
              </w:tc>
              <w:tc>
                <w:tcPr>
                  <w:tcW w:w="611" w:type="pct"/>
                  <w:tcBorders>
                    <w:tl2br w:val="nil"/>
                    <w:tr2bl w:val="nil"/>
                  </w:tcBorders>
                  <w:shd w:val="clear" w:color="auto" w:fill="auto"/>
                  <w:vAlign w:val="center"/>
                </w:tcPr>
                <w:p w14:paraId="63C2BCD2">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1.2</w:t>
                  </w:r>
                </w:p>
              </w:tc>
              <w:tc>
                <w:tcPr>
                  <w:tcW w:w="596" w:type="pct"/>
                  <w:tcBorders>
                    <w:tl2br w:val="nil"/>
                    <w:tr2bl w:val="nil"/>
                  </w:tcBorders>
                  <w:shd w:val="clear" w:color="auto" w:fill="auto"/>
                  <w:vAlign w:val="center"/>
                </w:tcPr>
                <w:p w14:paraId="48421013">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零件组装</w:t>
                  </w:r>
                </w:p>
              </w:tc>
              <w:tc>
                <w:tcPr>
                  <w:tcW w:w="440" w:type="pct"/>
                  <w:tcBorders>
                    <w:tl2br w:val="nil"/>
                    <w:tr2bl w:val="nil"/>
                  </w:tcBorders>
                  <w:vAlign w:val="center"/>
                </w:tcPr>
                <w:p w14:paraId="6EE6EBB9">
                  <w:pPr>
                    <w:pStyle w:val="5"/>
                    <w:bidi w:val="0"/>
                    <w:rPr>
                      <w:lang w:val="en-US" w:eastAsia="zh-CN"/>
                    </w:rPr>
                  </w:pPr>
                  <w:r>
                    <w:rPr>
                      <w:rFonts w:hint="eastAsia"/>
                      <w:lang w:val="en-US" w:eastAsia="zh-CN"/>
                    </w:rPr>
                    <w:t>固态</w:t>
                  </w:r>
                </w:p>
              </w:tc>
              <w:tc>
                <w:tcPr>
                  <w:tcW w:w="568" w:type="pct"/>
                  <w:tcBorders>
                    <w:tl2br w:val="nil"/>
                    <w:tr2bl w:val="nil"/>
                  </w:tcBorders>
                  <w:shd w:val="clear" w:color="auto" w:fill="auto"/>
                  <w:vAlign w:val="center"/>
                </w:tcPr>
                <w:p w14:paraId="76274DE5">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w:t>
                  </w:r>
                </w:p>
              </w:tc>
              <w:tc>
                <w:tcPr>
                  <w:tcW w:w="917" w:type="pct"/>
                  <w:vMerge w:val="continue"/>
                  <w:tcBorders>
                    <w:tl2br w:val="nil"/>
                    <w:tr2bl w:val="nil"/>
                  </w:tcBorders>
                  <w:vAlign w:val="center"/>
                </w:tcPr>
                <w:p w14:paraId="055AF7B4">
                  <w:pPr>
                    <w:pStyle w:val="5"/>
                    <w:bidi w:val="0"/>
                    <w:jc w:val="both"/>
                    <w:rPr>
                      <w:lang w:val="en-US" w:eastAsia="zh-CN"/>
                    </w:rPr>
                  </w:pPr>
                </w:p>
              </w:tc>
            </w:tr>
            <w:tr w14:paraId="50CC4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746" w:hRule="atLeast"/>
              </w:trPr>
              <w:tc>
                <w:tcPr>
                  <w:tcW w:w="251" w:type="pct"/>
                  <w:tcBorders>
                    <w:tl2br w:val="nil"/>
                    <w:tr2bl w:val="nil"/>
                  </w:tcBorders>
                  <w:shd w:val="clear" w:color="auto" w:fill="auto"/>
                  <w:vAlign w:val="center"/>
                </w:tcPr>
                <w:p w14:paraId="6015AE6A">
                  <w:pPr>
                    <w:pStyle w:val="5"/>
                    <w:bidi w:val="0"/>
                    <w:rPr>
                      <w:rFonts w:hint="eastAsia"/>
                      <w:lang w:val="en-US" w:eastAsia="zh-CN"/>
                    </w:rPr>
                  </w:pPr>
                  <w:r>
                    <w:rPr>
                      <w:rFonts w:hint="eastAsia"/>
                      <w:lang w:val="en-US" w:eastAsia="zh-CN"/>
                    </w:rPr>
                    <w:t>3</w:t>
                  </w:r>
                </w:p>
              </w:tc>
              <w:tc>
                <w:tcPr>
                  <w:tcW w:w="519" w:type="pct"/>
                  <w:tcBorders>
                    <w:tl2br w:val="nil"/>
                    <w:tr2bl w:val="nil"/>
                  </w:tcBorders>
                  <w:shd w:val="clear" w:color="auto" w:fill="auto"/>
                  <w:vAlign w:val="center"/>
                </w:tcPr>
                <w:p w14:paraId="1BCF6F12">
                  <w:pPr>
                    <w:pStyle w:val="5"/>
                    <w:bidi w:val="0"/>
                    <w:rPr>
                      <w:lang w:val="en-US" w:eastAsia="zh-CN"/>
                    </w:rPr>
                  </w:pPr>
                  <w:r>
                    <w:t>生活垃圾</w:t>
                  </w:r>
                </w:p>
              </w:tc>
              <w:tc>
                <w:tcPr>
                  <w:tcW w:w="518" w:type="pct"/>
                  <w:vMerge w:val="continue"/>
                  <w:tcBorders>
                    <w:tl2br w:val="nil"/>
                    <w:tr2bl w:val="nil"/>
                  </w:tcBorders>
                  <w:shd w:val="clear" w:color="auto" w:fill="auto"/>
                  <w:vAlign w:val="center"/>
                </w:tcPr>
                <w:p w14:paraId="735D3D50">
                  <w:pPr>
                    <w:pStyle w:val="5"/>
                    <w:bidi w:val="0"/>
                    <w:ind w:firstLine="0" w:firstLineChars="0"/>
                    <w:rPr>
                      <w:rFonts w:hint="eastAsia" w:ascii="Times New Roman" w:hAnsi="Times New Roman" w:eastAsia="宋体" w:cs="Times New Roman"/>
                      <w:kern w:val="2"/>
                      <w:sz w:val="21"/>
                      <w:lang w:val="en-US" w:eastAsia="zh-CN" w:bidi="ar-SA"/>
                    </w:rPr>
                  </w:pPr>
                </w:p>
              </w:tc>
              <w:tc>
                <w:tcPr>
                  <w:tcW w:w="575" w:type="pct"/>
                  <w:tcBorders>
                    <w:tl2br w:val="nil"/>
                    <w:tr2bl w:val="nil"/>
                  </w:tcBorders>
                  <w:shd w:val="clear" w:color="auto" w:fill="auto"/>
                  <w:vAlign w:val="center"/>
                </w:tcPr>
                <w:p w14:paraId="6C8E20FF">
                  <w:pPr>
                    <w:pStyle w:val="5"/>
                    <w:bidi w:val="0"/>
                    <w:rPr>
                      <w:lang w:val="en-US" w:eastAsia="zh-CN"/>
                    </w:rPr>
                  </w:pPr>
                  <w:r>
                    <w:t>SW64  900-0</w:t>
                  </w:r>
                  <w:r>
                    <w:rPr>
                      <w:rFonts w:hint="eastAsia"/>
                      <w:lang w:val="en-US" w:eastAsia="zh-CN"/>
                    </w:rPr>
                    <w:t>02</w:t>
                  </w:r>
                  <w:r>
                    <w:t>-S6</w:t>
                  </w:r>
                  <w:r>
                    <w:rPr>
                      <w:rFonts w:hint="eastAsia"/>
                      <w:lang w:val="en-US" w:eastAsia="zh-CN"/>
                    </w:rPr>
                    <w:t>1</w:t>
                  </w:r>
                </w:p>
              </w:tc>
              <w:tc>
                <w:tcPr>
                  <w:tcW w:w="611" w:type="pct"/>
                  <w:tcBorders>
                    <w:tl2br w:val="nil"/>
                    <w:tr2bl w:val="nil"/>
                  </w:tcBorders>
                  <w:shd w:val="clear" w:color="auto" w:fill="auto"/>
                  <w:vAlign w:val="center"/>
                </w:tcPr>
                <w:p w14:paraId="5A0EDDCE">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15</w:t>
                  </w:r>
                </w:p>
              </w:tc>
              <w:tc>
                <w:tcPr>
                  <w:tcW w:w="596" w:type="pct"/>
                  <w:tcBorders>
                    <w:tl2br w:val="nil"/>
                    <w:tr2bl w:val="nil"/>
                  </w:tcBorders>
                  <w:shd w:val="clear" w:color="auto" w:fill="auto"/>
                  <w:vAlign w:val="center"/>
                </w:tcPr>
                <w:p w14:paraId="7AC373C3">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办公生活</w:t>
                  </w:r>
                </w:p>
              </w:tc>
              <w:tc>
                <w:tcPr>
                  <w:tcW w:w="440" w:type="pct"/>
                  <w:tcBorders>
                    <w:tl2br w:val="nil"/>
                    <w:tr2bl w:val="nil"/>
                  </w:tcBorders>
                  <w:shd w:val="clear" w:color="auto" w:fill="auto"/>
                  <w:vAlign w:val="center"/>
                </w:tcPr>
                <w:p w14:paraId="0B745256">
                  <w:pPr>
                    <w:pStyle w:val="5"/>
                    <w:bidi w:val="0"/>
                    <w:rPr>
                      <w:rFonts w:hint="eastAsia"/>
                      <w:lang w:val="en-US" w:eastAsia="zh-CN"/>
                    </w:rPr>
                  </w:pPr>
                  <w:r>
                    <w:rPr>
                      <w:rFonts w:hint="eastAsia"/>
                      <w:lang w:val="en-US" w:eastAsia="zh-CN"/>
                    </w:rPr>
                    <w:t>固态</w:t>
                  </w:r>
                </w:p>
              </w:tc>
              <w:tc>
                <w:tcPr>
                  <w:tcW w:w="568" w:type="pct"/>
                  <w:tcBorders>
                    <w:tl2br w:val="nil"/>
                    <w:tr2bl w:val="nil"/>
                  </w:tcBorders>
                  <w:shd w:val="clear" w:color="auto" w:fill="auto"/>
                  <w:vAlign w:val="center"/>
                </w:tcPr>
                <w:p w14:paraId="40633586">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917" w:type="pct"/>
                  <w:tcBorders>
                    <w:tl2br w:val="nil"/>
                    <w:tr2bl w:val="nil"/>
                  </w:tcBorders>
                  <w:shd w:val="clear" w:color="auto" w:fill="auto"/>
                  <w:vAlign w:val="center"/>
                </w:tcPr>
                <w:p w14:paraId="28DF67D6">
                  <w:pPr>
                    <w:pStyle w:val="5"/>
                    <w:bidi w:val="0"/>
                    <w:jc w:val="both"/>
                    <w:rPr>
                      <w:rFonts w:hint="eastAsia" w:eastAsia="宋体"/>
                      <w:lang w:val="en-US" w:eastAsia="zh-CN"/>
                    </w:rPr>
                  </w:pPr>
                  <w:r>
                    <w:t>统一收集后由环卫部门集中处理</w:t>
                  </w:r>
                  <w:r>
                    <w:rPr>
                      <w:rFonts w:hint="eastAsia"/>
                      <w:lang w:eastAsia="zh-CN"/>
                    </w:rPr>
                    <w:t>。</w:t>
                  </w:r>
                </w:p>
              </w:tc>
            </w:tr>
          </w:tbl>
          <w:p w14:paraId="32289BB0">
            <w:pPr>
              <w:widowControl/>
              <w:wordWrap/>
              <w:spacing w:line="480" w:lineRule="auto"/>
              <w:ind w:firstLine="482" w:firstLineChars="200"/>
              <w:jc w:val="both"/>
              <w:rPr>
                <w:rFonts w:hint="eastAsia" w:ascii="Times New Roman" w:hAnsi="Times New Roman" w:eastAsia="宋体" w:cs="Times New Roman"/>
                <w:b/>
                <w:bCs/>
                <w:color w:val="auto"/>
                <w:kern w:val="24"/>
                <w:sz w:val="24"/>
                <w:lang w:val="en-US" w:eastAsia="zh-CN" w:bidi="ar-SA"/>
              </w:rPr>
            </w:pPr>
            <w:r>
              <w:rPr>
                <w:rFonts w:hint="eastAsia" w:cs="Times New Roman"/>
                <w:b/>
                <w:bCs/>
                <w:color w:val="auto"/>
                <w:kern w:val="24"/>
                <w:sz w:val="24"/>
                <w:lang w:val="en-US" w:eastAsia="zh-CN" w:bidi="ar-SA"/>
              </w:rPr>
              <w:t>4</w:t>
            </w:r>
            <w:r>
              <w:rPr>
                <w:rFonts w:hint="eastAsia" w:ascii="Times New Roman" w:hAnsi="Times New Roman" w:eastAsia="宋体" w:cs="Times New Roman"/>
                <w:b/>
                <w:bCs/>
                <w:color w:val="auto"/>
                <w:kern w:val="24"/>
                <w:sz w:val="24"/>
                <w:lang w:val="en-US" w:eastAsia="zh-CN" w:bidi="ar-SA"/>
              </w:rPr>
              <w:t>、与该项目有关的主要环境问题及整改措施</w:t>
            </w:r>
          </w:p>
          <w:p w14:paraId="121B09F6">
            <w:pPr>
              <w:spacing w:line="480" w:lineRule="auto"/>
              <w:ind w:firstLine="480" w:firstLineChars="200"/>
              <w:jc w:val="both"/>
              <w:rPr>
                <w:rFonts w:hint="default"/>
                <w:lang w:val="en-US" w:eastAsia="zh-CN"/>
              </w:rPr>
            </w:pPr>
            <w:r>
              <w:rPr>
                <w:rFonts w:hint="eastAsia"/>
                <w:lang w:val="en-US" w:eastAsia="zh-CN"/>
              </w:rPr>
              <w:t>目前，现有工程生产设备已安装完毕，尚未开始调试生产，暂未申领排污许可证，正在编制突发环境事件应急预案。根据现场调查，现有工程施工过程中建筑和施工垃圾均已清理完毕，现场无遗留环境污染问题。</w:t>
            </w:r>
          </w:p>
          <w:p w14:paraId="36C102AE">
            <w:pPr>
              <w:spacing w:line="480" w:lineRule="auto"/>
              <w:ind w:firstLine="480" w:firstLineChars="200"/>
              <w:jc w:val="both"/>
              <w:rPr>
                <w:rFonts w:hint="eastAsia"/>
                <w:lang w:val="en-US" w:eastAsia="zh-CN"/>
              </w:rPr>
            </w:pPr>
            <w:r>
              <w:rPr>
                <w:rFonts w:hint="eastAsia"/>
                <w:lang w:val="en-US" w:eastAsia="zh-CN"/>
              </w:rPr>
              <w:t>根据建设单位建设进度安排，待本次技改项目建成后全厂同步投入生产，并确保在调试运行前取得排污许可证，完成突发环境事件应急预案编制和备案工作</w:t>
            </w:r>
            <w:r>
              <w:rPr>
                <w:rFonts w:ascii="Segoe UI" w:hAnsi="Segoe UI" w:eastAsia="Segoe UI" w:cs="Segoe UI"/>
                <w:i w:val="0"/>
                <w:iCs w:val="0"/>
                <w:caps w:val="0"/>
                <w:color w:val="0F1115"/>
                <w:spacing w:val="0"/>
                <w:sz w:val="24"/>
                <w:szCs w:val="24"/>
                <w:shd w:val="clear" w:fill="FFFFFF"/>
              </w:rPr>
              <w:t>。</w:t>
            </w:r>
          </w:p>
        </w:tc>
      </w:tr>
    </w:tbl>
    <w:p w14:paraId="6D342B54">
      <w:r>
        <w:br w:type="page"/>
      </w:r>
    </w:p>
    <w:p w14:paraId="15F6BECA">
      <w:pPr>
        <w:pStyle w:val="3"/>
        <w:jc w:val="center"/>
        <w:rPr>
          <w:color w:val="auto"/>
        </w:rPr>
      </w:pPr>
      <w:bookmarkStart w:id="20" w:name="_Toc27289"/>
      <w:bookmarkStart w:id="21" w:name="_Toc3431"/>
      <w:bookmarkStart w:id="22" w:name="_Toc23707"/>
      <w:bookmarkStart w:id="23" w:name="_Toc27521"/>
      <w:bookmarkStart w:id="24" w:name="_Toc1221"/>
      <w:bookmarkStart w:id="25" w:name="_Toc21294"/>
      <w:r>
        <w:rPr>
          <w:color w:val="auto"/>
        </w:rPr>
        <w:t>三、区域环境质量现状、环境保护目标及评价标准</w:t>
      </w:r>
      <w:bookmarkEnd w:id="20"/>
      <w:bookmarkEnd w:id="21"/>
      <w:bookmarkEnd w:id="22"/>
      <w:bookmarkEnd w:id="23"/>
      <w:bookmarkEnd w:id="24"/>
      <w:bookmarkEnd w:id="25"/>
    </w:p>
    <w:tbl>
      <w:tblPr>
        <w:tblStyle w:val="30"/>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071"/>
      </w:tblGrid>
      <w:tr w14:paraId="1DF1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5" w:type="dxa"/>
            <w:vAlign w:val="center"/>
          </w:tcPr>
          <w:p w14:paraId="36020F92">
            <w:pPr>
              <w:pStyle w:val="36"/>
              <w:keepNext w:val="0"/>
              <w:keepLines w:val="0"/>
              <w:pageBreakBefore w:val="0"/>
              <w:widowControl w:val="0"/>
              <w:kinsoku/>
              <w:overflowPunct/>
              <w:topLinePunct w:val="0"/>
              <w:autoSpaceDE/>
              <w:autoSpaceDN/>
              <w:bidi w:val="0"/>
              <w:adjustRightInd/>
              <w:snapToGrid/>
              <w:ind w:firstLine="0" w:firstLineChars="0"/>
              <w:textAlignment w:val="auto"/>
              <w:rPr>
                <w:color w:val="auto"/>
              </w:rPr>
            </w:pPr>
            <w:r>
              <w:rPr>
                <w:rFonts w:hint="eastAsia"/>
                <w:color w:val="auto"/>
              </w:rPr>
              <w:t>区域环境质量现状</w:t>
            </w:r>
          </w:p>
        </w:tc>
        <w:tc>
          <w:tcPr>
            <w:tcW w:w="9071" w:type="dxa"/>
          </w:tcPr>
          <w:p w14:paraId="69F1612D">
            <w:pPr>
              <w:pStyle w:val="38"/>
              <w:ind w:firstLine="482"/>
              <w:rPr>
                <w:b/>
                <w:bCs/>
                <w:color w:val="auto"/>
              </w:rPr>
            </w:pPr>
            <w:r>
              <w:rPr>
                <w:b/>
                <w:bCs/>
                <w:color w:val="auto"/>
              </w:rPr>
              <w:t>1</w:t>
            </w:r>
            <w:r>
              <w:rPr>
                <w:rFonts w:hint="eastAsia"/>
                <w:b/>
                <w:bCs/>
                <w:color w:val="auto"/>
              </w:rPr>
              <w:t>、大气环境</w:t>
            </w:r>
          </w:p>
          <w:p w14:paraId="1386C36B">
            <w:pPr>
              <w:pStyle w:val="38"/>
              <w:ind w:firstLine="480"/>
              <w:rPr>
                <w:color w:val="auto"/>
              </w:rPr>
            </w:pPr>
            <w:r>
              <w:rPr>
                <w:rFonts w:hint="eastAsia"/>
                <w:color w:val="auto"/>
              </w:rPr>
              <w:t>（</w:t>
            </w:r>
            <w:r>
              <w:rPr>
                <w:color w:val="auto"/>
              </w:rPr>
              <w:t>1</w:t>
            </w:r>
            <w:r>
              <w:rPr>
                <w:rFonts w:hint="eastAsia"/>
                <w:color w:val="auto"/>
              </w:rPr>
              <w:t>）区域环境质量达标判定</w:t>
            </w:r>
          </w:p>
          <w:p w14:paraId="16FA15E9">
            <w:pPr>
              <w:widowControl w:val="0"/>
              <w:spacing w:line="360" w:lineRule="auto"/>
              <w:ind w:firstLine="480" w:firstLineChars="200"/>
              <w:jc w:val="both"/>
              <w:rPr>
                <w:rFonts w:hint="default" w:ascii="Times New Roman" w:hAnsi="Times New Roman" w:cs="Times New Roman" w:eastAsiaTheme="minorEastAsia"/>
                <w:kern w:val="2"/>
                <w:sz w:val="24"/>
                <w:szCs w:val="21"/>
                <w:lang w:val="en-US" w:eastAsia="zh-CN" w:bidi="ar-SA"/>
              </w:rPr>
            </w:pPr>
            <w:r>
              <w:rPr>
                <w:rFonts w:ascii="Times New Roman" w:hAnsi="Times New Roman" w:cs="Times New Roman" w:eastAsiaTheme="minorEastAsia"/>
                <w:kern w:val="2"/>
                <w:sz w:val="24"/>
                <w:szCs w:val="21"/>
                <w:lang w:val="en-US" w:eastAsia="zh-CN" w:bidi="ar-SA"/>
              </w:rPr>
              <w:t>参照《环境影响评价技术导则</w:t>
            </w:r>
            <w:r>
              <w:rPr>
                <w:rFonts w:hint="eastAsia" w:ascii="Times New Roman" w:hAnsi="Times New Roman" w:cs="Times New Roman" w:eastAsiaTheme="minorEastAsia"/>
                <w:kern w:val="2"/>
                <w:sz w:val="24"/>
                <w:szCs w:val="21"/>
                <w:lang w:val="en-US" w:eastAsia="zh-CN" w:bidi="ar-SA"/>
              </w:rPr>
              <w:t xml:space="preserve"> </w:t>
            </w:r>
            <w:r>
              <w:rPr>
                <w:rFonts w:ascii="Times New Roman" w:hAnsi="Times New Roman" w:cs="Times New Roman" w:eastAsiaTheme="minorEastAsia"/>
                <w:kern w:val="2"/>
                <w:sz w:val="24"/>
                <w:szCs w:val="21"/>
                <w:lang w:val="en-US" w:eastAsia="zh-CN" w:bidi="ar-SA"/>
              </w:rPr>
              <w:t>大气环境》（HJ2.2-2018）</w:t>
            </w:r>
            <w:r>
              <w:rPr>
                <w:rFonts w:hint="eastAsia" w:ascii="Times New Roman" w:hAnsi="Times New Roman" w:cs="Times New Roman" w:eastAsiaTheme="minorEastAsia"/>
                <w:kern w:val="2"/>
                <w:sz w:val="24"/>
                <w:szCs w:val="21"/>
                <w:lang w:val="en-US" w:eastAsia="zh-CN" w:bidi="ar-SA"/>
              </w:rPr>
              <w:t>，</w:t>
            </w:r>
            <w:r>
              <w:rPr>
                <w:rFonts w:ascii="Times New Roman" w:hAnsi="Times New Roman" w:cs="Times New Roman" w:eastAsiaTheme="minorEastAsia"/>
                <w:kern w:val="2"/>
                <w:sz w:val="24"/>
                <w:szCs w:val="21"/>
                <w:lang w:val="en-US" w:eastAsia="zh-CN" w:bidi="ar-SA"/>
              </w:rPr>
              <w:t>项目所在区域达标判定，</w:t>
            </w:r>
            <w:r>
              <w:rPr>
                <w:rFonts w:hint="default" w:ascii="Times New Roman" w:hAnsi="Times New Roman" w:cs="Times New Roman" w:eastAsiaTheme="minorEastAsia"/>
                <w:kern w:val="2"/>
                <w:sz w:val="24"/>
                <w:szCs w:val="21"/>
                <w:lang w:val="en-US" w:eastAsia="zh-CN" w:bidi="ar-SA"/>
              </w:rPr>
              <w:t>优先采用国家或地方生态环境主管部门公开发布的评价基准年环境质量公告或环境质量报告中的数据或结论。采用评价范围内国家或地方环境空气质量监测网中评价基准年连续1年的监测数据，或采用生态环境主管部门公开发布的环境空气质量现状数据。</w:t>
            </w:r>
          </w:p>
          <w:p w14:paraId="5EB06D5A">
            <w:pPr>
              <w:wordWrap/>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本项目位于</w:t>
            </w:r>
            <w:r>
              <w:rPr>
                <w:rFonts w:hint="default" w:ascii="Times New Roman" w:hAnsi="Times New Roman" w:cs="Times New Roman" w:eastAsiaTheme="minorEastAsia"/>
                <w:sz w:val="24"/>
                <w:szCs w:val="24"/>
                <w:lang w:val="en-US" w:eastAsia="zh-CN"/>
              </w:rPr>
              <w:t>达州市通川区</w:t>
            </w:r>
            <w:r>
              <w:rPr>
                <w:rFonts w:hint="default" w:ascii="Times New Roman" w:hAnsi="Times New Roman" w:cs="Times New Roman" w:eastAsiaTheme="minorEastAsia"/>
                <w:sz w:val="24"/>
                <w:szCs w:val="24"/>
              </w:rPr>
              <w:t>，为了解区域环境空气质量现状，本次论证引用</w:t>
            </w:r>
            <w:r>
              <w:rPr>
                <w:rFonts w:hint="default" w:ascii="Times New Roman" w:hAnsi="Times New Roman" w:cs="Times New Roman" w:eastAsiaTheme="minorEastAsia"/>
                <w:sz w:val="24"/>
                <w:szCs w:val="24"/>
                <w:lang w:val="en-US" w:eastAsia="zh-CN"/>
              </w:rPr>
              <w:t>达州市</w:t>
            </w:r>
            <w:r>
              <w:rPr>
                <w:rFonts w:hint="default" w:ascii="Times New Roman" w:hAnsi="Times New Roman" w:cs="Times New Roman" w:eastAsiaTheme="minorEastAsia"/>
                <w:sz w:val="24"/>
                <w:szCs w:val="24"/>
              </w:rPr>
              <w:t>生态环境局发布的《达州市202</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年环境空气质量状况》中</w:t>
            </w:r>
            <w:r>
              <w:rPr>
                <w:rFonts w:hint="default" w:ascii="Times New Roman" w:hAnsi="Times New Roman" w:cs="Times New Roman" w:eastAsiaTheme="minorEastAsia"/>
                <w:sz w:val="24"/>
                <w:szCs w:val="24"/>
                <w:lang w:val="en-US" w:eastAsia="zh-CN"/>
              </w:rPr>
              <w:t>通川区</w:t>
            </w:r>
            <w:r>
              <w:rPr>
                <w:rFonts w:hint="default" w:ascii="Times New Roman" w:hAnsi="Times New Roman" w:cs="Times New Roman" w:eastAsiaTheme="minorEastAsia"/>
                <w:sz w:val="24"/>
                <w:szCs w:val="24"/>
              </w:rPr>
              <w:t>的环境空气质量报告数据，具体如下表</w:t>
            </w:r>
            <w:r>
              <w:rPr>
                <w:rFonts w:hint="default" w:ascii="Times New Roman" w:hAnsi="Times New Roman" w:cs="Times New Roman" w:eastAsiaTheme="minorEastAsia"/>
                <w:sz w:val="24"/>
                <w:szCs w:val="24"/>
                <w:lang w:val="en-US" w:eastAsia="zh-CN"/>
              </w:rPr>
              <w:t>3-1</w:t>
            </w:r>
            <w:r>
              <w:rPr>
                <w:rFonts w:hint="default" w:ascii="Times New Roman" w:hAnsi="Times New Roman" w:cs="Times New Roman" w:eastAsiaTheme="minorEastAsia"/>
                <w:sz w:val="24"/>
                <w:szCs w:val="24"/>
              </w:rPr>
              <w:t>所示。</w:t>
            </w:r>
          </w:p>
          <w:p w14:paraId="23CB50D0">
            <w:pPr>
              <w:pStyle w:val="7"/>
              <w:bidi w:val="0"/>
            </w:pPr>
            <w:r>
              <w:rPr>
                <w:rFonts w:hint="eastAsia"/>
              </w:rPr>
              <w:t>表</w:t>
            </w:r>
            <w:r>
              <w:rPr>
                <w:rFonts w:hint="eastAsia"/>
                <w:lang w:val="en-US" w:eastAsia="zh-CN"/>
              </w:rPr>
              <w:t xml:space="preserve">3-1 </w:t>
            </w:r>
            <w:r>
              <w:rPr>
                <w:rFonts w:hint="eastAsia"/>
              </w:rPr>
              <w:t xml:space="preserve"> </w:t>
            </w:r>
            <w:r>
              <w:rPr>
                <w:rFonts w:hint="eastAsia"/>
                <w:lang w:val="en-US" w:eastAsia="zh-CN"/>
              </w:rPr>
              <w:t>通川区</w:t>
            </w:r>
            <w:r>
              <w:rPr>
                <w:rFonts w:hint="eastAsia"/>
              </w:rPr>
              <w:t>空气质量现状评价表</w:t>
            </w:r>
          </w:p>
          <w:tbl>
            <w:tblPr>
              <w:tblStyle w:val="30"/>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723"/>
              <w:gridCol w:w="2621"/>
              <w:gridCol w:w="1087"/>
              <w:gridCol w:w="1087"/>
              <w:gridCol w:w="1089"/>
              <w:gridCol w:w="1298"/>
            </w:tblGrid>
            <w:tr w14:paraId="25F5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top w:val="single" w:color="auto" w:sz="12" w:space="0"/>
                    <w:left w:val="nil"/>
                  </w:tcBorders>
                  <w:vAlign w:val="center"/>
                </w:tcPr>
                <w:p w14:paraId="098049E2">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污染物</w:t>
                  </w:r>
                </w:p>
              </w:tc>
              <w:tc>
                <w:tcPr>
                  <w:tcW w:w="1471" w:type="pct"/>
                  <w:tcBorders>
                    <w:top w:val="single" w:color="auto" w:sz="12" w:space="0"/>
                  </w:tcBorders>
                  <w:vAlign w:val="center"/>
                </w:tcPr>
                <w:p w14:paraId="63BD3D47">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评价指标</w:t>
                  </w:r>
                </w:p>
              </w:tc>
              <w:tc>
                <w:tcPr>
                  <w:tcW w:w="610" w:type="pct"/>
                  <w:tcBorders>
                    <w:top w:val="single" w:color="auto" w:sz="12" w:space="0"/>
                  </w:tcBorders>
                  <w:vAlign w:val="center"/>
                </w:tcPr>
                <w:p w14:paraId="2342AAF4">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现状浓度</w:t>
                  </w:r>
                </w:p>
              </w:tc>
              <w:tc>
                <w:tcPr>
                  <w:tcW w:w="610" w:type="pct"/>
                  <w:tcBorders>
                    <w:top w:val="single" w:color="auto" w:sz="12" w:space="0"/>
                  </w:tcBorders>
                  <w:vAlign w:val="center"/>
                </w:tcPr>
                <w:p w14:paraId="11C4B9D5">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标准值</w:t>
                  </w:r>
                </w:p>
              </w:tc>
              <w:tc>
                <w:tcPr>
                  <w:tcW w:w="611" w:type="pct"/>
                  <w:tcBorders>
                    <w:top w:val="single" w:color="auto" w:sz="12" w:space="0"/>
                  </w:tcBorders>
                  <w:vAlign w:val="center"/>
                </w:tcPr>
                <w:p w14:paraId="355C00F6">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占标率</w:t>
                  </w:r>
                </w:p>
              </w:tc>
              <w:tc>
                <w:tcPr>
                  <w:tcW w:w="728" w:type="pct"/>
                  <w:tcBorders>
                    <w:top w:val="single" w:color="auto" w:sz="12" w:space="0"/>
                    <w:right w:val="nil"/>
                  </w:tcBorders>
                  <w:vAlign w:val="center"/>
                </w:tcPr>
                <w:p w14:paraId="6D259C31">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达标情况</w:t>
                  </w:r>
                </w:p>
              </w:tc>
            </w:tr>
            <w:tr w14:paraId="6271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tcBorders>
                  <w:vAlign w:val="center"/>
                </w:tcPr>
                <w:p w14:paraId="18F2D24E">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SO</w:t>
                  </w:r>
                  <w:r>
                    <w:rPr>
                      <w:rFonts w:ascii="Times New Roman" w:hAnsi="Times New Roman" w:cs="Times New Roman" w:eastAsiaTheme="minorEastAsia"/>
                      <w:snapToGrid w:val="0"/>
                      <w:kern w:val="0"/>
                      <w:sz w:val="21"/>
                      <w:szCs w:val="21"/>
                      <w:vertAlign w:val="subscript"/>
                      <w:lang w:val="en-US" w:eastAsia="zh-CN" w:bidi="ar-SA"/>
                    </w:rPr>
                    <w:t>2</w:t>
                  </w:r>
                  <w:r>
                    <w:rPr>
                      <w:rFonts w:ascii="Times New Roman" w:hAnsi="Times New Roman" w:cs="Times New Roman" w:eastAsiaTheme="minorEastAsia"/>
                      <w:snapToGrid w:val="0"/>
                      <w:kern w:val="0"/>
                      <w:sz w:val="21"/>
                      <w:szCs w:val="21"/>
                      <w:lang w:val="en-US" w:eastAsia="zh-CN" w:bidi="ar"/>
                    </w:rPr>
                    <w:t>（μg/m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vMerge w:val="restart"/>
                  <w:vAlign w:val="center"/>
                </w:tcPr>
                <w:p w14:paraId="02B003E9">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年评价质量浓度</w:t>
                  </w:r>
                </w:p>
              </w:tc>
              <w:tc>
                <w:tcPr>
                  <w:tcW w:w="610" w:type="pct"/>
                  <w:vAlign w:val="center"/>
                </w:tcPr>
                <w:p w14:paraId="6446A1FC">
                  <w:pPr>
                    <w:widowControl w:val="0"/>
                    <w:spacing w:line="240" w:lineRule="auto"/>
                    <w:ind w:firstLine="0" w:firstLineChars="0"/>
                    <w:contextualSpacing/>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9</w:t>
                  </w:r>
                </w:p>
              </w:tc>
              <w:tc>
                <w:tcPr>
                  <w:tcW w:w="610" w:type="pct"/>
                  <w:vAlign w:val="center"/>
                </w:tcPr>
                <w:p w14:paraId="350DB1DE">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60</w:t>
                  </w:r>
                </w:p>
              </w:tc>
              <w:tc>
                <w:tcPr>
                  <w:tcW w:w="611" w:type="pct"/>
                  <w:vAlign w:val="center"/>
                </w:tcPr>
                <w:p w14:paraId="333E03A6">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15.</w:t>
                  </w:r>
                  <w:r>
                    <w:rPr>
                      <w:rFonts w:ascii="Times New Roman" w:hAnsi="Times New Roman" w:cs="Times New Roman" w:eastAsiaTheme="minorEastAsia"/>
                      <w:snapToGrid w:val="0"/>
                      <w:kern w:val="0"/>
                      <w:sz w:val="21"/>
                      <w:szCs w:val="21"/>
                      <w:lang w:val="en-US" w:eastAsia="zh-CN" w:bidi="ar-SA"/>
                    </w:rPr>
                    <w:t>0%</w:t>
                  </w:r>
                </w:p>
              </w:tc>
              <w:tc>
                <w:tcPr>
                  <w:tcW w:w="728" w:type="pct"/>
                  <w:tcBorders>
                    <w:right w:val="nil"/>
                  </w:tcBorders>
                  <w:vAlign w:val="center"/>
                </w:tcPr>
                <w:p w14:paraId="4801E763">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r w14:paraId="1B44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tcBorders>
                  <w:vAlign w:val="center"/>
                </w:tcPr>
                <w:p w14:paraId="26E9246E">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NO</w:t>
                  </w:r>
                  <w:r>
                    <w:rPr>
                      <w:rFonts w:ascii="Times New Roman" w:hAnsi="Times New Roman" w:cs="Times New Roman" w:eastAsiaTheme="minorEastAsia"/>
                      <w:snapToGrid w:val="0"/>
                      <w:kern w:val="0"/>
                      <w:sz w:val="21"/>
                      <w:szCs w:val="21"/>
                      <w:vertAlign w:val="subscript"/>
                      <w:lang w:val="en-US" w:eastAsia="zh-CN" w:bidi="ar-SA"/>
                    </w:rPr>
                    <w:t>2</w:t>
                  </w:r>
                  <w:r>
                    <w:rPr>
                      <w:rFonts w:ascii="Times New Roman" w:hAnsi="Times New Roman" w:cs="Times New Roman" w:eastAsiaTheme="minorEastAsia"/>
                      <w:snapToGrid w:val="0"/>
                      <w:kern w:val="0"/>
                      <w:sz w:val="21"/>
                      <w:szCs w:val="21"/>
                      <w:lang w:val="en-US" w:eastAsia="zh-CN" w:bidi="ar"/>
                    </w:rPr>
                    <w:t>（μg/m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vMerge w:val="continue"/>
                  <w:vAlign w:val="center"/>
                </w:tcPr>
                <w:p w14:paraId="483A6FE8">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p>
              </w:tc>
              <w:tc>
                <w:tcPr>
                  <w:tcW w:w="610" w:type="pct"/>
                  <w:vAlign w:val="center"/>
                </w:tcPr>
                <w:p w14:paraId="12E0608F">
                  <w:pPr>
                    <w:widowControl w:val="0"/>
                    <w:spacing w:line="240" w:lineRule="auto"/>
                    <w:ind w:firstLine="0" w:firstLineChars="0"/>
                    <w:contextualSpacing/>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31</w:t>
                  </w:r>
                </w:p>
              </w:tc>
              <w:tc>
                <w:tcPr>
                  <w:tcW w:w="610" w:type="pct"/>
                  <w:vAlign w:val="center"/>
                </w:tcPr>
                <w:p w14:paraId="2774B25F">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40</w:t>
                  </w:r>
                </w:p>
              </w:tc>
              <w:tc>
                <w:tcPr>
                  <w:tcW w:w="611" w:type="pct"/>
                  <w:vAlign w:val="center"/>
                </w:tcPr>
                <w:p w14:paraId="0BD3FA5A">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77.5</w:t>
                  </w:r>
                  <w:r>
                    <w:rPr>
                      <w:rFonts w:ascii="Times New Roman" w:hAnsi="Times New Roman" w:cs="Times New Roman" w:eastAsiaTheme="minorEastAsia"/>
                      <w:snapToGrid w:val="0"/>
                      <w:kern w:val="0"/>
                      <w:sz w:val="21"/>
                      <w:szCs w:val="21"/>
                      <w:lang w:val="en-US" w:eastAsia="zh-CN" w:bidi="ar-SA"/>
                    </w:rPr>
                    <w:t>%</w:t>
                  </w:r>
                </w:p>
              </w:tc>
              <w:tc>
                <w:tcPr>
                  <w:tcW w:w="728" w:type="pct"/>
                  <w:tcBorders>
                    <w:right w:val="nil"/>
                  </w:tcBorders>
                  <w:vAlign w:val="center"/>
                </w:tcPr>
                <w:p w14:paraId="1ED59269">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r w14:paraId="1B18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tcBorders>
                  <w:vAlign w:val="center"/>
                </w:tcPr>
                <w:p w14:paraId="6640AAB1">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PM</w:t>
                  </w:r>
                  <w:r>
                    <w:rPr>
                      <w:rFonts w:ascii="Times New Roman" w:hAnsi="Times New Roman" w:cs="Times New Roman" w:eastAsiaTheme="minorEastAsia"/>
                      <w:snapToGrid w:val="0"/>
                      <w:kern w:val="0"/>
                      <w:sz w:val="21"/>
                      <w:szCs w:val="21"/>
                      <w:vertAlign w:val="subscript"/>
                      <w:lang w:val="en-US" w:eastAsia="zh-CN" w:bidi="ar-SA"/>
                    </w:rPr>
                    <w:t>10</w:t>
                  </w:r>
                  <w:r>
                    <w:rPr>
                      <w:rFonts w:ascii="Times New Roman" w:hAnsi="Times New Roman" w:cs="Times New Roman" w:eastAsiaTheme="minorEastAsia"/>
                      <w:snapToGrid w:val="0"/>
                      <w:kern w:val="0"/>
                      <w:sz w:val="21"/>
                      <w:szCs w:val="21"/>
                      <w:lang w:val="en-US" w:eastAsia="zh-CN" w:bidi="ar"/>
                    </w:rPr>
                    <w:t>（μg/m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vMerge w:val="continue"/>
                  <w:vAlign w:val="center"/>
                </w:tcPr>
                <w:p w14:paraId="6620117E">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p>
              </w:tc>
              <w:tc>
                <w:tcPr>
                  <w:tcW w:w="610" w:type="pct"/>
                  <w:vAlign w:val="center"/>
                </w:tcPr>
                <w:p w14:paraId="33C7D14C">
                  <w:pPr>
                    <w:widowControl w:val="0"/>
                    <w:spacing w:line="240" w:lineRule="auto"/>
                    <w:ind w:firstLine="0" w:firstLineChars="0"/>
                    <w:contextualSpacing/>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50</w:t>
                  </w:r>
                </w:p>
              </w:tc>
              <w:tc>
                <w:tcPr>
                  <w:tcW w:w="610" w:type="pct"/>
                  <w:vAlign w:val="center"/>
                </w:tcPr>
                <w:p w14:paraId="16E50047">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70</w:t>
                  </w:r>
                </w:p>
              </w:tc>
              <w:tc>
                <w:tcPr>
                  <w:tcW w:w="611" w:type="pct"/>
                  <w:vAlign w:val="center"/>
                </w:tcPr>
                <w:p w14:paraId="722B3BA4">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71.43</w:t>
                  </w:r>
                  <w:r>
                    <w:rPr>
                      <w:rFonts w:ascii="Times New Roman" w:hAnsi="Times New Roman" w:cs="Times New Roman" w:eastAsiaTheme="minorEastAsia"/>
                      <w:snapToGrid w:val="0"/>
                      <w:kern w:val="0"/>
                      <w:sz w:val="21"/>
                      <w:szCs w:val="21"/>
                      <w:lang w:val="en-US" w:eastAsia="zh-CN" w:bidi="ar-SA"/>
                    </w:rPr>
                    <w:t>%</w:t>
                  </w:r>
                </w:p>
              </w:tc>
              <w:tc>
                <w:tcPr>
                  <w:tcW w:w="728" w:type="pct"/>
                  <w:tcBorders>
                    <w:right w:val="nil"/>
                  </w:tcBorders>
                  <w:vAlign w:val="center"/>
                </w:tcPr>
                <w:p w14:paraId="133A0C0C">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r w14:paraId="53B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tcBorders>
                  <w:vAlign w:val="center"/>
                </w:tcPr>
                <w:p w14:paraId="2C10E541">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PM</w:t>
                  </w:r>
                  <w:r>
                    <w:rPr>
                      <w:rFonts w:ascii="Times New Roman" w:hAnsi="Times New Roman" w:cs="Times New Roman" w:eastAsiaTheme="minorEastAsia"/>
                      <w:snapToGrid w:val="0"/>
                      <w:kern w:val="0"/>
                      <w:sz w:val="21"/>
                      <w:szCs w:val="21"/>
                      <w:vertAlign w:val="subscript"/>
                      <w:lang w:val="en-US" w:eastAsia="zh-CN" w:bidi="ar-SA"/>
                    </w:rPr>
                    <w:t>2.5</w:t>
                  </w:r>
                  <w:r>
                    <w:rPr>
                      <w:rFonts w:ascii="Times New Roman" w:hAnsi="Times New Roman" w:cs="Times New Roman" w:eastAsiaTheme="minorEastAsia"/>
                      <w:snapToGrid w:val="0"/>
                      <w:kern w:val="0"/>
                      <w:sz w:val="21"/>
                      <w:szCs w:val="21"/>
                      <w:lang w:val="en-US" w:eastAsia="zh-CN" w:bidi="ar"/>
                    </w:rPr>
                    <w:t>（μg/m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vMerge w:val="continue"/>
                  <w:vAlign w:val="center"/>
                </w:tcPr>
                <w:p w14:paraId="6C135CB5">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p>
              </w:tc>
              <w:tc>
                <w:tcPr>
                  <w:tcW w:w="610" w:type="pct"/>
                  <w:vAlign w:val="center"/>
                </w:tcPr>
                <w:p w14:paraId="4AB5C596">
                  <w:pPr>
                    <w:widowControl w:val="0"/>
                    <w:spacing w:line="240" w:lineRule="auto"/>
                    <w:ind w:firstLine="0" w:firstLineChars="0"/>
                    <w:contextualSpacing/>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28</w:t>
                  </w:r>
                </w:p>
              </w:tc>
              <w:tc>
                <w:tcPr>
                  <w:tcW w:w="610" w:type="pct"/>
                  <w:vAlign w:val="center"/>
                </w:tcPr>
                <w:p w14:paraId="1DEB5960">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35</w:t>
                  </w:r>
                </w:p>
              </w:tc>
              <w:tc>
                <w:tcPr>
                  <w:tcW w:w="611" w:type="pct"/>
                  <w:vAlign w:val="center"/>
                </w:tcPr>
                <w:p w14:paraId="59DF2D5D">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80.0</w:t>
                  </w:r>
                  <w:r>
                    <w:rPr>
                      <w:rFonts w:ascii="Times New Roman" w:hAnsi="Times New Roman" w:cs="Times New Roman" w:eastAsiaTheme="minorEastAsia"/>
                      <w:snapToGrid w:val="0"/>
                      <w:kern w:val="0"/>
                      <w:sz w:val="21"/>
                      <w:szCs w:val="21"/>
                      <w:lang w:val="en-US" w:eastAsia="zh-CN" w:bidi="ar-SA"/>
                    </w:rPr>
                    <w:t>%</w:t>
                  </w:r>
                </w:p>
              </w:tc>
              <w:tc>
                <w:tcPr>
                  <w:tcW w:w="728" w:type="pct"/>
                  <w:tcBorders>
                    <w:right w:val="nil"/>
                  </w:tcBorders>
                  <w:vAlign w:val="center"/>
                </w:tcPr>
                <w:p w14:paraId="543002CF">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r w14:paraId="1170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tcBorders>
                  <w:vAlign w:val="center"/>
                </w:tcPr>
                <w:p w14:paraId="4D0DD7C8">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CO</w:t>
                  </w:r>
                  <w:r>
                    <w:rPr>
                      <w:rFonts w:ascii="Times New Roman" w:hAnsi="Times New Roman" w:cs="Times New Roman" w:eastAsiaTheme="minorEastAsia"/>
                      <w:snapToGrid w:val="0"/>
                      <w:kern w:val="0"/>
                      <w:sz w:val="21"/>
                      <w:szCs w:val="21"/>
                      <w:lang w:val="en-US" w:eastAsia="zh-CN" w:bidi="ar"/>
                    </w:rPr>
                    <w:t>（mg/m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vAlign w:val="center"/>
                </w:tcPr>
                <w:p w14:paraId="52904BE8">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日均浓度的第95百分位数</w:t>
                  </w:r>
                </w:p>
              </w:tc>
              <w:tc>
                <w:tcPr>
                  <w:tcW w:w="610" w:type="pct"/>
                  <w:vAlign w:val="center"/>
                </w:tcPr>
                <w:p w14:paraId="3EBCA9C4">
                  <w:pPr>
                    <w:widowControl w:val="0"/>
                    <w:spacing w:line="240" w:lineRule="auto"/>
                    <w:ind w:firstLine="0" w:firstLineChars="0"/>
                    <w:contextualSpacing/>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1.3</w:t>
                  </w:r>
                </w:p>
              </w:tc>
              <w:tc>
                <w:tcPr>
                  <w:tcW w:w="610" w:type="pct"/>
                  <w:vAlign w:val="center"/>
                </w:tcPr>
                <w:p w14:paraId="591FB432">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4</w:t>
                  </w:r>
                </w:p>
              </w:tc>
              <w:tc>
                <w:tcPr>
                  <w:tcW w:w="611" w:type="pct"/>
                  <w:vAlign w:val="center"/>
                </w:tcPr>
                <w:p w14:paraId="6F7A8158">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32.5</w:t>
                  </w:r>
                  <w:r>
                    <w:rPr>
                      <w:rFonts w:ascii="Times New Roman" w:hAnsi="Times New Roman" w:cs="Times New Roman" w:eastAsiaTheme="minorEastAsia"/>
                      <w:snapToGrid w:val="0"/>
                      <w:kern w:val="0"/>
                      <w:sz w:val="21"/>
                      <w:szCs w:val="21"/>
                      <w:lang w:val="en-US" w:eastAsia="zh-CN" w:bidi="ar-SA"/>
                    </w:rPr>
                    <w:t>%</w:t>
                  </w:r>
                </w:p>
              </w:tc>
              <w:tc>
                <w:tcPr>
                  <w:tcW w:w="728" w:type="pct"/>
                  <w:tcBorders>
                    <w:right w:val="nil"/>
                  </w:tcBorders>
                  <w:vAlign w:val="center"/>
                </w:tcPr>
                <w:p w14:paraId="72A02398">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r w14:paraId="7532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67" w:type="pct"/>
                  <w:tcBorders>
                    <w:left w:val="nil"/>
                    <w:bottom w:val="single" w:color="auto" w:sz="12" w:space="0"/>
                  </w:tcBorders>
                  <w:vAlign w:val="center"/>
                </w:tcPr>
                <w:p w14:paraId="4B4B6253">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O</w:t>
                  </w:r>
                  <w:r>
                    <w:rPr>
                      <w:rFonts w:ascii="Times New Roman" w:hAnsi="Times New Roman" w:cs="Times New Roman" w:eastAsiaTheme="minorEastAsia"/>
                      <w:snapToGrid w:val="0"/>
                      <w:kern w:val="0"/>
                      <w:sz w:val="21"/>
                      <w:szCs w:val="21"/>
                      <w:vertAlign w:val="subscript"/>
                      <w:lang w:val="en-US" w:eastAsia="zh-CN" w:bidi="ar-SA"/>
                    </w:rPr>
                    <w:t>3</w:t>
                  </w:r>
                  <w:r>
                    <w:rPr>
                      <w:rFonts w:ascii="Times New Roman" w:hAnsi="Times New Roman" w:cs="Times New Roman" w:eastAsiaTheme="minorEastAsia"/>
                      <w:snapToGrid w:val="0"/>
                      <w:kern w:val="0"/>
                      <w:sz w:val="21"/>
                      <w:szCs w:val="21"/>
                      <w:lang w:val="en-US" w:eastAsia="zh-CN" w:bidi="ar"/>
                    </w:rPr>
                    <w:t>（μg/m</w:t>
                  </w:r>
                  <w:r>
                    <w:rPr>
                      <w:rFonts w:ascii="Times New Roman" w:hAnsi="Times New Roman" w:cs="Times New Roman" w:eastAsiaTheme="minorEastAsia"/>
                      <w:snapToGrid w:val="0"/>
                      <w:kern w:val="0"/>
                      <w:sz w:val="21"/>
                      <w:szCs w:val="21"/>
                      <w:vertAlign w:val="superscript"/>
                      <w:lang w:val="en-US" w:eastAsia="zh-CN" w:bidi="ar"/>
                    </w:rPr>
                    <w:t>3</w:t>
                  </w:r>
                  <w:r>
                    <w:rPr>
                      <w:rFonts w:ascii="Times New Roman" w:hAnsi="Times New Roman" w:cs="Times New Roman" w:eastAsiaTheme="minorEastAsia"/>
                      <w:snapToGrid w:val="0"/>
                      <w:kern w:val="0"/>
                      <w:sz w:val="21"/>
                      <w:szCs w:val="21"/>
                      <w:lang w:val="en-US" w:eastAsia="zh-CN" w:bidi="ar"/>
                    </w:rPr>
                    <w:t>）</w:t>
                  </w:r>
                </w:p>
              </w:tc>
              <w:tc>
                <w:tcPr>
                  <w:tcW w:w="1471" w:type="pct"/>
                  <w:tcBorders>
                    <w:bottom w:val="single" w:color="auto" w:sz="12" w:space="0"/>
                  </w:tcBorders>
                  <w:vAlign w:val="center"/>
                </w:tcPr>
                <w:p w14:paraId="285D4323">
                  <w:pPr>
                    <w:widowControl w:val="0"/>
                    <w:spacing w:line="240" w:lineRule="auto"/>
                    <w:ind w:firstLine="0" w:firstLineChars="0"/>
                    <w:contextualSpacing/>
                    <w:jc w:val="center"/>
                    <w:rPr>
                      <w:rFonts w:ascii="Times New Roman" w:hAnsi="Times New Roman" w:cs="Times New Roman" w:eastAsiaTheme="minorEastAsia"/>
                      <w:b/>
                      <w:bCs/>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日最大8h平均浓度的第90百分位数</w:t>
                  </w:r>
                </w:p>
              </w:tc>
              <w:tc>
                <w:tcPr>
                  <w:tcW w:w="610" w:type="pct"/>
                  <w:tcBorders>
                    <w:bottom w:val="single" w:color="auto" w:sz="12" w:space="0"/>
                  </w:tcBorders>
                  <w:vAlign w:val="center"/>
                </w:tcPr>
                <w:p w14:paraId="3889A08E">
                  <w:pPr>
                    <w:widowControl w:val="0"/>
                    <w:spacing w:line="240" w:lineRule="auto"/>
                    <w:ind w:firstLine="0" w:firstLineChars="0"/>
                    <w:contextualSpacing/>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133</w:t>
                  </w:r>
                </w:p>
              </w:tc>
              <w:tc>
                <w:tcPr>
                  <w:tcW w:w="610" w:type="pct"/>
                  <w:tcBorders>
                    <w:bottom w:val="single" w:color="auto" w:sz="12" w:space="0"/>
                  </w:tcBorders>
                  <w:vAlign w:val="center"/>
                </w:tcPr>
                <w:p w14:paraId="1CD98A26">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160</w:t>
                  </w:r>
                </w:p>
              </w:tc>
              <w:tc>
                <w:tcPr>
                  <w:tcW w:w="611" w:type="pct"/>
                  <w:tcBorders>
                    <w:bottom w:val="single" w:color="auto" w:sz="12" w:space="0"/>
                  </w:tcBorders>
                  <w:vAlign w:val="center"/>
                </w:tcPr>
                <w:p w14:paraId="272F284C">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hint="eastAsia" w:ascii="Times New Roman" w:hAnsi="Times New Roman" w:cs="Times New Roman" w:eastAsiaTheme="minorEastAsia"/>
                      <w:snapToGrid w:val="0"/>
                      <w:kern w:val="0"/>
                      <w:sz w:val="21"/>
                      <w:szCs w:val="21"/>
                      <w:lang w:val="en-US" w:eastAsia="zh-CN" w:bidi="ar-SA"/>
                    </w:rPr>
                    <w:t>83.13</w:t>
                  </w:r>
                  <w:r>
                    <w:rPr>
                      <w:rFonts w:ascii="Times New Roman" w:hAnsi="Times New Roman" w:cs="Times New Roman" w:eastAsiaTheme="minorEastAsia"/>
                      <w:snapToGrid w:val="0"/>
                      <w:kern w:val="0"/>
                      <w:sz w:val="21"/>
                      <w:szCs w:val="21"/>
                      <w:lang w:val="en-US" w:eastAsia="zh-CN" w:bidi="ar-SA"/>
                    </w:rPr>
                    <w:t>%</w:t>
                  </w:r>
                </w:p>
              </w:tc>
              <w:tc>
                <w:tcPr>
                  <w:tcW w:w="728" w:type="pct"/>
                  <w:tcBorders>
                    <w:bottom w:val="single" w:color="auto" w:sz="12" w:space="0"/>
                    <w:right w:val="nil"/>
                  </w:tcBorders>
                  <w:vAlign w:val="center"/>
                </w:tcPr>
                <w:p w14:paraId="7D569D3B">
                  <w:pPr>
                    <w:widowControl w:val="0"/>
                    <w:spacing w:line="240" w:lineRule="auto"/>
                    <w:ind w:firstLine="0" w:firstLineChars="0"/>
                    <w:contextualSpacing/>
                    <w:jc w:val="center"/>
                    <w:rPr>
                      <w:rFonts w:ascii="Times New Roman" w:hAnsi="Times New Roman" w:cs="Times New Roman" w:eastAsiaTheme="minorEastAsia"/>
                      <w:snapToGrid w:val="0"/>
                      <w:kern w:val="0"/>
                      <w:sz w:val="21"/>
                      <w:szCs w:val="21"/>
                      <w:lang w:val="en-US" w:eastAsia="zh-CN" w:bidi="ar-SA"/>
                    </w:rPr>
                  </w:pPr>
                  <w:r>
                    <w:rPr>
                      <w:rFonts w:ascii="Times New Roman" w:hAnsi="Times New Roman" w:cs="Times New Roman" w:eastAsiaTheme="minorEastAsia"/>
                      <w:snapToGrid w:val="0"/>
                      <w:kern w:val="0"/>
                      <w:sz w:val="21"/>
                      <w:szCs w:val="21"/>
                      <w:lang w:val="en-US" w:eastAsia="zh-CN" w:bidi="ar-SA"/>
                    </w:rPr>
                    <w:t>达标</w:t>
                  </w:r>
                </w:p>
              </w:tc>
            </w:tr>
          </w:tbl>
          <w:p w14:paraId="0B546938">
            <w:pPr>
              <w:wordWrap/>
              <w:spacing w:line="360" w:lineRule="auto"/>
              <w:ind w:firstLine="480" w:firstLineChars="200"/>
              <w:jc w:val="both"/>
              <w:rPr>
                <w:rFonts w:hint="eastAsia" w:cs="Times New Roman" w:eastAsiaTheme="minorEastAsia"/>
                <w:sz w:val="24"/>
                <w:szCs w:val="24"/>
              </w:rPr>
            </w:pPr>
            <w:r>
              <w:rPr>
                <w:rFonts w:cs="Times New Roman" w:eastAsiaTheme="minorEastAsia"/>
                <w:sz w:val="24"/>
                <w:szCs w:val="24"/>
              </w:rPr>
              <w:t>由上表可知，项目所在地环境空气</w:t>
            </w:r>
            <w:r>
              <w:rPr>
                <w:rFonts w:hint="eastAsia" w:cs="Times New Roman" w:eastAsiaTheme="minorEastAsia"/>
                <w:sz w:val="24"/>
                <w:szCs w:val="24"/>
              </w:rPr>
              <w:t>中各项评价指标均能</w:t>
            </w:r>
            <w:r>
              <w:rPr>
                <w:rFonts w:cs="Times New Roman" w:eastAsiaTheme="minorEastAsia"/>
                <w:sz w:val="24"/>
                <w:szCs w:val="24"/>
              </w:rPr>
              <w:t>满足《环境空气质量标准》（GB3095-2012）中的二级标准限值要求，</w:t>
            </w:r>
            <w:r>
              <w:rPr>
                <w:rFonts w:hint="eastAsia" w:cs="Times New Roman" w:eastAsiaTheme="minorEastAsia"/>
                <w:sz w:val="24"/>
                <w:szCs w:val="24"/>
              </w:rPr>
              <w:t>表明</w:t>
            </w:r>
            <w:r>
              <w:rPr>
                <w:rFonts w:cs="Times New Roman" w:eastAsiaTheme="minorEastAsia"/>
                <w:sz w:val="24"/>
                <w:szCs w:val="24"/>
              </w:rPr>
              <w:t>所在</w:t>
            </w:r>
            <w:r>
              <w:rPr>
                <w:rFonts w:hint="eastAsia" w:cs="Times New Roman" w:eastAsiaTheme="minorEastAsia"/>
                <w:sz w:val="24"/>
                <w:szCs w:val="24"/>
              </w:rPr>
              <w:t>地大气环境质量较好。</w:t>
            </w:r>
          </w:p>
          <w:p w14:paraId="45E528B7">
            <w:pPr>
              <w:wordWrap/>
              <w:spacing w:line="360" w:lineRule="auto"/>
              <w:ind w:firstLine="480" w:firstLineChars="200"/>
              <w:jc w:val="both"/>
              <w:rPr>
                <w:rFonts w:hint="eastAsia"/>
                <w:color w:val="auto"/>
                <w:highlight w:val="none"/>
                <w:lang w:eastAsia="zh-CN"/>
              </w:rPr>
            </w:pPr>
            <w:r>
              <w:rPr>
                <w:color w:val="auto"/>
                <w:highlight w:val="none"/>
              </w:rPr>
              <w:t>（</w:t>
            </w:r>
            <w:r>
              <w:rPr>
                <w:rFonts w:hint="eastAsia"/>
                <w:color w:val="auto"/>
                <w:highlight w:val="none"/>
              </w:rPr>
              <w:t>2</w:t>
            </w:r>
            <w:r>
              <w:rPr>
                <w:color w:val="auto"/>
                <w:highlight w:val="none"/>
              </w:rPr>
              <w:t>）其他污染物环境空气质量现状评价</w:t>
            </w:r>
          </w:p>
          <w:p w14:paraId="0357D3B8">
            <w:pPr>
              <w:pStyle w:val="38"/>
              <w:ind w:firstLine="480"/>
              <w:rPr>
                <w:rFonts w:hint="eastAsia" w:eastAsia="宋体"/>
                <w:color w:val="auto"/>
                <w:lang w:eastAsia="zh-CN"/>
              </w:rPr>
            </w:pPr>
            <w:r>
              <w:rPr>
                <w:color w:val="auto"/>
              </w:rPr>
              <w:t>为了解评价区T</w:t>
            </w:r>
            <w:r>
              <w:rPr>
                <w:rFonts w:hint="eastAsia"/>
                <w:color w:val="auto"/>
              </w:rPr>
              <w:t>VOC</w:t>
            </w:r>
            <w:r>
              <w:rPr>
                <w:color w:val="auto"/>
              </w:rPr>
              <w:t>环境空气质量现状，</w:t>
            </w:r>
            <w:r>
              <w:rPr>
                <w:rFonts w:hint="eastAsia"/>
                <w:color w:val="auto"/>
              </w:rPr>
              <w:t>本次评价</w:t>
            </w:r>
            <w:r>
              <w:rPr>
                <w:rFonts w:hint="eastAsia"/>
                <w:color w:val="auto"/>
                <w:lang w:val="en-US" w:eastAsia="zh-CN"/>
              </w:rPr>
              <w:t>对项目厂房下风向处进行</w:t>
            </w:r>
            <w:r>
              <w:rPr>
                <w:color w:val="auto"/>
              </w:rPr>
              <w:t>T</w:t>
            </w:r>
            <w:r>
              <w:rPr>
                <w:rFonts w:hint="eastAsia"/>
                <w:color w:val="auto"/>
              </w:rPr>
              <w:t>VOC监测</w:t>
            </w:r>
            <w:r>
              <w:rPr>
                <w:rFonts w:hint="eastAsia"/>
                <w:color w:val="auto"/>
                <w:lang w:eastAsia="zh-CN"/>
              </w:rPr>
              <w:t>（</w:t>
            </w:r>
            <w:r>
              <w:rPr>
                <w:rFonts w:hint="eastAsia"/>
                <w:color w:val="auto"/>
                <w:lang w:val="en-US" w:eastAsia="zh-CN"/>
              </w:rPr>
              <w:t>附件13</w:t>
            </w:r>
            <w:r>
              <w:rPr>
                <w:rFonts w:hint="eastAsia"/>
                <w:color w:val="auto"/>
                <w:lang w:eastAsia="zh-CN"/>
              </w:rPr>
              <w:t>）</w:t>
            </w:r>
            <w:r>
              <w:rPr>
                <w:rFonts w:hint="eastAsia"/>
                <w:color w:val="auto"/>
              </w:rPr>
              <w:t>，该项目监测点位位于本项目</w:t>
            </w:r>
            <w:r>
              <w:rPr>
                <w:rFonts w:hint="eastAsia"/>
                <w:color w:val="auto"/>
                <w:lang w:val="en-US" w:eastAsia="zh-CN"/>
              </w:rPr>
              <w:t>厂房西南侧约20m处</w:t>
            </w:r>
            <w:r>
              <w:rPr>
                <w:rFonts w:hint="eastAsia"/>
                <w:color w:val="auto"/>
              </w:rPr>
              <w:t>，监测时间为</w:t>
            </w:r>
            <w:r>
              <w:rPr>
                <w:color w:val="auto"/>
              </w:rPr>
              <w:t>202</w:t>
            </w:r>
            <w:r>
              <w:rPr>
                <w:rFonts w:hint="eastAsia"/>
                <w:color w:val="auto"/>
                <w:lang w:val="en-US" w:eastAsia="zh-CN"/>
              </w:rPr>
              <w:t>5</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11</w:t>
            </w:r>
            <w:r>
              <w:rPr>
                <w:rFonts w:hint="eastAsia"/>
                <w:color w:val="auto"/>
              </w:rPr>
              <w:t>日</w:t>
            </w:r>
            <w:r>
              <w:rPr>
                <w:color w:val="auto"/>
              </w:rPr>
              <w:t>~202</w:t>
            </w:r>
            <w:r>
              <w:rPr>
                <w:rFonts w:hint="eastAsia"/>
                <w:color w:val="auto"/>
                <w:lang w:val="en-US" w:eastAsia="zh-CN"/>
              </w:rPr>
              <w:t>5</w:t>
            </w:r>
            <w:r>
              <w:rPr>
                <w:rFonts w:hint="eastAsia"/>
                <w:color w:val="auto"/>
              </w:rPr>
              <w:t>年1</w:t>
            </w:r>
            <w:r>
              <w:rPr>
                <w:rFonts w:hint="eastAsia"/>
                <w:color w:val="auto"/>
                <w:lang w:val="en-US" w:eastAsia="zh-CN"/>
              </w:rPr>
              <w:t>1</w:t>
            </w:r>
            <w:r>
              <w:rPr>
                <w:rFonts w:hint="eastAsia"/>
                <w:color w:val="auto"/>
              </w:rPr>
              <w:t>月</w:t>
            </w:r>
            <w:r>
              <w:rPr>
                <w:rFonts w:hint="eastAsia"/>
                <w:color w:val="auto"/>
                <w:lang w:val="en-US" w:eastAsia="zh-CN"/>
              </w:rPr>
              <w:t>13</w:t>
            </w:r>
            <w:r>
              <w:rPr>
                <w:rFonts w:hint="eastAsia"/>
                <w:color w:val="auto"/>
              </w:rPr>
              <w:t>日</w:t>
            </w:r>
            <w:r>
              <w:rPr>
                <w:rFonts w:hint="eastAsia"/>
                <w:color w:val="auto"/>
                <w:lang w:eastAsia="zh-CN"/>
              </w:rPr>
              <w:t>。</w:t>
            </w:r>
          </w:p>
          <w:p w14:paraId="0A7058E1">
            <w:pPr>
              <w:pStyle w:val="38"/>
              <w:ind w:firstLine="480"/>
              <w:rPr>
                <w:rFonts w:hint="eastAsia"/>
                <w:color w:val="auto"/>
                <w:lang w:val="en-US" w:eastAsia="zh-CN"/>
              </w:rPr>
            </w:pPr>
            <w:r>
              <w:rPr>
                <w:color w:val="auto"/>
              </w:rPr>
              <w:t>①监测点位：</w:t>
            </w:r>
            <w:r>
              <w:rPr>
                <w:rFonts w:hint="eastAsia"/>
                <w:color w:val="auto"/>
              </w:rPr>
              <w:t>1</w:t>
            </w:r>
            <w:r>
              <w:rPr>
                <w:rFonts w:hint="eastAsia"/>
                <w:color w:val="auto"/>
                <w:lang w:val="en-US" w:eastAsia="zh-CN"/>
              </w:rPr>
              <w:t>#项目厂房下风向处</w:t>
            </w:r>
          </w:p>
          <w:p w14:paraId="5613DD62">
            <w:pPr>
              <w:pStyle w:val="38"/>
              <w:ind w:firstLine="480"/>
              <w:rPr>
                <w:rFonts w:hint="eastAsia" w:eastAsia="宋体"/>
                <w:color w:val="auto"/>
                <w:lang w:eastAsia="zh-CN"/>
              </w:rPr>
            </w:pPr>
            <w:r>
              <w:rPr>
                <w:color w:val="auto"/>
              </w:rPr>
              <w:t>②监测时间：202</w:t>
            </w:r>
            <w:r>
              <w:rPr>
                <w:rFonts w:hint="eastAsia"/>
                <w:color w:val="auto"/>
                <w:lang w:val="en-US" w:eastAsia="zh-CN"/>
              </w:rPr>
              <w:t>5</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11</w:t>
            </w:r>
            <w:r>
              <w:rPr>
                <w:rFonts w:hint="eastAsia"/>
                <w:color w:val="auto"/>
              </w:rPr>
              <w:t>日</w:t>
            </w:r>
            <w:r>
              <w:rPr>
                <w:color w:val="auto"/>
              </w:rPr>
              <w:t>~202</w:t>
            </w:r>
            <w:r>
              <w:rPr>
                <w:rFonts w:hint="eastAsia"/>
                <w:color w:val="auto"/>
                <w:lang w:val="en-US" w:eastAsia="zh-CN"/>
              </w:rPr>
              <w:t>5</w:t>
            </w:r>
            <w:r>
              <w:rPr>
                <w:rFonts w:hint="eastAsia"/>
                <w:color w:val="auto"/>
              </w:rPr>
              <w:t>年1</w:t>
            </w:r>
            <w:r>
              <w:rPr>
                <w:rFonts w:hint="eastAsia"/>
                <w:color w:val="auto"/>
                <w:lang w:val="en-US" w:eastAsia="zh-CN"/>
              </w:rPr>
              <w:t>1</w:t>
            </w:r>
            <w:r>
              <w:rPr>
                <w:rFonts w:hint="eastAsia"/>
                <w:color w:val="auto"/>
              </w:rPr>
              <w:t>月</w:t>
            </w:r>
            <w:r>
              <w:rPr>
                <w:rFonts w:hint="eastAsia"/>
                <w:color w:val="auto"/>
                <w:lang w:val="en-US" w:eastAsia="zh-CN"/>
              </w:rPr>
              <w:t>13</w:t>
            </w:r>
            <w:r>
              <w:rPr>
                <w:rFonts w:hint="eastAsia"/>
                <w:color w:val="auto"/>
              </w:rPr>
              <w:t>日</w:t>
            </w:r>
            <w:r>
              <w:rPr>
                <w:rFonts w:hint="eastAsia"/>
                <w:color w:val="auto"/>
                <w:lang w:eastAsia="zh-CN"/>
              </w:rPr>
              <w:t>。</w:t>
            </w:r>
          </w:p>
          <w:p w14:paraId="5320E1CD">
            <w:pPr>
              <w:pStyle w:val="38"/>
              <w:ind w:firstLine="480"/>
              <w:rPr>
                <w:color w:val="auto"/>
              </w:rPr>
            </w:pPr>
            <w:r>
              <w:rPr>
                <w:color w:val="auto"/>
              </w:rPr>
              <w:t>③</w:t>
            </w:r>
            <w:r>
              <w:rPr>
                <w:rFonts w:hint="eastAsia"/>
                <w:color w:val="auto"/>
              </w:rPr>
              <w:t>监测项目：</w:t>
            </w:r>
            <w:r>
              <w:rPr>
                <w:color w:val="auto"/>
              </w:rPr>
              <w:t>T</w:t>
            </w:r>
            <w:r>
              <w:rPr>
                <w:rFonts w:hint="eastAsia"/>
                <w:color w:val="auto"/>
              </w:rPr>
              <w:t>VOC</w:t>
            </w:r>
          </w:p>
          <w:p w14:paraId="5BA9002E">
            <w:pPr>
              <w:pStyle w:val="38"/>
              <w:ind w:firstLine="480"/>
              <w:rPr>
                <w:color w:val="auto"/>
              </w:rPr>
            </w:pPr>
            <w:r>
              <w:rPr>
                <w:rFonts w:hint="eastAsia"/>
                <w:color w:val="auto"/>
              </w:rPr>
              <w:t>④</w:t>
            </w:r>
            <w:r>
              <w:rPr>
                <w:color w:val="auto"/>
              </w:rPr>
              <w:t>监测结果</w:t>
            </w:r>
            <w:r>
              <w:rPr>
                <w:rFonts w:hint="eastAsia"/>
                <w:color w:val="auto"/>
                <w:lang w:eastAsia="zh-CN"/>
              </w:rPr>
              <w:t>：</w:t>
            </w:r>
            <w:r>
              <w:rPr>
                <w:color w:val="auto"/>
              </w:rPr>
              <w:t>监测结果见表3-2。</w:t>
            </w:r>
          </w:p>
          <w:p w14:paraId="03EEA8B8">
            <w:pPr>
              <w:pStyle w:val="7"/>
              <w:rPr>
                <w:rFonts w:hint="eastAsia"/>
              </w:rPr>
            </w:pPr>
          </w:p>
          <w:p w14:paraId="7D78D95F">
            <w:pPr>
              <w:pStyle w:val="7"/>
              <w:rPr>
                <w:rFonts w:hint="eastAsia"/>
              </w:rPr>
            </w:pPr>
            <w:r>
              <w:rPr>
                <w:rFonts w:hint="eastAsia"/>
              </w:rPr>
              <w:t>表3-</w:t>
            </w:r>
            <w:r>
              <w:rPr>
                <w:rFonts w:hint="eastAsia"/>
                <w:lang w:val="en-US" w:eastAsia="zh-CN"/>
              </w:rPr>
              <w:t xml:space="preserve">2 </w:t>
            </w:r>
            <w:r>
              <w:rPr>
                <w:rFonts w:hint="eastAsia"/>
              </w:rPr>
              <w:t xml:space="preserve"> 环境空气中TVOC监测结果</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6"/>
              <w:gridCol w:w="2439"/>
              <w:gridCol w:w="1157"/>
              <w:gridCol w:w="850"/>
              <w:gridCol w:w="955"/>
              <w:gridCol w:w="808"/>
              <w:gridCol w:w="1195"/>
            </w:tblGrid>
            <w:tr w14:paraId="20CA2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tblHeader/>
                <w:jc w:val="center"/>
              </w:trPr>
              <w:tc>
                <w:tcPr>
                  <w:tcW w:w="816" w:type="pct"/>
                  <w:vMerge w:val="restart"/>
                  <w:noWrap w:val="0"/>
                  <w:vAlign w:val="center"/>
                </w:tcPr>
                <w:p w14:paraId="60904088">
                  <w:pPr>
                    <w:pStyle w:val="5"/>
                    <w:keepNext w:val="0"/>
                    <w:keepLines w:val="0"/>
                    <w:pageBreakBefore w:val="0"/>
                    <w:kinsoku/>
                    <w:wordWrap/>
                    <w:topLinePunct w:val="0"/>
                    <w:autoSpaceDE/>
                    <w:autoSpaceDN/>
                    <w:bidi w:val="0"/>
                    <w:ind w:left="0" w:leftChars="0" w:right="0" w:rightChars="0"/>
                    <w:jc w:val="center"/>
                    <w:textAlignment w:val="auto"/>
                    <w:rPr>
                      <w:rFonts w:hint="default"/>
                    </w:rPr>
                  </w:pPr>
                  <w:r>
                    <w:rPr>
                      <w:rFonts w:hint="default"/>
                    </w:rPr>
                    <w:t>监测点位</w:t>
                  </w:r>
                </w:p>
              </w:tc>
              <w:tc>
                <w:tcPr>
                  <w:tcW w:w="1377" w:type="pct"/>
                  <w:vMerge w:val="restart"/>
                  <w:noWrap w:val="0"/>
                  <w:vAlign w:val="center"/>
                </w:tcPr>
                <w:p w14:paraId="177D9F74">
                  <w:pPr>
                    <w:pStyle w:val="5"/>
                    <w:keepNext w:val="0"/>
                    <w:keepLines w:val="0"/>
                    <w:pageBreakBefore w:val="0"/>
                    <w:kinsoku/>
                    <w:wordWrap/>
                    <w:topLinePunct w:val="0"/>
                    <w:autoSpaceDE/>
                    <w:autoSpaceDN/>
                    <w:bidi w:val="0"/>
                    <w:ind w:left="0" w:leftChars="0" w:right="0" w:rightChars="0"/>
                    <w:jc w:val="center"/>
                    <w:textAlignment w:val="auto"/>
                    <w:rPr>
                      <w:rFonts w:hint="default"/>
                    </w:rPr>
                  </w:pPr>
                  <w:r>
                    <w:rPr>
                      <w:rFonts w:hint="default"/>
                    </w:rPr>
                    <w:t>监测时间</w:t>
                  </w:r>
                </w:p>
              </w:tc>
              <w:tc>
                <w:tcPr>
                  <w:tcW w:w="653" w:type="pct"/>
                  <w:noWrap w:val="0"/>
                  <w:vAlign w:val="center"/>
                </w:tcPr>
                <w:p w14:paraId="66E2C9C6">
                  <w:pPr>
                    <w:pStyle w:val="5"/>
                    <w:keepNext w:val="0"/>
                    <w:keepLines w:val="0"/>
                    <w:pageBreakBefore w:val="0"/>
                    <w:kinsoku/>
                    <w:wordWrap/>
                    <w:topLinePunct w:val="0"/>
                    <w:autoSpaceDE/>
                    <w:autoSpaceDN/>
                    <w:bidi w:val="0"/>
                    <w:ind w:left="0" w:leftChars="0" w:right="0" w:rightChars="0"/>
                    <w:jc w:val="center"/>
                    <w:textAlignment w:val="auto"/>
                    <w:rPr>
                      <w:rFonts w:hint="default"/>
                      <w:lang w:val="en-US" w:eastAsia="zh-CN"/>
                    </w:rPr>
                  </w:pPr>
                  <w:r>
                    <w:rPr>
                      <w:rFonts w:hint="default"/>
                    </w:rPr>
                    <w:t>监测项目</w:t>
                  </w:r>
                </w:p>
              </w:tc>
              <w:tc>
                <w:tcPr>
                  <w:tcW w:w="480" w:type="pct"/>
                  <w:noWrap w:val="0"/>
                  <w:vAlign w:val="center"/>
                </w:tcPr>
                <w:p w14:paraId="074BD4C9">
                  <w:pPr>
                    <w:pStyle w:val="5"/>
                    <w:rPr>
                      <w:rFonts w:hint="eastAsia"/>
                      <w:lang w:val="en-US" w:eastAsia="zh-CN"/>
                    </w:rPr>
                  </w:pPr>
                  <w:r>
                    <w:rPr>
                      <w:rFonts w:hint="default"/>
                    </w:rPr>
                    <w:t>监测结果（</w:t>
                  </w:r>
                  <w:r>
                    <w:rPr>
                      <w:rFonts w:hint="default"/>
                      <w:lang w:val="en-US" w:eastAsia="zh-CN"/>
                    </w:rPr>
                    <w:t>μ</w:t>
                  </w:r>
                  <w:r>
                    <w:rPr>
                      <w:rFonts w:hint="default"/>
                    </w:rPr>
                    <w:t>g/m</w:t>
                  </w:r>
                  <w:r>
                    <w:rPr>
                      <w:rFonts w:hint="default"/>
                      <w:vertAlign w:val="superscript"/>
                    </w:rPr>
                    <w:t>3</w:t>
                  </w:r>
                  <w:r>
                    <w:rPr>
                      <w:rFonts w:hint="default"/>
                    </w:rPr>
                    <w:t>）</w:t>
                  </w:r>
                </w:p>
              </w:tc>
              <w:tc>
                <w:tcPr>
                  <w:tcW w:w="539" w:type="pct"/>
                  <w:vMerge w:val="restart"/>
                  <w:noWrap w:val="0"/>
                  <w:vAlign w:val="center"/>
                </w:tcPr>
                <w:p w14:paraId="42960D5A">
                  <w:pPr>
                    <w:pStyle w:val="5"/>
                    <w:rPr>
                      <w:rFonts w:hint="eastAsia"/>
                      <w:lang w:val="en-US" w:eastAsia="zh-CN"/>
                    </w:rPr>
                  </w:pPr>
                  <w:r>
                    <w:rPr>
                      <w:rFonts w:hint="eastAsia"/>
                      <w:lang w:val="en-US" w:eastAsia="zh-CN"/>
                    </w:rPr>
                    <w:t>标准限制</w:t>
                  </w:r>
                </w:p>
                <w:p w14:paraId="694FF747">
                  <w:pPr>
                    <w:pStyle w:val="5"/>
                    <w:rPr>
                      <w:rFonts w:hint="default" w:eastAsia="宋体"/>
                      <w:lang w:val="en-US" w:eastAsia="zh-CN"/>
                    </w:rPr>
                  </w:pPr>
                  <w:r>
                    <w:rPr>
                      <w:rFonts w:hint="eastAsia"/>
                      <w:lang w:val="en-US" w:eastAsia="zh-CN"/>
                    </w:rPr>
                    <w:t>（</w:t>
                  </w:r>
                  <w:r>
                    <w:rPr>
                      <w:rFonts w:hint="default"/>
                      <w:lang w:val="en-US" w:eastAsia="zh-CN"/>
                    </w:rPr>
                    <w:t>μ</w:t>
                  </w:r>
                  <w:r>
                    <w:rPr>
                      <w:rFonts w:hint="default"/>
                    </w:rPr>
                    <w:t>g/m</w:t>
                  </w:r>
                  <w:r>
                    <w:rPr>
                      <w:rFonts w:hint="default"/>
                      <w:vertAlign w:val="superscript"/>
                    </w:rPr>
                    <w:t>3</w:t>
                  </w:r>
                  <w:r>
                    <w:rPr>
                      <w:rFonts w:hint="eastAsia"/>
                      <w:lang w:val="en-US" w:eastAsia="zh-CN"/>
                    </w:rPr>
                    <w:t>）</w:t>
                  </w:r>
                </w:p>
              </w:tc>
              <w:tc>
                <w:tcPr>
                  <w:tcW w:w="456" w:type="pct"/>
                  <w:vMerge w:val="restart"/>
                  <w:noWrap w:val="0"/>
                  <w:vAlign w:val="center"/>
                </w:tcPr>
                <w:p w14:paraId="14ADAB35">
                  <w:pPr>
                    <w:pStyle w:val="5"/>
                    <w:rPr>
                      <w:rFonts w:hint="eastAsia"/>
                      <w:lang w:val="en-US" w:eastAsia="zh-CN"/>
                    </w:rPr>
                  </w:pPr>
                  <w:r>
                    <w:rPr>
                      <w:rFonts w:hint="eastAsia"/>
                      <w:lang w:val="en-US" w:eastAsia="zh-CN"/>
                    </w:rPr>
                    <w:t>占标率</w:t>
                  </w:r>
                </w:p>
                <w:p w14:paraId="0C44BE35">
                  <w:pPr>
                    <w:pStyle w:val="5"/>
                    <w:rPr>
                      <w:rFonts w:hint="default" w:eastAsia="宋体"/>
                      <w:lang w:val="en-US" w:eastAsia="zh-CN"/>
                    </w:rPr>
                  </w:pPr>
                  <w:r>
                    <w:rPr>
                      <w:rFonts w:hint="eastAsia"/>
                      <w:lang w:val="en-US" w:eastAsia="zh-CN"/>
                    </w:rPr>
                    <w:t>（%）</w:t>
                  </w:r>
                </w:p>
              </w:tc>
              <w:tc>
                <w:tcPr>
                  <w:tcW w:w="675" w:type="pct"/>
                  <w:vMerge w:val="restart"/>
                  <w:noWrap w:val="0"/>
                  <w:vAlign w:val="center"/>
                </w:tcPr>
                <w:p w14:paraId="1F0842F1">
                  <w:pPr>
                    <w:pStyle w:val="5"/>
                    <w:rPr>
                      <w:rFonts w:hint="eastAsia"/>
                      <w:lang w:val="en-US" w:eastAsia="zh-CN"/>
                    </w:rPr>
                  </w:pPr>
                  <w:r>
                    <w:rPr>
                      <w:rFonts w:hint="eastAsia"/>
                      <w:lang w:val="en-US" w:eastAsia="zh-CN"/>
                    </w:rPr>
                    <w:t>达标情况</w:t>
                  </w:r>
                </w:p>
                <w:p w14:paraId="38ECC608">
                  <w:pPr>
                    <w:pStyle w:val="5"/>
                    <w:rPr>
                      <w:rFonts w:hint="eastAsia" w:eastAsia="宋体"/>
                      <w:lang w:val="en-US" w:eastAsia="zh-CN"/>
                    </w:rPr>
                  </w:pPr>
                  <w:r>
                    <w:rPr>
                      <w:rFonts w:hint="eastAsia"/>
                      <w:lang w:val="en-US" w:eastAsia="zh-CN"/>
                    </w:rPr>
                    <w:t>（%）</w:t>
                  </w:r>
                </w:p>
              </w:tc>
            </w:tr>
            <w:tr w14:paraId="4E633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16" w:type="pct"/>
                  <w:vMerge w:val="restart"/>
                  <w:noWrap w:val="0"/>
                  <w:vAlign w:val="center"/>
                </w:tcPr>
                <w:p w14:paraId="376FCA4C">
                  <w:pPr>
                    <w:pStyle w:val="5"/>
                    <w:keepNext w:val="0"/>
                    <w:keepLines w:val="0"/>
                    <w:pageBreakBefore w:val="0"/>
                    <w:widowControl w:val="0"/>
                    <w:kinsoku/>
                    <w:wordWrap/>
                    <w:overflowPunct/>
                    <w:topLinePunct w:val="0"/>
                    <w:autoSpaceDE/>
                    <w:autoSpaceDN/>
                    <w:bidi w:val="0"/>
                    <w:adjustRightInd w:val="0"/>
                    <w:snapToGrid w:val="0"/>
                    <w:ind w:left="0" w:leftChars="0" w:right="0" w:rightChars="0" w:firstLineChars="0"/>
                    <w:jc w:val="center"/>
                    <w:textAlignment w:val="auto"/>
                    <w:rPr>
                      <w:rFonts w:hint="eastAsia"/>
                      <w:color w:val="auto"/>
                      <w:lang w:val="en-US" w:eastAsia="zh-CN"/>
                    </w:rPr>
                  </w:pPr>
                  <w:r>
                    <w:rPr>
                      <w:rFonts w:hint="eastAsia"/>
                      <w:color w:val="auto"/>
                    </w:rPr>
                    <w:t>1</w:t>
                  </w:r>
                  <w:r>
                    <w:rPr>
                      <w:rFonts w:hint="eastAsia"/>
                      <w:color w:val="auto"/>
                      <w:lang w:val="en-US" w:eastAsia="zh-CN"/>
                    </w:rPr>
                    <w:t>#项目厂房下风向处</w:t>
                  </w:r>
                </w:p>
                <w:p w14:paraId="4BE6C7A3">
                  <w:pPr>
                    <w:pStyle w:val="5"/>
                    <w:keepNext w:val="0"/>
                    <w:keepLines w:val="0"/>
                    <w:pageBreakBefore w:val="0"/>
                    <w:widowControl w:val="0"/>
                    <w:kinsoku/>
                    <w:wordWrap/>
                    <w:overflowPunct/>
                    <w:topLinePunct w:val="0"/>
                    <w:autoSpaceDE/>
                    <w:autoSpaceDN/>
                    <w:bidi w:val="0"/>
                    <w:adjustRightInd w:val="0"/>
                    <w:snapToGrid w:val="0"/>
                    <w:ind w:left="0" w:leftChars="0" w:right="0" w:rightChars="0" w:firstLineChars="0"/>
                    <w:jc w:val="center"/>
                    <w:textAlignment w:val="auto"/>
                    <w:rPr>
                      <w:rFonts w:hint="default"/>
                      <w:lang w:val="en-US" w:eastAsia="zh-CN"/>
                    </w:rPr>
                  </w:pPr>
                  <w:r>
                    <w:rPr>
                      <w:rFonts w:hint="eastAsia"/>
                      <w:lang w:val="en-US" w:eastAsia="zh-CN"/>
                    </w:rPr>
                    <w:t>（101.620204</w:t>
                  </w:r>
                  <w:r>
                    <w:rPr>
                      <w:rFonts w:hint="default"/>
                      <w:lang w:val="en-US" w:eastAsia="zh-CN"/>
                    </w:rPr>
                    <w:t>°E</w:t>
                  </w:r>
                  <w:r>
                    <w:rPr>
                      <w:rFonts w:hint="eastAsia"/>
                      <w:lang w:val="en-US" w:eastAsia="zh-CN"/>
                    </w:rPr>
                    <w:t>，26.595230</w:t>
                  </w:r>
                  <w:r>
                    <w:rPr>
                      <w:rFonts w:hint="default"/>
                      <w:lang w:val="en-US" w:eastAsia="zh-CN"/>
                    </w:rPr>
                    <w:t>°N</w:t>
                  </w:r>
                  <w:r>
                    <w:rPr>
                      <w:rFonts w:hint="eastAsia"/>
                      <w:lang w:val="en-US" w:eastAsia="zh-CN"/>
                    </w:rPr>
                    <w:t>）</w:t>
                  </w:r>
                </w:p>
              </w:tc>
              <w:tc>
                <w:tcPr>
                  <w:tcW w:w="1377" w:type="pct"/>
                  <w:noWrap w:val="0"/>
                  <w:vAlign w:val="center"/>
                </w:tcPr>
                <w:p w14:paraId="6F88CD91">
                  <w:pPr>
                    <w:pStyle w:val="5"/>
                    <w:snapToGrid w:val="0"/>
                    <w:jc w:val="center"/>
                    <w:rPr>
                      <w:rFonts w:hint="default"/>
                      <w:lang w:val="en-US" w:eastAsia="zh-CN"/>
                    </w:rPr>
                  </w:pPr>
                  <w:r>
                    <w:rPr>
                      <w:rFonts w:hint="eastAsia"/>
                      <w:lang w:eastAsia="zh-CN"/>
                    </w:rPr>
                    <w:t>2025年</w:t>
                  </w:r>
                  <w:r>
                    <w:rPr>
                      <w:rFonts w:hint="eastAsia"/>
                      <w:lang w:val="en-US" w:eastAsia="zh-CN"/>
                    </w:rPr>
                    <w:t>11月11日16</w:t>
                  </w:r>
                  <w:r>
                    <w:rPr>
                      <w:rFonts w:hint="default"/>
                      <w:lang w:val="en-US" w:eastAsia="zh-CN"/>
                    </w:rPr>
                    <w:t>:</w:t>
                  </w:r>
                  <w:r>
                    <w:rPr>
                      <w:rFonts w:hint="eastAsia"/>
                      <w:lang w:val="en-US" w:eastAsia="zh-CN"/>
                    </w:rPr>
                    <w:t>00~</w:t>
                  </w:r>
                  <w:r>
                    <w:rPr>
                      <w:rFonts w:hint="eastAsia"/>
                      <w:lang w:eastAsia="zh-CN"/>
                    </w:rPr>
                    <w:t>2025年</w:t>
                  </w:r>
                  <w:r>
                    <w:rPr>
                      <w:rFonts w:hint="eastAsia"/>
                      <w:lang w:val="en-US" w:eastAsia="zh-CN"/>
                    </w:rPr>
                    <w:t>11月11日24</w:t>
                  </w:r>
                  <w:r>
                    <w:rPr>
                      <w:rFonts w:hint="default"/>
                      <w:lang w:val="en-US" w:eastAsia="zh-CN"/>
                    </w:rPr>
                    <w:t>:</w:t>
                  </w:r>
                  <w:r>
                    <w:rPr>
                      <w:rFonts w:hint="eastAsia"/>
                      <w:lang w:val="en-US" w:eastAsia="zh-CN"/>
                    </w:rPr>
                    <w:t>00</w:t>
                  </w:r>
                </w:p>
              </w:tc>
              <w:tc>
                <w:tcPr>
                  <w:tcW w:w="653" w:type="pct"/>
                  <w:vMerge w:val="restart"/>
                  <w:shd w:val="clear" w:color="auto" w:fill="auto"/>
                  <w:noWrap w:val="0"/>
                  <w:vAlign w:val="center"/>
                </w:tcPr>
                <w:p w14:paraId="1187B2BF">
                  <w:pPr>
                    <w:pStyle w:val="5"/>
                    <w:keepNext w:val="0"/>
                    <w:keepLines w:val="0"/>
                    <w:pageBreakBefore w:val="0"/>
                    <w:kinsoku/>
                    <w:wordWrap/>
                    <w:topLinePunct w:val="0"/>
                    <w:autoSpaceDE/>
                    <w:autoSpaceDN/>
                    <w:bidi w:val="0"/>
                    <w:adjustRightInd w:val="0"/>
                    <w:snapToGrid w:val="0"/>
                    <w:ind w:left="0" w:leftChars="0" w:right="0" w:rightChars="0"/>
                    <w:jc w:val="center"/>
                    <w:textAlignment w:val="auto"/>
                    <w:rPr>
                      <w:rFonts w:hint="default"/>
                      <w:lang w:val="en-US" w:eastAsia="zh-CN"/>
                    </w:rPr>
                  </w:pPr>
                  <w:r>
                    <w:rPr>
                      <w:rFonts w:hint="default"/>
                      <w:lang w:val="en-US" w:eastAsia="zh-CN"/>
                    </w:rPr>
                    <w:t>TVOC</w:t>
                  </w:r>
                  <w:r>
                    <w:rPr>
                      <w:rFonts w:hint="eastAsia"/>
                      <w:lang w:val="en-US" w:eastAsia="zh-CN"/>
                    </w:rPr>
                    <w:t>（8小时均值）</w:t>
                  </w:r>
                </w:p>
              </w:tc>
              <w:tc>
                <w:tcPr>
                  <w:tcW w:w="480" w:type="pct"/>
                  <w:noWrap w:val="0"/>
                  <w:vAlign w:val="center"/>
                </w:tcPr>
                <w:p w14:paraId="4A9B8169">
                  <w:pPr>
                    <w:pStyle w:val="5"/>
                    <w:keepNext w:val="0"/>
                    <w:keepLines w:val="0"/>
                    <w:pageBreakBefore w:val="0"/>
                    <w:kinsoku/>
                    <w:wordWrap/>
                    <w:topLinePunct w:val="0"/>
                    <w:autoSpaceDE/>
                    <w:autoSpaceDN/>
                    <w:bidi w:val="0"/>
                    <w:adjustRightInd w:val="0"/>
                    <w:snapToGrid w:val="0"/>
                    <w:ind w:left="0" w:leftChars="0" w:right="0" w:rightChars="0" w:firstLine="0" w:firstLineChars="0"/>
                    <w:jc w:val="center"/>
                    <w:textAlignment w:val="auto"/>
                    <w:rPr>
                      <w:rFonts w:hint="eastAsia"/>
                      <w:lang w:val="en-US" w:eastAsia="zh-CN"/>
                    </w:rPr>
                  </w:pPr>
                  <w:r>
                    <w:rPr>
                      <w:rFonts w:hint="eastAsia"/>
                      <w:lang w:val="en-US" w:eastAsia="zh-CN"/>
                    </w:rPr>
                    <w:t>1.7</w:t>
                  </w:r>
                </w:p>
              </w:tc>
              <w:tc>
                <w:tcPr>
                  <w:tcW w:w="539" w:type="pct"/>
                  <w:vMerge w:val="restart"/>
                  <w:noWrap w:val="0"/>
                  <w:vAlign w:val="center"/>
                </w:tcPr>
                <w:p w14:paraId="595CAB0F">
                  <w:pPr>
                    <w:pStyle w:val="5"/>
                    <w:rPr>
                      <w:rFonts w:hint="default"/>
                      <w:lang w:val="en-US" w:eastAsia="zh-CN"/>
                    </w:rPr>
                  </w:pPr>
                  <w:r>
                    <w:rPr>
                      <w:rFonts w:hint="eastAsia"/>
                      <w:lang w:val="en-US" w:eastAsia="zh-CN"/>
                    </w:rPr>
                    <w:t>600</w:t>
                  </w:r>
                </w:p>
              </w:tc>
              <w:tc>
                <w:tcPr>
                  <w:tcW w:w="456" w:type="pct"/>
                  <w:noWrap w:val="0"/>
                  <w:vAlign w:val="center"/>
                </w:tcPr>
                <w:p w14:paraId="17B048D1">
                  <w:pPr>
                    <w:pStyle w:val="5"/>
                    <w:rPr>
                      <w:rFonts w:hint="default"/>
                      <w:lang w:val="en-US" w:eastAsia="zh-CN"/>
                    </w:rPr>
                  </w:pPr>
                  <w:r>
                    <w:rPr>
                      <w:rFonts w:hint="eastAsia"/>
                      <w:lang w:val="en-US" w:eastAsia="zh-CN"/>
                    </w:rPr>
                    <w:t>0.28</w:t>
                  </w:r>
                </w:p>
              </w:tc>
              <w:tc>
                <w:tcPr>
                  <w:tcW w:w="675" w:type="pct"/>
                  <w:noWrap w:val="0"/>
                  <w:vAlign w:val="center"/>
                </w:tcPr>
                <w:p w14:paraId="4C0BADDA">
                  <w:pPr>
                    <w:pStyle w:val="5"/>
                    <w:rPr>
                      <w:rFonts w:hint="default"/>
                      <w:lang w:val="en-US" w:eastAsia="zh-CN"/>
                    </w:rPr>
                  </w:pPr>
                  <w:r>
                    <w:rPr>
                      <w:rFonts w:hint="eastAsia"/>
                      <w:lang w:val="en-US" w:eastAsia="zh-CN"/>
                    </w:rPr>
                    <w:t>达标</w:t>
                  </w:r>
                </w:p>
              </w:tc>
            </w:tr>
            <w:tr w14:paraId="3C06D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16" w:type="pct"/>
                  <w:vMerge w:val="continue"/>
                  <w:noWrap w:val="0"/>
                  <w:vAlign w:val="center"/>
                </w:tcPr>
                <w:p w14:paraId="2A18726E">
                  <w:pPr>
                    <w:pStyle w:val="5"/>
                    <w:keepNext w:val="0"/>
                    <w:keepLines w:val="0"/>
                    <w:pageBreakBefore w:val="0"/>
                    <w:widowControl w:val="0"/>
                    <w:kinsoku/>
                    <w:wordWrap/>
                    <w:overflowPunct/>
                    <w:topLinePunct w:val="0"/>
                    <w:autoSpaceDE/>
                    <w:autoSpaceDN/>
                    <w:bidi w:val="0"/>
                    <w:adjustRightInd w:val="0"/>
                    <w:snapToGrid w:val="0"/>
                    <w:ind w:left="0" w:leftChars="0" w:right="0" w:rightChars="0" w:firstLineChars="0"/>
                    <w:jc w:val="center"/>
                    <w:textAlignment w:val="auto"/>
                    <w:rPr>
                      <w:rFonts w:hint="default"/>
                      <w:lang w:val="en-US" w:eastAsia="zh-CN"/>
                    </w:rPr>
                  </w:pPr>
                </w:p>
              </w:tc>
              <w:tc>
                <w:tcPr>
                  <w:tcW w:w="1377" w:type="pct"/>
                  <w:noWrap w:val="0"/>
                  <w:vAlign w:val="center"/>
                </w:tcPr>
                <w:p w14:paraId="212415AB">
                  <w:pPr>
                    <w:pStyle w:val="5"/>
                    <w:snapToGrid w:val="0"/>
                    <w:jc w:val="center"/>
                    <w:rPr>
                      <w:rFonts w:hint="default"/>
                      <w:lang w:val="en-US" w:eastAsia="zh-CN"/>
                    </w:rPr>
                  </w:pPr>
                  <w:r>
                    <w:rPr>
                      <w:rFonts w:hint="eastAsia"/>
                      <w:lang w:eastAsia="zh-CN"/>
                    </w:rPr>
                    <w:t>2025年</w:t>
                  </w:r>
                  <w:r>
                    <w:rPr>
                      <w:rFonts w:hint="eastAsia"/>
                      <w:lang w:val="en-US" w:eastAsia="zh-CN"/>
                    </w:rPr>
                    <w:t>11月12日09</w:t>
                  </w:r>
                  <w:r>
                    <w:rPr>
                      <w:rFonts w:hint="default"/>
                      <w:lang w:val="en-US" w:eastAsia="zh-CN"/>
                    </w:rPr>
                    <w:t>:</w:t>
                  </w:r>
                  <w:r>
                    <w:rPr>
                      <w:rFonts w:hint="eastAsia"/>
                      <w:lang w:val="en-US" w:eastAsia="zh-CN"/>
                    </w:rPr>
                    <w:t>00~</w:t>
                  </w:r>
                  <w:r>
                    <w:rPr>
                      <w:rFonts w:hint="eastAsia"/>
                      <w:lang w:eastAsia="zh-CN"/>
                    </w:rPr>
                    <w:t>2025年</w:t>
                  </w:r>
                  <w:r>
                    <w:rPr>
                      <w:rFonts w:hint="eastAsia"/>
                      <w:lang w:val="en-US" w:eastAsia="zh-CN"/>
                    </w:rPr>
                    <w:t>11月12日17</w:t>
                  </w:r>
                  <w:r>
                    <w:rPr>
                      <w:rFonts w:hint="default"/>
                      <w:lang w:val="en-US" w:eastAsia="zh-CN"/>
                    </w:rPr>
                    <w:t>:</w:t>
                  </w:r>
                  <w:r>
                    <w:rPr>
                      <w:rFonts w:hint="eastAsia"/>
                      <w:lang w:val="en-US" w:eastAsia="zh-CN"/>
                    </w:rPr>
                    <w:t>00</w:t>
                  </w:r>
                </w:p>
              </w:tc>
              <w:tc>
                <w:tcPr>
                  <w:tcW w:w="653" w:type="pct"/>
                  <w:vMerge w:val="continue"/>
                  <w:noWrap w:val="0"/>
                  <w:vAlign w:val="center"/>
                </w:tcPr>
                <w:p w14:paraId="74B37854">
                  <w:pPr>
                    <w:pStyle w:val="5"/>
                    <w:keepNext w:val="0"/>
                    <w:keepLines w:val="0"/>
                    <w:pageBreakBefore w:val="0"/>
                    <w:kinsoku/>
                    <w:wordWrap/>
                    <w:topLinePunct w:val="0"/>
                    <w:autoSpaceDE/>
                    <w:autoSpaceDN/>
                    <w:bidi w:val="0"/>
                    <w:adjustRightInd w:val="0"/>
                    <w:snapToGrid w:val="0"/>
                    <w:ind w:left="0" w:leftChars="0" w:right="0" w:rightChars="0"/>
                    <w:jc w:val="center"/>
                    <w:textAlignment w:val="auto"/>
                    <w:rPr>
                      <w:rFonts w:hint="default"/>
                      <w:lang w:val="en-US" w:eastAsia="zh-CN"/>
                    </w:rPr>
                  </w:pPr>
                </w:p>
              </w:tc>
              <w:tc>
                <w:tcPr>
                  <w:tcW w:w="480" w:type="pct"/>
                  <w:noWrap w:val="0"/>
                  <w:vAlign w:val="center"/>
                </w:tcPr>
                <w:p w14:paraId="4C59F211">
                  <w:pPr>
                    <w:pStyle w:val="5"/>
                    <w:keepNext w:val="0"/>
                    <w:keepLines w:val="0"/>
                    <w:pageBreakBefore w:val="0"/>
                    <w:kinsoku/>
                    <w:wordWrap/>
                    <w:topLinePunct w:val="0"/>
                    <w:autoSpaceDE/>
                    <w:autoSpaceDN/>
                    <w:bidi w:val="0"/>
                    <w:adjustRightInd w:val="0"/>
                    <w:snapToGrid w:val="0"/>
                    <w:ind w:left="0" w:leftChars="0" w:right="0" w:rightChars="0" w:firstLine="0" w:firstLineChars="0"/>
                    <w:jc w:val="center"/>
                    <w:textAlignment w:val="auto"/>
                    <w:rPr>
                      <w:rFonts w:hint="eastAsia"/>
                      <w:lang w:val="en-US" w:eastAsia="zh-CN"/>
                    </w:rPr>
                  </w:pPr>
                  <w:r>
                    <w:rPr>
                      <w:rFonts w:hint="eastAsia"/>
                      <w:lang w:val="en-US" w:eastAsia="zh-CN"/>
                    </w:rPr>
                    <w:t>2.3</w:t>
                  </w:r>
                </w:p>
              </w:tc>
              <w:tc>
                <w:tcPr>
                  <w:tcW w:w="539" w:type="pct"/>
                  <w:vMerge w:val="continue"/>
                  <w:noWrap w:val="0"/>
                  <w:vAlign w:val="center"/>
                </w:tcPr>
                <w:p w14:paraId="0FDBD5A8">
                  <w:pPr>
                    <w:pStyle w:val="5"/>
                    <w:rPr>
                      <w:rFonts w:hint="eastAsia"/>
                      <w:lang w:val="en-US" w:eastAsia="zh-CN"/>
                    </w:rPr>
                  </w:pPr>
                </w:p>
              </w:tc>
              <w:tc>
                <w:tcPr>
                  <w:tcW w:w="456" w:type="pct"/>
                  <w:noWrap w:val="0"/>
                  <w:vAlign w:val="center"/>
                </w:tcPr>
                <w:p w14:paraId="7FEBD9DB">
                  <w:pPr>
                    <w:pStyle w:val="5"/>
                    <w:rPr>
                      <w:rFonts w:hint="default"/>
                      <w:lang w:val="en-US" w:eastAsia="zh-CN"/>
                    </w:rPr>
                  </w:pPr>
                  <w:r>
                    <w:rPr>
                      <w:rFonts w:hint="eastAsia"/>
                      <w:lang w:val="en-US" w:eastAsia="zh-CN"/>
                    </w:rPr>
                    <w:t>0.38</w:t>
                  </w:r>
                </w:p>
              </w:tc>
              <w:tc>
                <w:tcPr>
                  <w:tcW w:w="675" w:type="pct"/>
                  <w:noWrap w:val="0"/>
                  <w:vAlign w:val="center"/>
                </w:tcPr>
                <w:p w14:paraId="132ED9A0">
                  <w:pPr>
                    <w:pStyle w:val="5"/>
                    <w:rPr>
                      <w:rFonts w:hint="default"/>
                      <w:lang w:val="en-US" w:eastAsia="zh-CN"/>
                    </w:rPr>
                  </w:pPr>
                  <w:r>
                    <w:rPr>
                      <w:rFonts w:hint="eastAsia"/>
                      <w:lang w:val="en-US" w:eastAsia="zh-CN"/>
                    </w:rPr>
                    <w:t>达标</w:t>
                  </w:r>
                </w:p>
              </w:tc>
            </w:tr>
            <w:tr w14:paraId="23DD5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16" w:type="pct"/>
                  <w:vMerge w:val="continue"/>
                  <w:noWrap w:val="0"/>
                  <w:vAlign w:val="center"/>
                </w:tcPr>
                <w:p w14:paraId="106CDCD4">
                  <w:pPr>
                    <w:pStyle w:val="5"/>
                    <w:keepNext w:val="0"/>
                    <w:keepLines w:val="0"/>
                    <w:pageBreakBefore w:val="0"/>
                    <w:widowControl w:val="0"/>
                    <w:kinsoku/>
                    <w:wordWrap/>
                    <w:overflowPunct/>
                    <w:topLinePunct w:val="0"/>
                    <w:autoSpaceDE/>
                    <w:autoSpaceDN/>
                    <w:bidi w:val="0"/>
                    <w:adjustRightInd w:val="0"/>
                    <w:snapToGrid w:val="0"/>
                    <w:ind w:left="0" w:leftChars="0" w:right="0" w:rightChars="0" w:firstLineChars="0"/>
                    <w:jc w:val="center"/>
                    <w:textAlignment w:val="auto"/>
                    <w:rPr>
                      <w:rFonts w:hint="default"/>
                      <w:lang w:val="en-US" w:eastAsia="zh-CN"/>
                    </w:rPr>
                  </w:pPr>
                </w:p>
              </w:tc>
              <w:tc>
                <w:tcPr>
                  <w:tcW w:w="1377" w:type="pct"/>
                  <w:noWrap w:val="0"/>
                  <w:vAlign w:val="center"/>
                </w:tcPr>
                <w:p w14:paraId="01214E24">
                  <w:pPr>
                    <w:pStyle w:val="5"/>
                    <w:snapToGrid w:val="0"/>
                    <w:jc w:val="center"/>
                    <w:rPr>
                      <w:rFonts w:hint="default"/>
                      <w:lang w:val="en-US" w:eastAsia="zh-CN"/>
                    </w:rPr>
                  </w:pPr>
                  <w:r>
                    <w:rPr>
                      <w:rFonts w:hint="eastAsia"/>
                      <w:lang w:eastAsia="zh-CN"/>
                    </w:rPr>
                    <w:t>2025年</w:t>
                  </w:r>
                  <w:r>
                    <w:rPr>
                      <w:rFonts w:hint="eastAsia"/>
                      <w:lang w:val="en-US" w:eastAsia="zh-CN"/>
                    </w:rPr>
                    <w:t>11月13日09</w:t>
                  </w:r>
                  <w:r>
                    <w:rPr>
                      <w:rFonts w:hint="default"/>
                      <w:lang w:val="en-US" w:eastAsia="zh-CN"/>
                    </w:rPr>
                    <w:t>:</w:t>
                  </w:r>
                  <w:r>
                    <w:rPr>
                      <w:rFonts w:hint="eastAsia"/>
                      <w:lang w:val="en-US" w:eastAsia="zh-CN"/>
                    </w:rPr>
                    <w:t>00~</w:t>
                  </w:r>
                  <w:r>
                    <w:rPr>
                      <w:rFonts w:hint="eastAsia"/>
                      <w:lang w:eastAsia="zh-CN"/>
                    </w:rPr>
                    <w:t>2025年</w:t>
                  </w:r>
                  <w:r>
                    <w:rPr>
                      <w:rFonts w:hint="eastAsia"/>
                      <w:lang w:val="en-US" w:eastAsia="zh-CN"/>
                    </w:rPr>
                    <w:t>11月13日17</w:t>
                  </w:r>
                  <w:r>
                    <w:rPr>
                      <w:rFonts w:hint="default"/>
                      <w:lang w:val="en-US" w:eastAsia="zh-CN"/>
                    </w:rPr>
                    <w:t>:</w:t>
                  </w:r>
                  <w:r>
                    <w:rPr>
                      <w:rFonts w:hint="eastAsia"/>
                      <w:lang w:val="en-US" w:eastAsia="zh-CN"/>
                    </w:rPr>
                    <w:t>00</w:t>
                  </w:r>
                </w:p>
              </w:tc>
              <w:tc>
                <w:tcPr>
                  <w:tcW w:w="653" w:type="pct"/>
                  <w:vMerge w:val="continue"/>
                  <w:noWrap w:val="0"/>
                  <w:vAlign w:val="center"/>
                </w:tcPr>
                <w:p w14:paraId="475978C3">
                  <w:pPr>
                    <w:pStyle w:val="5"/>
                    <w:keepNext w:val="0"/>
                    <w:keepLines w:val="0"/>
                    <w:pageBreakBefore w:val="0"/>
                    <w:kinsoku/>
                    <w:wordWrap/>
                    <w:topLinePunct w:val="0"/>
                    <w:autoSpaceDE/>
                    <w:autoSpaceDN/>
                    <w:bidi w:val="0"/>
                    <w:adjustRightInd w:val="0"/>
                    <w:snapToGrid w:val="0"/>
                    <w:ind w:left="0" w:leftChars="0" w:right="0" w:rightChars="0"/>
                    <w:jc w:val="center"/>
                    <w:textAlignment w:val="auto"/>
                    <w:rPr>
                      <w:rFonts w:hint="default"/>
                      <w:lang w:val="en-US" w:eastAsia="zh-CN"/>
                    </w:rPr>
                  </w:pPr>
                </w:p>
              </w:tc>
              <w:tc>
                <w:tcPr>
                  <w:tcW w:w="480" w:type="pct"/>
                  <w:noWrap w:val="0"/>
                  <w:vAlign w:val="center"/>
                </w:tcPr>
                <w:p w14:paraId="242EA2A9">
                  <w:pPr>
                    <w:pStyle w:val="5"/>
                    <w:keepNext w:val="0"/>
                    <w:keepLines w:val="0"/>
                    <w:pageBreakBefore w:val="0"/>
                    <w:kinsoku/>
                    <w:wordWrap/>
                    <w:topLinePunct w:val="0"/>
                    <w:autoSpaceDE/>
                    <w:autoSpaceDN/>
                    <w:bidi w:val="0"/>
                    <w:adjustRightInd w:val="0"/>
                    <w:snapToGrid w:val="0"/>
                    <w:ind w:left="0" w:leftChars="0" w:right="0" w:rightChars="0" w:firstLine="0" w:firstLineChars="0"/>
                    <w:jc w:val="center"/>
                    <w:textAlignment w:val="auto"/>
                    <w:rPr>
                      <w:rFonts w:hint="eastAsia"/>
                      <w:lang w:val="en-US" w:eastAsia="zh-CN"/>
                    </w:rPr>
                  </w:pPr>
                  <w:r>
                    <w:rPr>
                      <w:rFonts w:hint="eastAsia"/>
                      <w:lang w:val="en-US" w:eastAsia="zh-CN"/>
                    </w:rPr>
                    <w:t>1.7</w:t>
                  </w:r>
                </w:p>
              </w:tc>
              <w:tc>
                <w:tcPr>
                  <w:tcW w:w="539" w:type="pct"/>
                  <w:vMerge w:val="continue"/>
                  <w:noWrap w:val="0"/>
                  <w:vAlign w:val="center"/>
                </w:tcPr>
                <w:p w14:paraId="6750F826">
                  <w:pPr>
                    <w:pStyle w:val="5"/>
                    <w:rPr>
                      <w:rFonts w:hint="eastAsia"/>
                      <w:lang w:val="en-US" w:eastAsia="zh-CN"/>
                    </w:rPr>
                  </w:pPr>
                </w:p>
              </w:tc>
              <w:tc>
                <w:tcPr>
                  <w:tcW w:w="456" w:type="pct"/>
                  <w:noWrap w:val="0"/>
                  <w:vAlign w:val="center"/>
                </w:tcPr>
                <w:p w14:paraId="6491F21B">
                  <w:pPr>
                    <w:pStyle w:val="5"/>
                    <w:rPr>
                      <w:rFonts w:hint="default"/>
                      <w:lang w:val="en-US" w:eastAsia="zh-CN"/>
                    </w:rPr>
                  </w:pPr>
                  <w:r>
                    <w:rPr>
                      <w:rFonts w:hint="eastAsia"/>
                      <w:lang w:val="en-US" w:eastAsia="zh-CN"/>
                    </w:rPr>
                    <w:t>0.28</w:t>
                  </w:r>
                </w:p>
              </w:tc>
              <w:tc>
                <w:tcPr>
                  <w:tcW w:w="675" w:type="pct"/>
                  <w:noWrap w:val="0"/>
                  <w:vAlign w:val="center"/>
                </w:tcPr>
                <w:p w14:paraId="75D674DF">
                  <w:pPr>
                    <w:pStyle w:val="5"/>
                    <w:rPr>
                      <w:rFonts w:hint="default"/>
                      <w:lang w:val="en-US" w:eastAsia="zh-CN"/>
                    </w:rPr>
                  </w:pPr>
                  <w:r>
                    <w:rPr>
                      <w:rFonts w:hint="eastAsia"/>
                      <w:lang w:val="en-US" w:eastAsia="zh-CN"/>
                    </w:rPr>
                    <w:t>达标</w:t>
                  </w:r>
                </w:p>
              </w:tc>
            </w:tr>
          </w:tbl>
          <w:p w14:paraId="541B61B6">
            <w:pPr>
              <w:pStyle w:val="38"/>
              <w:ind w:firstLine="480"/>
              <w:rPr>
                <w:color w:val="auto"/>
              </w:rPr>
            </w:pPr>
            <w:r>
              <w:rPr>
                <w:color w:val="auto"/>
              </w:rPr>
              <w:t>根据监测结果可知，</w:t>
            </w:r>
            <w:r>
              <w:rPr>
                <w:rFonts w:hint="eastAsia"/>
                <w:color w:val="auto"/>
              </w:rPr>
              <w:t>本</w:t>
            </w:r>
            <w:r>
              <w:rPr>
                <w:color w:val="auto"/>
              </w:rPr>
              <w:t>项目所在区域T</w:t>
            </w:r>
            <w:r>
              <w:rPr>
                <w:rFonts w:hint="eastAsia"/>
                <w:color w:val="auto"/>
              </w:rPr>
              <w:t>VOC</w:t>
            </w:r>
            <w:r>
              <w:rPr>
                <w:color w:val="auto"/>
              </w:rPr>
              <w:t>满足</w:t>
            </w:r>
            <w:r>
              <w:rPr>
                <w:rFonts w:hint="eastAsia"/>
                <w:color w:val="auto"/>
              </w:rPr>
              <w:t>《环境影响评价技术导则 大气环境》（</w:t>
            </w:r>
            <w:r>
              <w:rPr>
                <w:color w:val="auto"/>
              </w:rPr>
              <w:t>HJ 2.2-2018</w:t>
            </w:r>
            <w:r>
              <w:rPr>
                <w:rFonts w:hint="eastAsia"/>
                <w:color w:val="auto"/>
              </w:rPr>
              <w:t>）附录</w:t>
            </w:r>
            <w:r>
              <w:rPr>
                <w:color w:val="auto"/>
              </w:rPr>
              <w:t>D</w:t>
            </w:r>
            <w:r>
              <w:rPr>
                <w:rFonts w:hint="eastAsia"/>
                <w:color w:val="auto"/>
              </w:rPr>
              <w:t>中浓度限值要求</w:t>
            </w:r>
            <w:r>
              <w:rPr>
                <w:color w:val="auto"/>
              </w:rPr>
              <w:t>。</w:t>
            </w:r>
          </w:p>
          <w:p w14:paraId="3980541E">
            <w:pPr>
              <w:bidi w:val="0"/>
              <w:rPr>
                <w:b/>
                <w:bCs/>
                <w:color w:val="auto"/>
              </w:rPr>
            </w:pPr>
            <w:r>
              <w:rPr>
                <w:b/>
                <w:bCs/>
                <w:color w:val="auto"/>
              </w:rPr>
              <w:t>2、地表水环境</w:t>
            </w:r>
          </w:p>
          <w:p w14:paraId="0CEEBAE7">
            <w:pPr>
              <w:pStyle w:val="29"/>
              <w:spacing w:after="0" w:line="360" w:lineRule="auto"/>
              <w:ind w:left="0" w:leftChars="0" w:firstLine="480"/>
            </w:pPr>
            <w:r>
              <w:rPr>
                <w:rFonts w:hint="eastAsia"/>
                <w:kern w:val="2"/>
                <w:szCs w:val="32"/>
              </w:rPr>
              <w:t>生活污水</w:t>
            </w:r>
            <w:r>
              <w:rPr>
                <w:rFonts w:hint="eastAsia"/>
                <w:kern w:val="2"/>
                <w:szCs w:val="32"/>
                <w:lang w:val="en-US" w:eastAsia="zh-CN"/>
              </w:rPr>
              <w:t>经园区已建的一体化污水处理设施处理，</w:t>
            </w:r>
            <w:r>
              <w:rPr>
                <w:color w:val="auto"/>
              </w:rPr>
              <w:t>达到《污水综合排放标准》（GB8978-1996）三级标准</w:t>
            </w:r>
            <w:r>
              <w:rPr>
                <w:rFonts w:hint="eastAsia"/>
                <w:kern w:val="2"/>
                <w:szCs w:val="32"/>
                <w:lang w:val="en-US" w:eastAsia="zh-CN"/>
              </w:rPr>
              <w:t>后，排入</w:t>
            </w:r>
            <w:r>
              <w:rPr>
                <w:rFonts w:hint="eastAsia"/>
                <w:kern w:val="2"/>
                <w:szCs w:val="32"/>
              </w:rPr>
              <w:t>园区</w:t>
            </w:r>
            <w:r>
              <w:rPr>
                <w:rFonts w:hint="eastAsia"/>
                <w:kern w:val="2"/>
                <w:szCs w:val="32"/>
                <w:lang w:val="en-US" w:eastAsia="zh-CN"/>
              </w:rPr>
              <w:t>市政污水管网，输送至</w:t>
            </w:r>
            <w:r>
              <w:rPr>
                <w:rFonts w:hint="eastAsia"/>
                <w:color w:val="auto"/>
                <w:lang w:val="en-US" w:eastAsia="zh-CN"/>
              </w:rPr>
              <w:t>魏兴场镇污水处理厂处理后，达《城镇污水处理厂污染物排放标准》（GB18918—2002）一级A标准后，排入州河。</w:t>
            </w:r>
          </w:p>
          <w:p w14:paraId="6715A7B1">
            <w:pPr>
              <w:pStyle w:val="14"/>
              <w:spacing w:line="360" w:lineRule="auto"/>
              <w:ind w:firstLine="480" w:firstLineChars="200"/>
              <w:rPr>
                <w:rFonts w:hint="eastAsia" w:ascii="Times New Roman" w:hAnsi="Times New Roman"/>
                <w:sz w:val="24"/>
                <w:szCs w:val="24"/>
                <w:lang w:val="en-US" w:eastAsia="zh-CN"/>
              </w:rPr>
            </w:pPr>
            <w:r>
              <w:rPr>
                <w:rFonts w:ascii="Times New Roman" w:hAnsi="Times New Roman"/>
                <w:sz w:val="24"/>
                <w:szCs w:val="24"/>
              </w:rPr>
              <w:t>根据</w:t>
            </w:r>
            <w:r>
              <w:rPr>
                <w:rFonts w:hint="eastAsia" w:ascii="Times New Roman" w:hAnsi="Times New Roman"/>
                <w:sz w:val="24"/>
                <w:szCs w:val="24"/>
                <w:lang w:val="en-US" w:eastAsia="zh-CN"/>
              </w:rPr>
              <w:t>达州市发布的地表水水质月报</w:t>
            </w:r>
            <w:r>
              <w:rPr>
                <w:rFonts w:hint="eastAsia" w:ascii="Times New Roman" w:hAnsi="Times New Roman"/>
                <w:sz w:val="24"/>
                <w:szCs w:val="24"/>
                <w:lang w:eastAsia="zh-CN"/>
              </w:rPr>
              <w:t>，</w:t>
            </w:r>
            <w:r>
              <w:rPr>
                <w:rFonts w:hint="eastAsia" w:ascii="Times New Roman" w:hAnsi="Times New Roman"/>
                <w:sz w:val="24"/>
                <w:szCs w:val="24"/>
              </w:rPr>
              <w:t>2025年8月</w:t>
            </w:r>
            <w:r>
              <w:rPr>
                <w:rFonts w:hint="eastAsia" w:ascii="Times New Roman" w:hAnsi="Times New Roman"/>
                <w:sz w:val="24"/>
                <w:szCs w:val="24"/>
                <w:lang w:val="en-US" w:eastAsia="zh-CN"/>
              </w:rPr>
              <w:t>达州市</w:t>
            </w:r>
            <w:r>
              <w:rPr>
                <w:rFonts w:hint="eastAsia" w:ascii="Times New Roman" w:hAnsi="Times New Roman"/>
                <w:sz w:val="24"/>
                <w:szCs w:val="24"/>
              </w:rPr>
              <w:t>37个河流断面中，优（I~</w:t>
            </w:r>
            <w:r>
              <w:rPr>
                <w:rFonts w:hint="eastAsia" w:ascii="Times New Roman" w:hAnsi="Times New Roman"/>
                <w:sz w:val="24"/>
                <w:szCs w:val="24"/>
                <w:lang w:eastAsia="zh-CN"/>
              </w:rPr>
              <w:t>Ⅱ类</w:t>
            </w:r>
            <w:r>
              <w:rPr>
                <w:rFonts w:hint="eastAsia" w:ascii="Times New Roman" w:hAnsi="Times New Roman"/>
                <w:sz w:val="24"/>
                <w:szCs w:val="24"/>
              </w:rPr>
              <w:t>）、良（</w:t>
            </w:r>
            <w:r>
              <w:rPr>
                <w:rFonts w:hint="eastAsia" w:ascii="Times New Roman" w:hAnsi="Times New Roman"/>
                <w:sz w:val="24"/>
                <w:szCs w:val="24"/>
                <w:lang w:eastAsia="zh-CN"/>
              </w:rPr>
              <w:t>Ⅲ类</w:t>
            </w:r>
            <w:r>
              <w:rPr>
                <w:rFonts w:hint="eastAsia" w:ascii="Times New Roman" w:hAnsi="Times New Roman"/>
                <w:sz w:val="24"/>
                <w:szCs w:val="24"/>
              </w:rPr>
              <w:t>）水质断面36个，占比97.3%</w:t>
            </w:r>
            <w:r>
              <w:rPr>
                <w:rFonts w:hint="eastAsia" w:ascii="Times New Roman" w:hAnsi="Times New Roman"/>
                <w:sz w:val="24"/>
                <w:szCs w:val="24"/>
                <w:lang w:eastAsia="zh-CN"/>
              </w:rPr>
              <w:t>，</w:t>
            </w:r>
            <w:r>
              <w:rPr>
                <w:rFonts w:hint="eastAsia" w:ascii="Times New Roman" w:hAnsi="Times New Roman"/>
                <w:sz w:val="24"/>
                <w:szCs w:val="24"/>
              </w:rPr>
              <w:t>2025年7月全市37个河流断面中，优（I~</w:t>
            </w:r>
            <w:r>
              <w:rPr>
                <w:rFonts w:hint="eastAsia" w:ascii="Times New Roman" w:hAnsi="Times New Roman"/>
                <w:sz w:val="24"/>
                <w:szCs w:val="24"/>
                <w:lang w:eastAsia="zh-CN"/>
              </w:rPr>
              <w:t>Ⅱ类</w:t>
            </w:r>
            <w:r>
              <w:rPr>
                <w:rFonts w:hint="eastAsia" w:ascii="Times New Roman" w:hAnsi="Times New Roman"/>
                <w:sz w:val="24"/>
                <w:szCs w:val="24"/>
              </w:rPr>
              <w:t>）、良（</w:t>
            </w:r>
            <w:r>
              <w:rPr>
                <w:rFonts w:hint="eastAsia" w:ascii="Times New Roman" w:hAnsi="Times New Roman"/>
                <w:sz w:val="24"/>
                <w:szCs w:val="24"/>
                <w:lang w:eastAsia="zh-CN"/>
              </w:rPr>
              <w:t>Ⅲ类</w:t>
            </w:r>
            <w:r>
              <w:rPr>
                <w:rFonts w:hint="eastAsia" w:ascii="Times New Roman" w:hAnsi="Times New Roman"/>
                <w:sz w:val="24"/>
                <w:szCs w:val="24"/>
              </w:rPr>
              <w:t>）水质断面37个，占比100.0%</w:t>
            </w:r>
            <w:r>
              <w:rPr>
                <w:rFonts w:hint="eastAsia" w:ascii="Times New Roman" w:hAnsi="Times New Roman"/>
                <w:sz w:val="24"/>
                <w:szCs w:val="24"/>
                <w:lang w:eastAsia="zh-CN"/>
              </w:rPr>
              <w:t>；2025年6月全市37个河流断面中，优（I~Ⅱ类）、良（Ⅲ类）水质断面36个，占比97.3%。</w:t>
            </w:r>
            <w:r>
              <w:rPr>
                <w:rFonts w:hint="eastAsia" w:ascii="Times New Roman" w:hAnsi="Times New Roman"/>
                <w:sz w:val="24"/>
                <w:szCs w:val="24"/>
                <w:lang w:val="en-US" w:eastAsia="zh-CN"/>
              </w:rPr>
              <w:t>本项目所在地为达州市通川区，污水受纳水体为州河，地表水水质为Ⅱ或Ⅲ类，满足《地表水环境质量标准》（GB3838-2002）Ⅲ类标准。</w:t>
            </w:r>
          </w:p>
          <w:p w14:paraId="4A83B05B">
            <w:pPr>
              <w:pStyle w:val="14"/>
              <w:spacing w:line="360" w:lineRule="auto"/>
              <w:ind w:firstLine="480" w:firstLineChars="200"/>
              <w:rPr>
                <w:rFonts w:hint="eastAsia" w:ascii="Times New Roman" w:hAnsi="Times New Roman" w:eastAsiaTheme="minorEastAsia" w:cstheme="minorBidi"/>
                <w:kern w:val="2"/>
                <w:sz w:val="24"/>
                <w:szCs w:val="24"/>
                <w:lang w:val="en-US" w:eastAsia="zh-CN" w:bidi="ar-SA"/>
              </w:rPr>
            </w:pPr>
            <w:r>
              <w:rPr>
                <w:rFonts w:hint="eastAsia" w:ascii="Times New Roman" w:hAnsi="Times New Roman" w:eastAsiaTheme="minorEastAsia" w:cstheme="minorBidi"/>
                <w:kern w:val="2"/>
                <w:sz w:val="24"/>
                <w:szCs w:val="24"/>
                <w:lang w:val="en-US" w:eastAsia="zh-CN" w:bidi="ar-SA"/>
              </w:rPr>
              <w:t>综上，区域地表水质量均能达到《地表水环境质量标准》（</w:t>
            </w:r>
            <w:r>
              <w:rPr>
                <w:rFonts w:hint="default" w:ascii="Times New Roman" w:hAnsi="Times New Roman" w:cs="Times New Roman" w:eastAsiaTheme="minorEastAsia"/>
                <w:kern w:val="2"/>
                <w:sz w:val="24"/>
                <w:szCs w:val="24"/>
                <w:lang w:val="en-US" w:eastAsia="zh-CN" w:bidi="ar-SA"/>
              </w:rPr>
              <w:t>GB3838-2002）</w:t>
            </w:r>
            <w:r>
              <w:rPr>
                <w:rFonts w:hint="eastAsia" w:ascii="Times New Roman" w:hAnsi="Times New Roman" w:eastAsiaTheme="minorEastAsia" w:cstheme="minorBidi"/>
                <w:kern w:val="2"/>
                <w:sz w:val="24"/>
                <w:szCs w:val="24"/>
                <w:lang w:val="en-US" w:eastAsia="zh-CN" w:bidi="ar-SA"/>
              </w:rPr>
              <w:t>Ⅲ类水域标准。本项目所在区域地表水环境质量状况良好。</w:t>
            </w:r>
          </w:p>
          <w:p w14:paraId="609B99F2">
            <w:pPr>
              <w:bidi w:val="0"/>
              <w:rPr>
                <w:b/>
                <w:bCs/>
              </w:rPr>
            </w:pPr>
            <w:r>
              <w:rPr>
                <w:b/>
                <w:bCs/>
              </w:rPr>
              <w:t>3、声环境</w:t>
            </w:r>
          </w:p>
          <w:p w14:paraId="4C6DB394">
            <w:pPr>
              <w:bidi w:val="0"/>
            </w:pPr>
            <w:r>
              <w:t>本项目50m内不存在声环境保护目标，根据《建设项目环境影响报告表编制技术指南（污染影响类）》（试行），可不进行声环境质量监测。</w:t>
            </w:r>
          </w:p>
          <w:p w14:paraId="278F065D">
            <w:pPr>
              <w:bidi w:val="0"/>
              <w:rPr>
                <w:b/>
                <w:bCs/>
              </w:rPr>
            </w:pPr>
            <w:r>
              <w:rPr>
                <w:b/>
                <w:bCs/>
              </w:rPr>
              <w:t>4、生态环境</w:t>
            </w:r>
          </w:p>
          <w:p w14:paraId="34F3F035">
            <w:pPr>
              <w:bidi w:val="0"/>
            </w:pPr>
            <w:r>
              <w:rPr>
                <w:rFonts w:hint="eastAsia"/>
              </w:rPr>
              <w:t>本</w:t>
            </w:r>
            <w:r>
              <w:t>项目位于工业园区内，建设单位</w:t>
            </w:r>
            <w:r>
              <w:rPr>
                <w:rFonts w:hint="eastAsia"/>
              </w:rPr>
              <w:t>利用现有</w:t>
            </w:r>
            <w:r>
              <w:t>租赁厂房建设本项目，不新增用地，且项目周边无生态环境保护目标，因此可不进行生态现状调查。</w:t>
            </w:r>
          </w:p>
          <w:p w14:paraId="0D52F39B">
            <w:pPr>
              <w:bidi w:val="0"/>
              <w:rPr>
                <w:b/>
                <w:bCs/>
              </w:rPr>
            </w:pPr>
            <w:r>
              <w:rPr>
                <w:b/>
                <w:bCs/>
              </w:rPr>
              <w:t>5、电磁辐射</w:t>
            </w:r>
          </w:p>
          <w:p w14:paraId="42582653">
            <w:pPr>
              <w:bidi w:val="0"/>
            </w:pPr>
            <w:r>
              <w:t>本项目不涉及电磁辐射。</w:t>
            </w:r>
          </w:p>
          <w:p w14:paraId="4AC30DA7">
            <w:pPr>
              <w:bidi w:val="0"/>
              <w:rPr>
                <w:b/>
                <w:bCs/>
              </w:rPr>
            </w:pPr>
            <w:r>
              <w:rPr>
                <w:b/>
                <w:bCs/>
              </w:rPr>
              <w:t>6、地下水</w:t>
            </w:r>
            <w:r>
              <w:rPr>
                <w:rFonts w:hint="eastAsia"/>
                <w:b/>
                <w:bCs/>
              </w:rPr>
              <w:t>、土壤</w:t>
            </w:r>
            <w:r>
              <w:rPr>
                <w:b/>
                <w:bCs/>
              </w:rPr>
              <w:t>环境</w:t>
            </w:r>
          </w:p>
          <w:p w14:paraId="37EF8ECB">
            <w:pPr>
              <w:bidi w:val="0"/>
            </w:pPr>
            <w:r>
              <w:t>根据《建设项目环境影响报告表编制技术指南（污染影响类）（试行）》中要求，地下水、土壤环境原则上不开展环境质量现状调查。</w:t>
            </w:r>
          </w:p>
          <w:p w14:paraId="7C45D463">
            <w:pPr>
              <w:bidi w:val="0"/>
              <w:rPr>
                <w:bCs/>
                <w:color w:val="auto"/>
              </w:rPr>
            </w:pPr>
            <w:r>
              <w:t>本项目不存在明显的地下水及土壤污染途径，故不开展地下水、土壤环境质量现状评价。</w:t>
            </w:r>
          </w:p>
        </w:tc>
      </w:tr>
      <w:tr w14:paraId="0A92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5" w:type="dxa"/>
            <w:vAlign w:val="center"/>
          </w:tcPr>
          <w:p w14:paraId="301A7629">
            <w:pPr>
              <w:pStyle w:val="3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olor w:val="auto"/>
                <w:lang w:val="en-US" w:eastAsia="zh-CN"/>
              </w:rPr>
            </w:pPr>
            <w:r>
              <w:rPr>
                <w:rFonts w:hint="eastAsia"/>
                <w:color w:val="auto"/>
                <w:lang w:val="en-US" w:eastAsia="zh-CN"/>
              </w:rPr>
              <w:t>环境保护目标</w:t>
            </w:r>
          </w:p>
        </w:tc>
        <w:tc>
          <w:tcPr>
            <w:tcW w:w="9071" w:type="dxa"/>
          </w:tcPr>
          <w:p w14:paraId="1146EC15">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ascii="Times New Roman" w:hAnsi="Times New Roman" w:eastAsia="宋体" w:cs="Times New Roman"/>
                <w:b/>
                <w:bCs/>
                <w:color w:val="auto"/>
                <w:kern w:val="24"/>
                <w:sz w:val="24"/>
                <w:lang w:val="en-US" w:eastAsia="zh-CN" w:bidi="ar-SA"/>
              </w:rPr>
              <w:t>1、大气环境保护目标</w:t>
            </w:r>
          </w:p>
          <w:p w14:paraId="58D9A511">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根据调查，本项目500m范围内</w:t>
            </w:r>
            <w:r>
              <w:rPr>
                <w:rFonts w:hint="eastAsia" w:ascii="Times New Roman" w:hAnsi="Times New Roman" w:eastAsia="宋体" w:cs="Times New Roman"/>
                <w:color w:val="auto"/>
                <w:kern w:val="24"/>
                <w:sz w:val="24"/>
                <w:lang w:val="en-US" w:eastAsia="zh-CN" w:bidi="ar-SA"/>
              </w:rPr>
              <w:t>不涉及自然保护区、风景名胜区、文化区。</w:t>
            </w:r>
            <w:r>
              <w:rPr>
                <w:rFonts w:ascii="Times New Roman" w:hAnsi="Times New Roman" w:eastAsia="宋体" w:cs="Times New Roman"/>
                <w:color w:val="auto"/>
                <w:kern w:val="24"/>
                <w:sz w:val="24"/>
                <w:lang w:val="en-US" w:eastAsia="zh-CN" w:bidi="ar-SA"/>
              </w:rPr>
              <w:t>大气环境保护目标</w:t>
            </w:r>
            <w:r>
              <w:rPr>
                <w:rFonts w:hint="eastAsia" w:ascii="Times New Roman" w:hAnsi="Times New Roman" w:eastAsia="宋体" w:cs="Times New Roman"/>
                <w:color w:val="auto"/>
                <w:kern w:val="24"/>
                <w:sz w:val="24"/>
                <w:lang w:val="en-US" w:eastAsia="zh-CN" w:bidi="ar-SA"/>
              </w:rPr>
              <w:t>涉及居民，具体位置关系见</w:t>
            </w:r>
            <w:r>
              <w:rPr>
                <w:rFonts w:hint="eastAsia" w:cs="Times New Roman"/>
                <w:color w:val="auto"/>
                <w:kern w:val="24"/>
                <w:sz w:val="24"/>
                <w:lang w:val="en-US" w:eastAsia="zh-CN" w:bidi="ar-SA"/>
              </w:rPr>
              <w:t>表3-3</w:t>
            </w:r>
            <w:r>
              <w:rPr>
                <w:rFonts w:ascii="Times New Roman" w:hAnsi="Times New Roman" w:eastAsia="宋体" w:cs="Times New Roman"/>
                <w:color w:val="auto"/>
                <w:kern w:val="24"/>
                <w:sz w:val="24"/>
                <w:lang w:val="en-US" w:eastAsia="zh-CN" w:bidi="ar-SA"/>
              </w:rPr>
              <w:t>。</w:t>
            </w:r>
          </w:p>
          <w:p w14:paraId="5CD78C40">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ascii="Times New Roman" w:hAnsi="Times New Roman" w:eastAsia="宋体" w:cs="Times New Roman"/>
                <w:b/>
                <w:bCs/>
                <w:color w:val="auto"/>
                <w:kern w:val="24"/>
                <w:sz w:val="24"/>
                <w:lang w:val="en-US" w:eastAsia="zh-CN" w:bidi="ar-SA"/>
              </w:rPr>
              <w:t>2、声环境保护目标</w:t>
            </w:r>
          </w:p>
          <w:p w14:paraId="54076BC0">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厂界外50米范围内不存在声环境保护目标。</w:t>
            </w:r>
          </w:p>
          <w:p w14:paraId="39DF19CE">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3、地表水环境保护目标</w:t>
            </w:r>
          </w:p>
          <w:p w14:paraId="7B4C19CA">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厂界外500m</w:t>
            </w:r>
            <w:r>
              <w:rPr>
                <w:rFonts w:ascii="Times New Roman" w:hAnsi="Times New Roman" w:eastAsia="宋体" w:cs="Times New Roman"/>
                <w:color w:val="auto"/>
                <w:kern w:val="24"/>
                <w:sz w:val="24"/>
                <w:lang w:val="en-US" w:eastAsia="zh-CN" w:bidi="ar-SA"/>
              </w:rPr>
              <w:t>范围内</w:t>
            </w:r>
            <w:r>
              <w:rPr>
                <w:rFonts w:hint="eastAsia" w:cs="Times New Roman"/>
                <w:color w:val="auto"/>
                <w:kern w:val="24"/>
                <w:sz w:val="24"/>
                <w:lang w:val="en-US" w:eastAsia="zh-CN" w:bidi="ar-SA"/>
              </w:rPr>
              <w:t>不存在地表水环境保护目标。</w:t>
            </w:r>
          </w:p>
          <w:p w14:paraId="5F111B14">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4</w:t>
            </w:r>
            <w:r>
              <w:rPr>
                <w:rFonts w:ascii="Times New Roman" w:hAnsi="Times New Roman" w:eastAsia="宋体" w:cs="Times New Roman"/>
                <w:b/>
                <w:bCs/>
                <w:color w:val="auto"/>
                <w:kern w:val="24"/>
                <w:sz w:val="24"/>
                <w:lang w:val="en-US" w:eastAsia="zh-CN" w:bidi="ar-SA"/>
              </w:rPr>
              <w:t>、地下水环境保护目标</w:t>
            </w:r>
          </w:p>
          <w:p w14:paraId="08FE4F73">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厂界外500米范围内不存在地下水集中式饮用水水源和热水、矿泉水、温泉等特殊地下水资源。</w:t>
            </w:r>
          </w:p>
          <w:p w14:paraId="340DC321">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5</w:t>
            </w:r>
            <w:r>
              <w:rPr>
                <w:rFonts w:ascii="Times New Roman" w:hAnsi="Times New Roman" w:eastAsia="宋体" w:cs="Times New Roman"/>
                <w:b/>
                <w:bCs/>
                <w:color w:val="auto"/>
                <w:kern w:val="24"/>
                <w:sz w:val="24"/>
                <w:lang w:val="en-US" w:eastAsia="zh-CN" w:bidi="ar-SA"/>
              </w:rPr>
              <w:t>、生态环境保护目标</w:t>
            </w:r>
          </w:p>
          <w:p w14:paraId="6BF31794">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hint="eastAsia" w:cs="Times New Roman"/>
                <w:color w:val="auto"/>
                <w:kern w:val="24"/>
                <w:sz w:val="24"/>
                <w:lang w:val="en-US" w:eastAsia="zh-CN" w:bidi="ar-SA"/>
              </w:rPr>
              <w:t>本项目在现有租赁厂房内进行新设备的安装</w:t>
            </w:r>
            <w:r>
              <w:rPr>
                <w:rFonts w:ascii="Times New Roman" w:hAnsi="Times New Roman" w:eastAsia="宋体" w:cs="Times New Roman"/>
                <w:color w:val="auto"/>
                <w:kern w:val="24"/>
                <w:sz w:val="24"/>
                <w:lang w:val="en-US" w:eastAsia="zh-CN" w:bidi="ar-SA"/>
              </w:rPr>
              <w:t>，不新增用地，</w:t>
            </w:r>
            <w:r>
              <w:rPr>
                <w:rFonts w:hint="eastAsia" w:ascii="Times New Roman" w:hAnsi="Times New Roman" w:eastAsia="宋体" w:cs="Times New Roman"/>
                <w:color w:val="auto"/>
                <w:kern w:val="24"/>
                <w:sz w:val="24"/>
                <w:lang w:val="en-US" w:eastAsia="zh-CN" w:bidi="ar-SA"/>
              </w:rPr>
              <w:t>本项目环境保护目标情况见表3-</w:t>
            </w:r>
            <w:r>
              <w:rPr>
                <w:rFonts w:hint="eastAsia" w:cs="Times New Roman"/>
                <w:color w:val="auto"/>
                <w:kern w:val="24"/>
                <w:sz w:val="24"/>
                <w:lang w:val="en-US" w:eastAsia="zh-CN" w:bidi="ar-SA"/>
              </w:rPr>
              <w:t>3</w:t>
            </w:r>
            <w:r>
              <w:rPr>
                <w:rFonts w:ascii="Times New Roman" w:hAnsi="Times New Roman" w:eastAsia="宋体" w:cs="Times New Roman"/>
                <w:color w:val="auto"/>
                <w:kern w:val="24"/>
                <w:sz w:val="24"/>
                <w:lang w:val="en-US" w:eastAsia="zh-CN" w:bidi="ar-SA"/>
              </w:rPr>
              <w:t>。</w:t>
            </w:r>
          </w:p>
          <w:p w14:paraId="5312182A">
            <w:pPr>
              <w:pStyle w:val="7"/>
              <w:bidi w:val="0"/>
            </w:pPr>
            <w:r>
              <w:rPr>
                <w:rFonts w:hint="eastAsia"/>
              </w:rPr>
              <w:t>表3-</w:t>
            </w:r>
            <w:r>
              <w:rPr>
                <w:rFonts w:hint="eastAsia"/>
                <w:lang w:val="en-US" w:eastAsia="zh-CN"/>
              </w:rPr>
              <w:t>3</w:t>
            </w:r>
            <w:r>
              <w:rPr>
                <w:rFonts w:hint="eastAsia"/>
              </w:rPr>
              <w:t xml:space="preserve">  项目环境保护目标一览表</w:t>
            </w:r>
          </w:p>
          <w:tbl>
            <w:tblPr>
              <w:tblStyle w:val="31"/>
              <w:tblW w:w="0" w:type="auto"/>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351"/>
              <w:gridCol w:w="1119"/>
              <w:gridCol w:w="1131"/>
              <w:gridCol w:w="1500"/>
              <w:gridCol w:w="1442"/>
              <w:gridCol w:w="2223"/>
            </w:tblGrid>
            <w:tr w14:paraId="6B4FD3F4">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76" w:hRule="atLeast"/>
                <w:jc w:val="center"/>
              </w:trPr>
              <w:tc>
                <w:tcPr>
                  <w:tcW w:w="1351" w:type="dxa"/>
                  <w:tcBorders>
                    <w:tl2br w:val="nil"/>
                    <w:tr2bl w:val="nil"/>
                  </w:tcBorders>
                  <w:vAlign w:val="center"/>
                </w:tcPr>
                <w:p w14:paraId="1E41A42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auto"/>
                      <w:sz w:val="21"/>
                      <w:szCs w:val="21"/>
                      <w:lang w:val="en-US" w:eastAsia="zh-CN"/>
                    </w:rPr>
                  </w:pPr>
                  <w:r>
                    <w:rPr>
                      <w:rFonts w:hint="eastAsia" w:eastAsia="宋体"/>
                      <w:b/>
                      <w:bCs w:val="0"/>
                      <w:color w:val="auto"/>
                      <w:sz w:val="21"/>
                      <w:szCs w:val="21"/>
                      <w:lang w:val="en-US" w:eastAsia="zh-CN"/>
                    </w:rPr>
                    <w:t>环境要素</w:t>
                  </w:r>
                </w:p>
              </w:tc>
              <w:tc>
                <w:tcPr>
                  <w:tcW w:w="1119" w:type="dxa"/>
                  <w:tcBorders>
                    <w:tl2br w:val="nil"/>
                    <w:tr2bl w:val="nil"/>
                  </w:tcBorders>
                  <w:vAlign w:val="center"/>
                </w:tcPr>
                <w:p w14:paraId="4D2F92A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eastAsia="宋体"/>
                      <w:b/>
                      <w:bCs w:val="0"/>
                      <w:color w:val="auto"/>
                      <w:sz w:val="21"/>
                      <w:szCs w:val="21"/>
                      <w:lang w:val="en-US" w:eastAsia="zh-CN"/>
                    </w:rPr>
                  </w:pPr>
                  <w:r>
                    <w:rPr>
                      <w:rFonts w:hint="eastAsia" w:eastAsia="宋体"/>
                      <w:b/>
                      <w:bCs w:val="0"/>
                      <w:color w:val="auto"/>
                      <w:sz w:val="21"/>
                      <w:szCs w:val="21"/>
                      <w:lang w:val="en-US" w:eastAsia="zh-CN"/>
                    </w:rPr>
                    <w:t>保护</w:t>
                  </w:r>
                  <w:r>
                    <w:rPr>
                      <w:rFonts w:hint="eastAsia"/>
                      <w:b/>
                      <w:bCs w:val="0"/>
                      <w:color w:val="auto"/>
                      <w:sz w:val="21"/>
                      <w:szCs w:val="21"/>
                      <w:lang w:val="en-US" w:eastAsia="zh-CN"/>
                    </w:rPr>
                    <w:t>目标</w:t>
                  </w:r>
                  <w:r>
                    <w:rPr>
                      <w:rFonts w:hint="eastAsia" w:ascii="Times New Roman" w:hAnsi="Times New Roman" w:eastAsia="宋体"/>
                      <w:b/>
                      <w:bCs w:val="0"/>
                      <w:color w:val="auto"/>
                      <w:sz w:val="21"/>
                      <w:szCs w:val="21"/>
                      <w:lang w:val="en-US" w:eastAsia="zh-CN"/>
                    </w:rPr>
                    <w:t>名称</w:t>
                  </w:r>
                </w:p>
              </w:tc>
              <w:tc>
                <w:tcPr>
                  <w:tcW w:w="1131" w:type="dxa"/>
                  <w:tcBorders>
                    <w:tl2br w:val="nil"/>
                    <w:tr2bl w:val="nil"/>
                  </w:tcBorders>
                  <w:vAlign w:val="center"/>
                </w:tcPr>
                <w:p w14:paraId="6F602A3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bCs w:val="0"/>
                      <w:color w:val="auto"/>
                      <w:sz w:val="21"/>
                      <w:szCs w:val="21"/>
                      <w:lang w:val="en-US" w:eastAsia="zh-CN"/>
                    </w:rPr>
                  </w:pPr>
                  <w:r>
                    <w:rPr>
                      <w:rFonts w:hint="eastAsia"/>
                      <w:b/>
                      <w:bCs w:val="0"/>
                      <w:color w:val="auto"/>
                      <w:sz w:val="21"/>
                      <w:szCs w:val="21"/>
                      <w:lang w:val="en-US" w:eastAsia="zh-CN"/>
                    </w:rPr>
                    <w:t>保护对象</w:t>
                  </w:r>
                </w:p>
              </w:tc>
              <w:tc>
                <w:tcPr>
                  <w:tcW w:w="1500" w:type="dxa"/>
                  <w:tcBorders>
                    <w:tl2br w:val="nil"/>
                    <w:tr2bl w:val="nil"/>
                  </w:tcBorders>
                  <w:vAlign w:val="center"/>
                </w:tcPr>
                <w:p w14:paraId="3904EE9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ascii="Times New Roman" w:hAnsi="Times New Roman" w:eastAsia="宋体"/>
                      <w:b/>
                      <w:bCs w:val="0"/>
                      <w:color w:val="auto"/>
                      <w:sz w:val="21"/>
                      <w:szCs w:val="21"/>
                      <w:lang w:val="en-US" w:eastAsia="zh-CN"/>
                    </w:rPr>
                  </w:pPr>
                  <w:r>
                    <w:rPr>
                      <w:rFonts w:hint="eastAsia" w:eastAsia="宋体"/>
                      <w:b/>
                      <w:bCs w:val="0"/>
                      <w:color w:val="auto"/>
                      <w:sz w:val="21"/>
                      <w:szCs w:val="21"/>
                      <w:lang w:val="en-US" w:eastAsia="zh-CN"/>
                    </w:rPr>
                    <w:t>与项目</w:t>
                  </w:r>
                  <w:r>
                    <w:rPr>
                      <w:rFonts w:hint="eastAsia"/>
                      <w:b/>
                      <w:bCs w:val="0"/>
                      <w:color w:val="auto"/>
                      <w:sz w:val="21"/>
                      <w:szCs w:val="21"/>
                      <w:lang w:val="en-US" w:eastAsia="zh-CN"/>
                    </w:rPr>
                    <w:t>相对位置</w:t>
                  </w:r>
                  <w:r>
                    <w:rPr>
                      <w:rFonts w:hint="eastAsia" w:eastAsia="宋体"/>
                      <w:b/>
                      <w:bCs w:val="0"/>
                      <w:color w:val="auto"/>
                      <w:sz w:val="21"/>
                      <w:szCs w:val="21"/>
                      <w:lang w:val="en-US" w:eastAsia="zh-CN"/>
                    </w:rPr>
                    <w:t>关系</w:t>
                  </w:r>
                  <w:r>
                    <w:rPr>
                      <w:rFonts w:hint="eastAsia" w:ascii="Times New Roman" w:hAnsi="Times New Roman" w:eastAsia="宋体"/>
                      <w:b/>
                      <w:bCs w:val="0"/>
                      <w:color w:val="auto"/>
                      <w:sz w:val="21"/>
                      <w:szCs w:val="21"/>
                      <w:lang w:val="en-US" w:eastAsia="zh-CN"/>
                    </w:rPr>
                    <w:t>（m）</w:t>
                  </w:r>
                </w:p>
              </w:tc>
              <w:tc>
                <w:tcPr>
                  <w:tcW w:w="1442" w:type="dxa"/>
                  <w:tcBorders>
                    <w:tl2br w:val="nil"/>
                    <w:tr2bl w:val="nil"/>
                  </w:tcBorders>
                  <w:vAlign w:val="center"/>
                </w:tcPr>
                <w:p w14:paraId="660B132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auto"/>
                      <w:sz w:val="21"/>
                      <w:szCs w:val="21"/>
                      <w:lang w:val="en-US" w:eastAsia="zh-CN"/>
                    </w:rPr>
                  </w:pPr>
                  <w:r>
                    <w:rPr>
                      <w:rFonts w:hint="eastAsia"/>
                      <w:b/>
                      <w:bCs w:val="0"/>
                      <w:color w:val="auto"/>
                      <w:sz w:val="21"/>
                      <w:szCs w:val="21"/>
                      <w:lang w:val="en-US" w:eastAsia="zh-CN"/>
                    </w:rPr>
                    <w:t>规模</w:t>
                  </w:r>
                </w:p>
              </w:tc>
              <w:tc>
                <w:tcPr>
                  <w:tcW w:w="2223" w:type="dxa"/>
                  <w:tcBorders>
                    <w:tl2br w:val="nil"/>
                    <w:tr2bl w:val="nil"/>
                  </w:tcBorders>
                  <w:vAlign w:val="center"/>
                </w:tcPr>
                <w:p w14:paraId="1AFEE31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auto"/>
                      <w:sz w:val="21"/>
                      <w:szCs w:val="21"/>
                      <w:lang w:val="en-US" w:eastAsia="zh-CN"/>
                    </w:rPr>
                  </w:pPr>
                  <w:r>
                    <w:rPr>
                      <w:rFonts w:hint="eastAsia" w:eastAsia="宋体"/>
                      <w:b/>
                      <w:bCs w:val="0"/>
                      <w:color w:val="auto"/>
                      <w:sz w:val="21"/>
                      <w:szCs w:val="21"/>
                      <w:lang w:val="en-US" w:eastAsia="zh-CN"/>
                    </w:rPr>
                    <w:t>环境功能</w:t>
                  </w:r>
                </w:p>
              </w:tc>
            </w:tr>
            <w:tr w14:paraId="6177015C">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2" w:hRule="atLeast"/>
                <w:jc w:val="center"/>
              </w:trPr>
              <w:tc>
                <w:tcPr>
                  <w:tcW w:w="1351" w:type="dxa"/>
                  <w:vMerge w:val="restart"/>
                  <w:tcBorders>
                    <w:tl2br w:val="nil"/>
                    <w:tr2bl w:val="nil"/>
                  </w:tcBorders>
                  <w:vAlign w:val="center"/>
                </w:tcPr>
                <w:p w14:paraId="23D7B90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val="0"/>
                      <w:bCs/>
                      <w:color w:val="auto"/>
                      <w:sz w:val="21"/>
                      <w:szCs w:val="21"/>
                      <w:lang w:val="en-US" w:eastAsia="zh-CN"/>
                    </w:rPr>
                  </w:pPr>
                  <w:r>
                    <w:rPr>
                      <w:rFonts w:hint="eastAsia" w:eastAsia="宋体"/>
                      <w:b w:val="0"/>
                      <w:bCs/>
                      <w:color w:val="auto"/>
                      <w:sz w:val="21"/>
                      <w:szCs w:val="21"/>
                      <w:lang w:val="en-US" w:eastAsia="zh-CN"/>
                    </w:rPr>
                    <w:t>大气环境</w:t>
                  </w:r>
                </w:p>
              </w:tc>
              <w:tc>
                <w:tcPr>
                  <w:tcW w:w="1119" w:type="dxa"/>
                  <w:tcBorders>
                    <w:tl2br w:val="nil"/>
                    <w:tr2bl w:val="nil"/>
                  </w:tcBorders>
                  <w:shd w:val="clear" w:color="auto" w:fill="auto"/>
                  <w:vAlign w:val="center"/>
                </w:tcPr>
                <w:p w14:paraId="3C48A90A">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1</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49FE329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heme="minorBidi"/>
                      <w:b w:val="0"/>
                      <w:bCs/>
                      <w:color w:val="auto"/>
                      <w:kern w:val="2"/>
                      <w:sz w:val="21"/>
                      <w:szCs w:val="21"/>
                      <w:lang w:val="en-US" w:eastAsia="zh-CN" w:bidi="ar-SA"/>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7270666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北</w:t>
                  </w:r>
                  <w:r>
                    <w:rPr>
                      <w:rFonts w:hint="eastAsia" w:eastAsia="宋体"/>
                      <w:b w:val="0"/>
                      <w:bCs/>
                      <w:color w:val="auto"/>
                      <w:sz w:val="21"/>
                      <w:szCs w:val="21"/>
                      <w:lang w:val="en-US" w:eastAsia="zh-CN"/>
                    </w:rPr>
                    <w:t>，470</w:t>
                  </w:r>
                </w:p>
              </w:tc>
              <w:tc>
                <w:tcPr>
                  <w:tcW w:w="1442" w:type="dxa"/>
                  <w:tcBorders>
                    <w:tl2br w:val="nil"/>
                    <w:tr2bl w:val="nil"/>
                  </w:tcBorders>
                  <w:shd w:val="clear" w:color="auto" w:fill="auto"/>
                  <w:vAlign w:val="center"/>
                </w:tcPr>
                <w:p w14:paraId="2B13D79D">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12户、</w:t>
                  </w:r>
                  <w:r>
                    <w:rPr>
                      <w:rFonts w:hint="eastAsia" w:ascii="Times New Roman" w:hAnsi="Times New Roman" w:eastAsia="宋体"/>
                      <w:b w:val="0"/>
                      <w:bCs/>
                      <w:color w:val="auto"/>
                      <w:sz w:val="21"/>
                      <w:szCs w:val="21"/>
                      <w:lang w:val="en-US" w:eastAsia="zh-CN"/>
                    </w:rPr>
                    <w:t>50人</w:t>
                  </w:r>
                </w:p>
              </w:tc>
              <w:tc>
                <w:tcPr>
                  <w:tcW w:w="2223" w:type="dxa"/>
                  <w:vMerge w:val="restart"/>
                  <w:tcBorders>
                    <w:tl2br w:val="nil"/>
                    <w:tr2bl w:val="nil"/>
                  </w:tcBorders>
                  <w:shd w:val="clear" w:color="auto" w:fill="auto"/>
                  <w:vAlign w:val="center"/>
                </w:tcPr>
                <w:p w14:paraId="6A88D4E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b w:val="0"/>
                      <w:bCs/>
                      <w:color w:val="auto"/>
                      <w:sz w:val="21"/>
                      <w:szCs w:val="21"/>
                      <w:lang w:val="en-US" w:eastAsia="zh-CN"/>
                    </w:rPr>
                  </w:pPr>
                  <w:r>
                    <w:rPr>
                      <w:rFonts w:hint="eastAsia" w:eastAsia="宋体"/>
                      <w:b w:val="0"/>
                      <w:bCs/>
                      <w:color w:val="auto"/>
                      <w:sz w:val="21"/>
                      <w:szCs w:val="21"/>
                      <w:lang w:val="en-US" w:eastAsia="zh-CN"/>
                    </w:rPr>
                    <w:t>《环境空气质量标准》（GB 3095-2012）中二级标准</w:t>
                  </w:r>
                </w:p>
              </w:tc>
            </w:tr>
            <w:tr w14:paraId="1DD6B704">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51" w:type="dxa"/>
                  <w:vMerge w:val="continue"/>
                  <w:tcBorders>
                    <w:tl2br w:val="nil"/>
                    <w:tr2bl w:val="nil"/>
                  </w:tcBorders>
                  <w:shd w:val="clear" w:color="auto" w:fill="auto"/>
                  <w:vAlign w:val="center"/>
                </w:tcPr>
                <w:p w14:paraId="1CA14C83">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6194988A">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2</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5346C883">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b w:val="0"/>
                      <w:bCs/>
                      <w:color w:val="auto"/>
                      <w:kern w:val="2"/>
                      <w:sz w:val="21"/>
                      <w:szCs w:val="21"/>
                      <w:lang w:val="en-US" w:eastAsia="zh-CN" w:bidi="ar-SA"/>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1CD3592F">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西北</w:t>
                  </w:r>
                  <w:r>
                    <w:rPr>
                      <w:rFonts w:hint="eastAsia" w:eastAsia="宋体"/>
                      <w:b w:val="0"/>
                      <w:bCs/>
                      <w:color w:val="auto"/>
                      <w:sz w:val="21"/>
                      <w:szCs w:val="21"/>
                      <w:lang w:val="en-US" w:eastAsia="zh-CN"/>
                    </w:rPr>
                    <w:t>，470</w:t>
                  </w:r>
                </w:p>
              </w:tc>
              <w:tc>
                <w:tcPr>
                  <w:tcW w:w="1442" w:type="dxa"/>
                  <w:tcBorders>
                    <w:tl2br w:val="nil"/>
                    <w:tr2bl w:val="nil"/>
                  </w:tcBorders>
                  <w:shd w:val="clear" w:color="auto" w:fill="auto"/>
                  <w:vAlign w:val="center"/>
                </w:tcPr>
                <w:p w14:paraId="25F7224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11户、30人</w:t>
                  </w:r>
                </w:p>
              </w:tc>
              <w:tc>
                <w:tcPr>
                  <w:tcW w:w="2223" w:type="dxa"/>
                  <w:vMerge w:val="continue"/>
                  <w:tcBorders>
                    <w:tl2br w:val="nil"/>
                    <w:tr2bl w:val="nil"/>
                  </w:tcBorders>
                  <w:shd w:val="clear" w:color="auto" w:fill="auto"/>
                  <w:vAlign w:val="center"/>
                </w:tcPr>
                <w:p w14:paraId="7CCBC7C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heme="minorBidi"/>
                      <w:b w:val="0"/>
                      <w:bCs/>
                      <w:color w:val="auto"/>
                      <w:kern w:val="2"/>
                      <w:sz w:val="21"/>
                      <w:szCs w:val="21"/>
                      <w:lang w:val="en-US" w:eastAsia="zh-CN" w:bidi="ar-SA"/>
                    </w:rPr>
                  </w:pPr>
                </w:p>
              </w:tc>
            </w:tr>
            <w:tr w14:paraId="02E69ECA">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51" w:type="dxa"/>
                  <w:vMerge w:val="continue"/>
                  <w:tcBorders>
                    <w:tl2br w:val="nil"/>
                    <w:tr2bl w:val="nil"/>
                  </w:tcBorders>
                  <w:shd w:val="clear" w:color="auto" w:fill="auto"/>
                  <w:vAlign w:val="center"/>
                </w:tcPr>
                <w:p w14:paraId="0D03D6D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04DF3B9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3</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3FDFB360">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2D8EA639">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西北</w:t>
                  </w:r>
                  <w:r>
                    <w:rPr>
                      <w:rFonts w:hint="eastAsia" w:eastAsia="宋体"/>
                      <w:b w:val="0"/>
                      <w:bCs/>
                      <w:color w:val="auto"/>
                      <w:sz w:val="21"/>
                      <w:szCs w:val="21"/>
                      <w:lang w:val="en-US" w:eastAsia="zh-CN"/>
                    </w:rPr>
                    <w:t>，410</w:t>
                  </w:r>
                </w:p>
              </w:tc>
              <w:tc>
                <w:tcPr>
                  <w:tcW w:w="1442" w:type="dxa"/>
                  <w:tcBorders>
                    <w:tl2br w:val="nil"/>
                    <w:tr2bl w:val="nil"/>
                  </w:tcBorders>
                  <w:shd w:val="clear" w:color="auto" w:fill="auto"/>
                  <w:vAlign w:val="center"/>
                </w:tcPr>
                <w:p w14:paraId="67FD3AB0">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1户、</w:t>
                  </w:r>
                  <w:r>
                    <w:rPr>
                      <w:rFonts w:hint="eastAsia" w:ascii="Times New Roman" w:hAnsi="Times New Roman" w:eastAsia="宋体"/>
                      <w:b w:val="0"/>
                      <w:bCs/>
                      <w:color w:val="auto"/>
                      <w:sz w:val="21"/>
                      <w:szCs w:val="21"/>
                      <w:lang w:val="en-US" w:eastAsia="zh-CN"/>
                    </w:rPr>
                    <w:t>4人</w:t>
                  </w:r>
                </w:p>
              </w:tc>
              <w:tc>
                <w:tcPr>
                  <w:tcW w:w="2223" w:type="dxa"/>
                  <w:vMerge w:val="continue"/>
                  <w:tcBorders>
                    <w:tl2br w:val="nil"/>
                    <w:tr2bl w:val="nil"/>
                  </w:tcBorders>
                  <w:shd w:val="clear" w:color="auto" w:fill="auto"/>
                  <w:vAlign w:val="center"/>
                </w:tcPr>
                <w:p w14:paraId="6F439BDE">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heme="minorBidi"/>
                      <w:b w:val="0"/>
                      <w:bCs/>
                      <w:color w:val="auto"/>
                      <w:kern w:val="2"/>
                      <w:sz w:val="21"/>
                      <w:szCs w:val="21"/>
                      <w:lang w:val="en-US" w:eastAsia="zh-CN" w:bidi="ar-SA"/>
                    </w:rPr>
                  </w:pPr>
                </w:p>
              </w:tc>
            </w:tr>
            <w:tr w14:paraId="4A4C0152">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51" w:type="dxa"/>
                  <w:vMerge w:val="continue"/>
                  <w:tcBorders>
                    <w:tl2br w:val="nil"/>
                    <w:tr2bl w:val="nil"/>
                  </w:tcBorders>
                  <w:shd w:val="clear" w:color="auto" w:fill="auto"/>
                  <w:vAlign w:val="center"/>
                </w:tcPr>
                <w:p w14:paraId="7DD0DDB0">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22A8F79E">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4</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350800C1">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47F814D9">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西北</w:t>
                  </w:r>
                  <w:r>
                    <w:rPr>
                      <w:rFonts w:hint="eastAsia" w:eastAsia="宋体"/>
                      <w:b w:val="0"/>
                      <w:bCs/>
                      <w:color w:val="auto"/>
                      <w:sz w:val="21"/>
                      <w:szCs w:val="21"/>
                      <w:lang w:val="en-US" w:eastAsia="zh-CN"/>
                    </w:rPr>
                    <w:t>，500</w:t>
                  </w:r>
                </w:p>
              </w:tc>
              <w:tc>
                <w:tcPr>
                  <w:tcW w:w="1442" w:type="dxa"/>
                  <w:tcBorders>
                    <w:tl2br w:val="nil"/>
                    <w:tr2bl w:val="nil"/>
                  </w:tcBorders>
                  <w:shd w:val="clear" w:color="auto" w:fill="auto"/>
                  <w:vAlign w:val="center"/>
                </w:tcPr>
                <w:p w14:paraId="7A14051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3户、</w:t>
                  </w:r>
                  <w:r>
                    <w:rPr>
                      <w:rFonts w:hint="eastAsia" w:ascii="Times New Roman" w:hAnsi="Times New Roman" w:eastAsia="宋体"/>
                      <w:b w:val="0"/>
                      <w:bCs/>
                      <w:color w:val="auto"/>
                      <w:sz w:val="21"/>
                      <w:szCs w:val="21"/>
                      <w:lang w:val="en-US" w:eastAsia="zh-CN"/>
                    </w:rPr>
                    <w:t>10人</w:t>
                  </w:r>
                </w:p>
              </w:tc>
              <w:tc>
                <w:tcPr>
                  <w:tcW w:w="2223" w:type="dxa"/>
                  <w:vMerge w:val="continue"/>
                  <w:tcBorders>
                    <w:tl2br w:val="nil"/>
                    <w:tr2bl w:val="nil"/>
                  </w:tcBorders>
                  <w:shd w:val="clear" w:color="auto" w:fill="auto"/>
                  <w:vAlign w:val="center"/>
                </w:tcPr>
                <w:p w14:paraId="382B933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b w:val="0"/>
                      <w:bCs/>
                      <w:color w:val="auto"/>
                      <w:sz w:val="21"/>
                      <w:szCs w:val="21"/>
                      <w:lang w:val="en-US" w:eastAsia="zh-CN"/>
                    </w:rPr>
                  </w:pPr>
                </w:p>
              </w:tc>
            </w:tr>
            <w:tr w14:paraId="4FD1CCEF">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51" w:type="dxa"/>
                  <w:vMerge w:val="continue"/>
                  <w:tcBorders>
                    <w:tl2br w:val="nil"/>
                    <w:tr2bl w:val="nil"/>
                  </w:tcBorders>
                  <w:shd w:val="clear" w:color="auto" w:fill="auto"/>
                  <w:vAlign w:val="center"/>
                </w:tcPr>
                <w:p w14:paraId="47516E5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452E8F62">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5</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0420DEC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4194B30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西南</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4</w:t>
                  </w:r>
                  <w:r>
                    <w:rPr>
                      <w:rFonts w:hint="eastAsia" w:eastAsia="宋体"/>
                      <w:b w:val="0"/>
                      <w:bCs/>
                      <w:color w:val="auto"/>
                      <w:sz w:val="21"/>
                      <w:szCs w:val="21"/>
                      <w:lang w:val="en-US" w:eastAsia="zh-CN"/>
                    </w:rPr>
                    <w:t>30</w:t>
                  </w:r>
                </w:p>
              </w:tc>
              <w:tc>
                <w:tcPr>
                  <w:tcW w:w="1442" w:type="dxa"/>
                  <w:tcBorders>
                    <w:tl2br w:val="nil"/>
                    <w:tr2bl w:val="nil"/>
                  </w:tcBorders>
                  <w:shd w:val="clear" w:color="auto" w:fill="auto"/>
                  <w:vAlign w:val="center"/>
                </w:tcPr>
                <w:p w14:paraId="218A8565">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cs="Times New Roman"/>
                      <w:b w:val="0"/>
                      <w:bCs w:val="0"/>
                      <w:color w:val="auto"/>
                      <w:sz w:val="21"/>
                      <w:szCs w:val="21"/>
                      <w:lang w:val="en-US" w:eastAsia="zh-CN"/>
                    </w:rPr>
                    <w:t>3户、12人</w:t>
                  </w:r>
                </w:p>
              </w:tc>
              <w:tc>
                <w:tcPr>
                  <w:tcW w:w="2223" w:type="dxa"/>
                  <w:vMerge w:val="continue"/>
                  <w:tcBorders>
                    <w:tl2br w:val="nil"/>
                    <w:tr2bl w:val="nil"/>
                  </w:tcBorders>
                  <w:shd w:val="clear" w:color="auto" w:fill="auto"/>
                  <w:vAlign w:val="center"/>
                </w:tcPr>
                <w:p w14:paraId="010FAE33">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heme="minorBidi"/>
                      <w:b w:val="0"/>
                      <w:bCs/>
                      <w:color w:val="auto"/>
                      <w:kern w:val="2"/>
                      <w:sz w:val="21"/>
                      <w:szCs w:val="21"/>
                      <w:lang w:val="en-US" w:eastAsia="zh-CN" w:bidi="ar-SA"/>
                    </w:rPr>
                  </w:pPr>
                </w:p>
              </w:tc>
            </w:tr>
            <w:tr w14:paraId="354F168C">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51" w:type="dxa"/>
                  <w:vMerge w:val="continue"/>
                  <w:tcBorders>
                    <w:tl2br w:val="nil"/>
                    <w:tr2bl w:val="nil"/>
                  </w:tcBorders>
                  <w:shd w:val="clear" w:color="auto" w:fill="auto"/>
                  <w:vAlign w:val="center"/>
                </w:tcPr>
                <w:p w14:paraId="1678685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6C6BD98B">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6</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12C92C1B">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38A76CFE">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西南</w:t>
                  </w:r>
                  <w:r>
                    <w:rPr>
                      <w:rFonts w:hint="eastAsia" w:eastAsia="宋体"/>
                      <w:b w:val="0"/>
                      <w:bCs/>
                      <w:color w:val="auto"/>
                      <w:sz w:val="21"/>
                      <w:szCs w:val="21"/>
                      <w:lang w:val="en-US" w:eastAsia="zh-CN"/>
                    </w:rPr>
                    <w:t>，310</w:t>
                  </w:r>
                </w:p>
              </w:tc>
              <w:tc>
                <w:tcPr>
                  <w:tcW w:w="1442" w:type="dxa"/>
                  <w:tcBorders>
                    <w:tl2br w:val="nil"/>
                    <w:tr2bl w:val="nil"/>
                  </w:tcBorders>
                  <w:shd w:val="clear" w:color="auto" w:fill="auto"/>
                  <w:vAlign w:val="center"/>
                </w:tcPr>
                <w:p w14:paraId="0D408B8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1户、3</w:t>
                  </w:r>
                  <w:r>
                    <w:rPr>
                      <w:rFonts w:hint="eastAsia" w:ascii="Times New Roman" w:hAnsi="Times New Roman" w:eastAsia="宋体"/>
                      <w:b w:val="0"/>
                      <w:bCs/>
                      <w:color w:val="auto"/>
                      <w:sz w:val="21"/>
                      <w:szCs w:val="21"/>
                      <w:lang w:val="en-US" w:eastAsia="zh-CN"/>
                    </w:rPr>
                    <w:t>人</w:t>
                  </w:r>
                </w:p>
              </w:tc>
              <w:tc>
                <w:tcPr>
                  <w:tcW w:w="2223" w:type="dxa"/>
                  <w:vMerge w:val="continue"/>
                  <w:tcBorders>
                    <w:tl2br w:val="nil"/>
                    <w:tr2bl w:val="nil"/>
                  </w:tcBorders>
                  <w:shd w:val="clear" w:color="auto" w:fill="auto"/>
                  <w:vAlign w:val="center"/>
                </w:tcPr>
                <w:p w14:paraId="55ADD152">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b w:val="0"/>
                      <w:bCs/>
                      <w:color w:val="auto"/>
                      <w:sz w:val="21"/>
                      <w:szCs w:val="21"/>
                      <w:lang w:val="en-US" w:eastAsia="zh-CN"/>
                    </w:rPr>
                  </w:pPr>
                </w:p>
              </w:tc>
            </w:tr>
            <w:tr w14:paraId="7DD38352">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51" w:type="dxa"/>
                  <w:vMerge w:val="continue"/>
                  <w:tcBorders>
                    <w:tl2br w:val="nil"/>
                    <w:tr2bl w:val="nil"/>
                  </w:tcBorders>
                  <w:shd w:val="clear" w:color="auto" w:fill="auto"/>
                  <w:vAlign w:val="center"/>
                </w:tcPr>
                <w:p w14:paraId="64172D0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p>
              </w:tc>
              <w:tc>
                <w:tcPr>
                  <w:tcW w:w="1119" w:type="dxa"/>
                  <w:tcBorders>
                    <w:tl2br w:val="nil"/>
                    <w:tr2bl w:val="nil"/>
                  </w:tcBorders>
                  <w:shd w:val="clear" w:color="auto" w:fill="auto"/>
                  <w:vAlign w:val="center"/>
                </w:tcPr>
                <w:p w14:paraId="021D8EAA">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7</w:t>
                  </w:r>
                  <w:r>
                    <w:rPr>
                      <w:rFonts w:hint="eastAsia" w:eastAsia="宋体"/>
                      <w:b w:val="0"/>
                      <w:bCs/>
                      <w:color w:val="auto"/>
                      <w:sz w:val="21"/>
                      <w:szCs w:val="21"/>
                      <w:lang w:val="en-US" w:eastAsia="zh-CN"/>
                    </w:rPr>
                    <w:t>#</w:t>
                  </w:r>
                  <w:r>
                    <w:rPr>
                      <w:rFonts w:hint="eastAsia" w:ascii="Times New Roman" w:hAnsi="Times New Roman" w:eastAsia="宋体"/>
                      <w:b w:val="0"/>
                      <w:bCs/>
                      <w:color w:val="auto"/>
                      <w:sz w:val="21"/>
                      <w:szCs w:val="21"/>
                      <w:lang w:val="en-US" w:eastAsia="zh-CN"/>
                    </w:rPr>
                    <w:t>居民</w:t>
                  </w:r>
                </w:p>
              </w:tc>
              <w:tc>
                <w:tcPr>
                  <w:tcW w:w="1131" w:type="dxa"/>
                  <w:tcBorders>
                    <w:tl2br w:val="nil"/>
                    <w:tr2bl w:val="nil"/>
                  </w:tcBorders>
                  <w:shd w:val="clear" w:color="auto" w:fill="auto"/>
                  <w:vAlign w:val="center"/>
                </w:tcPr>
                <w:p w14:paraId="428FC56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b w:val="0"/>
                      <w:bCs/>
                      <w:color w:val="auto"/>
                      <w:sz w:val="21"/>
                      <w:szCs w:val="21"/>
                      <w:lang w:val="en-US" w:eastAsia="zh-CN"/>
                    </w:rPr>
                    <w:t>居民</w:t>
                  </w:r>
                </w:p>
              </w:tc>
              <w:tc>
                <w:tcPr>
                  <w:tcW w:w="1500" w:type="dxa"/>
                  <w:tcBorders>
                    <w:tl2br w:val="nil"/>
                    <w:tr2bl w:val="nil"/>
                  </w:tcBorders>
                  <w:shd w:val="clear" w:color="auto" w:fill="auto"/>
                  <w:vAlign w:val="center"/>
                </w:tcPr>
                <w:p w14:paraId="45734323">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西南</w:t>
                  </w:r>
                  <w:r>
                    <w:rPr>
                      <w:rFonts w:hint="eastAsia" w:eastAsia="宋体"/>
                      <w:b w:val="0"/>
                      <w:bCs/>
                      <w:color w:val="auto"/>
                      <w:sz w:val="21"/>
                      <w:szCs w:val="21"/>
                      <w:lang w:val="en-US" w:eastAsia="zh-CN"/>
                    </w:rPr>
                    <w:t>，480</w:t>
                  </w:r>
                </w:p>
              </w:tc>
              <w:tc>
                <w:tcPr>
                  <w:tcW w:w="1442" w:type="dxa"/>
                  <w:tcBorders>
                    <w:tl2br w:val="nil"/>
                    <w:tr2bl w:val="nil"/>
                  </w:tcBorders>
                  <w:shd w:val="clear" w:color="auto" w:fill="auto"/>
                  <w:vAlign w:val="center"/>
                </w:tcPr>
                <w:p w14:paraId="60C1E32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val="0"/>
                      <w:bCs/>
                      <w:color w:val="auto"/>
                      <w:kern w:val="2"/>
                      <w:sz w:val="21"/>
                      <w:szCs w:val="21"/>
                      <w:lang w:val="en-US" w:eastAsia="zh-CN" w:bidi="ar-SA"/>
                    </w:rPr>
                  </w:pPr>
                  <w:r>
                    <w:rPr>
                      <w:rFonts w:hint="eastAsia" w:eastAsia="宋体"/>
                      <w:b w:val="0"/>
                      <w:bCs/>
                      <w:color w:val="auto"/>
                      <w:sz w:val="21"/>
                      <w:szCs w:val="21"/>
                      <w:lang w:val="en-US" w:eastAsia="zh-CN"/>
                    </w:rPr>
                    <w:t>6户、</w:t>
                  </w:r>
                  <w:r>
                    <w:rPr>
                      <w:rFonts w:hint="eastAsia" w:ascii="Times New Roman" w:hAnsi="Times New Roman" w:eastAsia="宋体"/>
                      <w:b w:val="0"/>
                      <w:bCs/>
                      <w:color w:val="auto"/>
                      <w:sz w:val="21"/>
                      <w:szCs w:val="21"/>
                      <w:lang w:val="en-US" w:eastAsia="zh-CN"/>
                    </w:rPr>
                    <w:t>20</w:t>
                  </w:r>
                  <w:r>
                    <w:rPr>
                      <w:rFonts w:hint="eastAsia" w:eastAsia="宋体"/>
                      <w:b w:val="0"/>
                      <w:bCs/>
                      <w:color w:val="auto"/>
                      <w:sz w:val="21"/>
                      <w:szCs w:val="21"/>
                      <w:lang w:val="en-US" w:eastAsia="zh-CN"/>
                    </w:rPr>
                    <w:t>人</w:t>
                  </w:r>
                </w:p>
              </w:tc>
              <w:tc>
                <w:tcPr>
                  <w:tcW w:w="2223" w:type="dxa"/>
                  <w:vMerge w:val="continue"/>
                  <w:tcBorders>
                    <w:tl2br w:val="nil"/>
                    <w:tr2bl w:val="nil"/>
                  </w:tcBorders>
                  <w:shd w:val="clear" w:color="auto" w:fill="auto"/>
                  <w:vAlign w:val="center"/>
                </w:tcPr>
                <w:p w14:paraId="40217AA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b w:val="0"/>
                      <w:bCs/>
                      <w:color w:val="auto"/>
                      <w:sz w:val="21"/>
                      <w:szCs w:val="21"/>
                      <w:lang w:val="en-US" w:eastAsia="zh-CN"/>
                    </w:rPr>
                  </w:pPr>
                </w:p>
              </w:tc>
            </w:tr>
            <w:tr w14:paraId="5CFDD57A">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51" w:type="dxa"/>
                  <w:tcBorders>
                    <w:tl2br w:val="nil"/>
                    <w:tr2bl w:val="nil"/>
                  </w:tcBorders>
                  <w:shd w:val="clear" w:color="auto" w:fill="auto"/>
                  <w:vAlign w:val="center"/>
                </w:tcPr>
                <w:p w14:paraId="1677DD14">
                  <w:pPr>
                    <w:pStyle w:val="40"/>
                    <w:keepNext w:val="0"/>
                    <w:keepLines w:val="0"/>
                    <w:pageBreakBefore w:val="0"/>
                    <w:widowControl w:val="0"/>
                    <w:kinsoku/>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18"/>
                      <w:sz w:val="21"/>
                      <w:szCs w:val="21"/>
                      <w:lang w:val="en-US" w:eastAsia="zh-CN" w:bidi="ar-SA"/>
                    </w:rPr>
                  </w:pPr>
                  <w:r>
                    <w:rPr>
                      <w:color w:val="auto"/>
                      <w:sz w:val="21"/>
                      <w:szCs w:val="21"/>
                    </w:rPr>
                    <w:t>声环境</w:t>
                  </w:r>
                </w:p>
              </w:tc>
              <w:tc>
                <w:tcPr>
                  <w:tcW w:w="5192" w:type="dxa"/>
                  <w:gridSpan w:val="4"/>
                  <w:tcBorders>
                    <w:tl2br w:val="nil"/>
                    <w:tr2bl w:val="nil"/>
                  </w:tcBorders>
                  <w:shd w:val="clear" w:color="auto" w:fill="auto"/>
                  <w:vAlign w:val="center"/>
                </w:tcPr>
                <w:p w14:paraId="19F34F75">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left"/>
                    <w:textAlignment w:val="auto"/>
                    <w:rPr>
                      <w:rFonts w:hint="eastAsia" w:eastAsia="宋体"/>
                      <w:b w:val="0"/>
                      <w:bCs/>
                      <w:color w:val="auto"/>
                      <w:sz w:val="21"/>
                      <w:szCs w:val="21"/>
                      <w:lang w:val="en-US" w:eastAsia="zh-CN"/>
                    </w:rPr>
                  </w:pPr>
                  <w:r>
                    <w:rPr>
                      <w:color w:val="auto"/>
                      <w:sz w:val="21"/>
                      <w:szCs w:val="21"/>
                    </w:rPr>
                    <w:t>厂界外50米范围内无声环境保护目标</w:t>
                  </w:r>
                  <w:r>
                    <w:rPr>
                      <w:rFonts w:hint="eastAsia"/>
                      <w:color w:val="auto"/>
                      <w:sz w:val="21"/>
                      <w:szCs w:val="21"/>
                      <w:lang w:eastAsia="zh-CN"/>
                    </w:rPr>
                    <w:t>。</w:t>
                  </w:r>
                </w:p>
              </w:tc>
              <w:tc>
                <w:tcPr>
                  <w:tcW w:w="2223" w:type="dxa"/>
                  <w:tcBorders>
                    <w:tl2br w:val="nil"/>
                    <w:tr2bl w:val="nil"/>
                  </w:tcBorders>
                  <w:shd w:val="clear" w:color="auto" w:fill="auto"/>
                  <w:vAlign w:val="center"/>
                </w:tcPr>
                <w:p w14:paraId="5E9B773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《声环境质量标准》（GB 3096-2008）中3类标准</w:t>
                  </w:r>
                </w:p>
              </w:tc>
            </w:tr>
            <w:tr w14:paraId="77D7C3D0">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51" w:type="dxa"/>
                  <w:tcBorders>
                    <w:tl2br w:val="nil"/>
                    <w:tr2bl w:val="nil"/>
                  </w:tcBorders>
                  <w:shd w:val="clear" w:color="auto" w:fill="auto"/>
                  <w:vAlign w:val="center"/>
                </w:tcPr>
                <w:p w14:paraId="15963A9E">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18"/>
                      <w:sz w:val="21"/>
                      <w:szCs w:val="21"/>
                      <w:lang w:val="en-US" w:eastAsia="zh-CN" w:bidi="ar-SA"/>
                    </w:rPr>
                  </w:pPr>
                  <w:r>
                    <w:rPr>
                      <w:rFonts w:hint="eastAsia"/>
                      <w:color w:val="auto"/>
                      <w:sz w:val="21"/>
                      <w:szCs w:val="21"/>
                    </w:rPr>
                    <w:t>地表水环境</w:t>
                  </w:r>
                </w:p>
              </w:tc>
              <w:tc>
                <w:tcPr>
                  <w:tcW w:w="5192" w:type="dxa"/>
                  <w:gridSpan w:val="4"/>
                  <w:tcBorders>
                    <w:tl2br w:val="nil"/>
                    <w:tr2bl w:val="nil"/>
                  </w:tcBorders>
                  <w:shd w:val="clear" w:color="auto" w:fill="auto"/>
                  <w:vAlign w:val="center"/>
                </w:tcPr>
                <w:p w14:paraId="6D8E5B99">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bidi="ar-SA"/>
                    </w:rPr>
                    <w:t>厂界外500m范围内不存在地表水环境保护目标。</w:t>
                  </w:r>
                </w:p>
              </w:tc>
              <w:tc>
                <w:tcPr>
                  <w:tcW w:w="2223" w:type="dxa"/>
                  <w:tcBorders>
                    <w:tl2br w:val="nil"/>
                    <w:tr2bl w:val="nil"/>
                  </w:tcBorders>
                  <w:shd w:val="clear" w:color="auto" w:fill="auto"/>
                  <w:vAlign w:val="center"/>
                </w:tcPr>
                <w:p w14:paraId="455E7130">
                  <w:pPr>
                    <w:pStyle w:val="40"/>
                    <w:keepNext w:val="0"/>
                    <w:keepLines w:val="0"/>
                    <w:pageBreakBefore w:val="0"/>
                    <w:widowControl w:val="0"/>
                    <w:kinsoku/>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18"/>
                      <w:sz w:val="21"/>
                      <w:szCs w:val="24"/>
                      <w:lang w:val="en-US" w:eastAsia="zh-CN" w:bidi="ar-SA"/>
                    </w:rPr>
                  </w:pPr>
                  <w:r>
                    <w:rPr>
                      <w:rFonts w:hint="eastAsia"/>
                      <w:color w:val="auto"/>
                    </w:rPr>
                    <w:t>《地表水环境质量标准》</w:t>
                  </w:r>
                  <w:r>
                    <w:rPr>
                      <w:color w:val="auto"/>
                    </w:rPr>
                    <w:t>（GB</w:t>
                  </w:r>
                  <w:r>
                    <w:rPr>
                      <w:rFonts w:hint="eastAsia"/>
                      <w:color w:val="auto"/>
                    </w:rPr>
                    <w:t xml:space="preserve"> </w:t>
                  </w:r>
                  <w:r>
                    <w:rPr>
                      <w:color w:val="auto"/>
                    </w:rPr>
                    <w:t>3838-2002）Ⅲ类标准</w:t>
                  </w:r>
                </w:p>
              </w:tc>
            </w:tr>
            <w:tr w14:paraId="4F20AF68">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51" w:type="dxa"/>
                  <w:tcBorders>
                    <w:tl2br w:val="nil"/>
                    <w:tr2bl w:val="nil"/>
                  </w:tcBorders>
                  <w:shd w:val="clear" w:color="auto" w:fill="auto"/>
                  <w:vAlign w:val="center"/>
                </w:tcPr>
                <w:p w14:paraId="3099F30C">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18"/>
                      <w:sz w:val="21"/>
                      <w:szCs w:val="24"/>
                      <w:lang w:val="en-US" w:eastAsia="zh-CN" w:bidi="ar-SA"/>
                    </w:rPr>
                  </w:pPr>
                  <w:r>
                    <w:rPr>
                      <w:color w:val="auto"/>
                    </w:rPr>
                    <w:t>地下水</w:t>
                  </w:r>
                  <w:r>
                    <w:rPr>
                      <w:rFonts w:hint="eastAsia"/>
                      <w:color w:val="auto"/>
                    </w:rPr>
                    <w:t>环境</w:t>
                  </w:r>
                </w:p>
              </w:tc>
              <w:tc>
                <w:tcPr>
                  <w:tcW w:w="5192" w:type="dxa"/>
                  <w:gridSpan w:val="4"/>
                  <w:tcBorders>
                    <w:tl2br w:val="nil"/>
                    <w:tr2bl w:val="nil"/>
                  </w:tcBorders>
                  <w:shd w:val="clear" w:color="auto" w:fill="auto"/>
                  <w:vAlign w:val="center"/>
                </w:tcPr>
                <w:p w14:paraId="01C36DCC">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kern w:val="18"/>
                      <w:sz w:val="21"/>
                      <w:szCs w:val="24"/>
                      <w:lang w:val="en-US" w:eastAsia="zh-CN" w:bidi="ar-SA"/>
                    </w:rPr>
                  </w:pPr>
                  <w:r>
                    <w:rPr>
                      <w:color w:val="auto"/>
                    </w:rPr>
                    <w:t>厂界外500米范围内无地下水环境保护目标</w:t>
                  </w:r>
                  <w:r>
                    <w:rPr>
                      <w:rFonts w:hint="eastAsia"/>
                      <w:color w:val="auto"/>
                      <w:lang w:eastAsia="zh-CN"/>
                    </w:rPr>
                    <w:t>。</w:t>
                  </w:r>
                </w:p>
              </w:tc>
              <w:tc>
                <w:tcPr>
                  <w:tcW w:w="2223" w:type="dxa"/>
                  <w:tcBorders>
                    <w:tl2br w:val="nil"/>
                    <w:tr2bl w:val="nil"/>
                  </w:tcBorders>
                  <w:shd w:val="clear" w:color="auto" w:fill="auto"/>
                  <w:vAlign w:val="center"/>
                </w:tcPr>
                <w:p w14:paraId="753E124C">
                  <w:pPr>
                    <w:pStyle w:val="40"/>
                    <w:keepNext w:val="0"/>
                    <w:keepLines w:val="0"/>
                    <w:pageBreakBefore w:val="0"/>
                    <w:widowControl w:val="0"/>
                    <w:kinsoku/>
                    <w:overflowPunct/>
                    <w:topLinePunct w:val="0"/>
                    <w:autoSpaceDE/>
                    <w:autoSpaceDN/>
                    <w:bidi w:val="0"/>
                    <w:adjustRightInd/>
                    <w:snapToGrid/>
                    <w:spacing w:line="240" w:lineRule="auto"/>
                    <w:ind w:left="0" w:leftChars="0" w:firstLine="0" w:firstLineChars="0"/>
                    <w:jc w:val="left"/>
                    <w:textAlignment w:val="auto"/>
                    <w:rPr>
                      <w:rFonts w:hint="eastAsia"/>
                      <w:color w:val="auto"/>
                    </w:rPr>
                  </w:pPr>
                  <w:r>
                    <w:rPr>
                      <w:rFonts w:hint="eastAsia"/>
                      <w:color w:val="auto"/>
                    </w:rPr>
                    <w:t>《地下水环境质量标准》（GB/T 14848-2017）Ⅲ类标准</w:t>
                  </w:r>
                </w:p>
              </w:tc>
            </w:tr>
            <w:tr w14:paraId="38BB2D90">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51" w:type="dxa"/>
                  <w:tcBorders>
                    <w:tl2br w:val="nil"/>
                    <w:tr2bl w:val="nil"/>
                  </w:tcBorders>
                  <w:shd w:val="clear" w:color="auto" w:fill="auto"/>
                  <w:vAlign w:val="center"/>
                </w:tcPr>
                <w:p w14:paraId="26675819">
                  <w:pPr>
                    <w:pStyle w:val="40"/>
                    <w:keepNext w:val="0"/>
                    <w:keepLines w:val="0"/>
                    <w:pageBreakBefore w:val="0"/>
                    <w:widowControl w:val="0"/>
                    <w:kinsoku/>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18"/>
                      <w:sz w:val="21"/>
                      <w:szCs w:val="21"/>
                      <w:lang w:val="en-US" w:eastAsia="zh-CN" w:bidi="ar-SA"/>
                    </w:rPr>
                  </w:pPr>
                  <w:r>
                    <w:rPr>
                      <w:color w:val="auto"/>
                      <w:sz w:val="21"/>
                      <w:szCs w:val="21"/>
                    </w:rPr>
                    <w:t>生态环境</w:t>
                  </w:r>
                </w:p>
              </w:tc>
              <w:tc>
                <w:tcPr>
                  <w:tcW w:w="5192" w:type="dxa"/>
                  <w:gridSpan w:val="4"/>
                  <w:tcBorders>
                    <w:tl2br w:val="nil"/>
                    <w:tr2bl w:val="nil"/>
                  </w:tcBorders>
                  <w:shd w:val="clear" w:color="auto" w:fill="auto"/>
                  <w:vAlign w:val="center"/>
                </w:tcPr>
                <w:p w14:paraId="1760FA40">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eastAsia="宋体"/>
                      <w:b w:val="0"/>
                      <w:bCs/>
                      <w:color w:val="auto"/>
                      <w:sz w:val="21"/>
                      <w:szCs w:val="21"/>
                      <w:lang w:val="en-US" w:eastAsia="zh-CN"/>
                    </w:rPr>
                  </w:pPr>
                  <w:r>
                    <w:rPr>
                      <w:rFonts w:hint="eastAsia"/>
                      <w:color w:val="auto"/>
                      <w:sz w:val="21"/>
                      <w:szCs w:val="21"/>
                    </w:rPr>
                    <w:t>本</w:t>
                  </w:r>
                  <w:r>
                    <w:rPr>
                      <w:color w:val="auto"/>
                      <w:sz w:val="21"/>
                      <w:szCs w:val="21"/>
                    </w:rPr>
                    <w:t>项目</w:t>
                  </w:r>
                  <w:r>
                    <w:rPr>
                      <w:rFonts w:hint="eastAsia"/>
                      <w:color w:val="auto"/>
                      <w:sz w:val="21"/>
                      <w:szCs w:val="21"/>
                    </w:rPr>
                    <w:t>利用现有</w:t>
                  </w:r>
                  <w:r>
                    <w:rPr>
                      <w:rFonts w:hint="eastAsia"/>
                      <w:color w:val="auto"/>
                      <w:sz w:val="21"/>
                      <w:szCs w:val="21"/>
                      <w:lang w:val="en-US" w:eastAsia="zh-CN"/>
                    </w:rPr>
                    <w:t>项目</w:t>
                  </w:r>
                  <w:r>
                    <w:rPr>
                      <w:color w:val="auto"/>
                      <w:sz w:val="21"/>
                      <w:szCs w:val="21"/>
                    </w:rPr>
                    <w:t>租赁厂房建设本项目，不新增用地，项目周边无生态环境保护目标</w:t>
                  </w:r>
                  <w:r>
                    <w:rPr>
                      <w:rFonts w:hint="eastAsia"/>
                      <w:color w:val="auto"/>
                      <w:sz w:val="21"/>
                      <w:szCs w:val="21"/>
                      <w:lang w:eastAsia="zh-CN"/>
                    </w:rPr>
                    <w:t>。</w:t>
                  </w:r>
                </w:p>
              </w:tc>
              <w:tc>
                <w:tcPr>
                  <w:tcW w:w="2223" w:type="dxa"/>
                  <w:tcBorders>
                    <w:tl2br w:val="nil"/>
                    <w:tr2bl w:val="nil"/>
                  </w:tcBorders>
                  <w:shd w:val="clear" w:color="auto" w:fill="auto"/>
                  <w:vAlign w:val="center"/>
                </w:tcPr>
                <w:p w14:paraId="3B1BC0BD">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val="0"/>
                      <w:bCs/>
                      <w:color w:val="auto"/>
                      <w:sz w:val="21"/>
                      <w:szCs w:val="21"/>
                      <w:lang w:val="en-US" w:eastAsia="zh-CN"/>
                    </w:rPr>
                  </w:pPr>
                  <w:r>
                    <w:rPr>
                      <w:rFonts w:hint="eastAsia"/>
                      <w:b w:val="0"/>
                      <w:bCs/>
                      <w:color w:val="auto"/>
                      <w:sz w:val="21"/>
                      <w:szCs w:val="21"/>
                      <w:lang w:val="en-US" w:eastAsia="zh-CN"/>
                    </w:rPr>
                    <w:t>/</w:t>
                  </w:r>
                </w:p>
              </w:tc>
            </w:tr>
          </w:tbl>
          <w:p w14:paraId="5A2C3555">
            <w:pPr>
              <w:bidi w:val="0"/>
            </w:pPr>
          </w:p>
        </w:tc>
      </w:tr>
      <w:tr w14:paraId="48B4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5" w:type="dxa"/>
            <w:vAlign w:val="center"/>
          </w:tcPr>
          <w:p w14:paraId="5E09DEEB">
            <w:pPr>
              <w:pStyle w:val="36"/>
              <w:keepNext w:val="0"/>
              <w:keepLines w:val="0"/>
              <w:pageBreakBefore w:val="0"/>
              <w:widowControl w:val="0"/>
              <w:kinsoku/>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lang w:val="en-US" w:eastAsia="zh-CN"/>
              </w:rPr>
              <w:t>污染物排放控制标准</w:t>
            </w:r>
          </w:p>
        </w:tc>
        <w:tc>
          <w:tcPr>
            <w:tcW w:w="9071" w:type="dxa"/>
            <w:vAlign w:val="top"/>
          </w:tcPr>
          <w:p w14:paraId="0FCE79F9">
            <w:pPr>
              <w:pStyle w:val="38"/>
              <w:ind w:firstLine="482"/>
              <w:rPr>
                <w:b/>
                <w:bCs/>
                <w:color w:val="auto"/>
              </w:rPr>
            </w:pPr>
            <w:r>
              <w:rPr>
                <w:b/>
                <w:bCs/>
                <w:color w:val="auto"/>
              </w:rPr>
              <w:t>1、废水污染物</w:t>
            </w:r>
          </w:p>
          <w:p w14:paraId="37C86BC8">
            <w:pPr>
              <w:pStyle w:val="29"/>
              <w:wordWrap/>
              <w:spacing w:after="0" w:line="360" w:lineRule="auto"/>
              <w:ind w:left="0" w:leftChars="0" w:firstLine="480"/>
              <w:jc w:val="both"/>
              <w:rPr>
                <w:rFonts w:hint="eastAsia" w:eastAsiaTheme="minorEastAsia" w:cstheme="minorBidi"/>
                <w:bCs/>
              </w:rPr>
            </w:pPr>
            <w:r>
              <w:rPr>
                <w:rFonts w:hint="eastAsia"/>
                <w:color w:val="auto"/>
              </w:rPr>
              <w:t>技改前后，废水产生节点和处理方式不变，</w:t>
            </w:r>
            <w:r>
              <w:rPr>
                <w:rFonts w:hint="eastAsia"/>
                <w:color w:val="auto"/>
                <w:lang w:val="en-US" w:eastAsia="zh-CN"/>
              </w:rPr>
              <w:t>生活污水经园区一体化污水处理设施处理后，</w:t>
            </w:r>
            <w:r>
              <w:rPr>
                <w:rFonts w:hint="eastAsia"/>
                <w:color w:val="auto"/>
              </w:rPr>
              <w:t>经</w:t>
            </w:r>
            <w:r>
              <w:rPr>
                <w:rFonts w:hint="eastAsia"/>
                <w:color w:val="auto"/>
                <w:lang w:val="en-US" w:eastAsia="zh-CN"/>
              </w:rPr>
              <w:t>园区污水</w:t>
            </w:r>
            <w:r>
              <w:rPr>
                <w:rFonts w:hint="eastAsia"/>
                <w:color w:val="auto"/>
              </w:rPr>
              <w:t>管网排入</w:t>
            </w:r>
            <w:r>
              <w:rPr>
                <w:rFonts w:hint="eastAsia" w:eastAsiaTheme="minorEastAsia" w:cstheme="minorBidi"/>
                <w:kern w:val="2"/>
                <w:szCs w:val="32"/>
                <w:lang w:eastAsia="zh-CN"/>
              </w:rPr>
              <w:t>魏兴场镇污水处理厂</w:t>
            </w:r>
            <w:r>
              <w:rPr>
                <w:rFonts w:hint="eastAsia" w:eastAsiaTheme="minorEastAsia" w:cstheme="minorBidi"/>
                <w:kern w:val="2"/>
                <w:szCs w:val="32"/>
                <w:lang w:val="en-US" w:eastAsia="zh-CN"/>
              </w:rPr>
              <w:t>进行集中处理，最终尾水达标</w:t>
            </w:r>
            <w:r>
              <w:rPr>
                <w:rFonts w:hint="eastAsia" w:eastAsiaTheme="minorEastAsia" w:cstheme="minorBidi"/>
                <w:kern w:val="2"/>
                <w:szCs w:val="32"/>
              </w:rPr>
              <w:t>排入</w:t>
            </w:r>
            <w:r>
              <w:rPr>
                <w:rFonts w:hint="eastAsia" w:eastAsiaTheme="minorEastAsia" w:cstheme="minorBidi"/>
                <w:kern w:val="2"/>
                <w:szCs w:val="32"/>
                <w:lang w:val="en-US" w:eastAsia="zh-CN"/>
              </w:rPr>
              <w:t>州河</w:t>
            </w:r>
            <w:r>
              <w:rPr>
                <w:rFonts w:hint="eastAsia" w:eastAsiaTheme="minorEastAsia" w:cstheme="minorBidi"/>
                <w:bCs/>
              </w:rPr>
              <w:t>。</w:t>
            </w:r>
            <w:r>
              <w:rPr>
                <w:rFonts w:hint="eastAsia" w:eastAsiaTheme="minorEastAsia" w:cstheme="minorBidi"/>
                <w:bCs/>
                <w:lang w:val="en-US" w:eastAsia="zh-CN"/>
              </w:rPr>
              <w:t>园区一体化处理设施接管</w:t>
            </w:r>
            <w:r>
              <w:rPr>
                <w:rFonts w:hint="eastAsia"/>
                <w:color w:val="auto"/>
              </w:rPr>
              <w:t>执行</w:t>
            </w:r>
            <w:r>
              <w:rPr>
                <w:color w:val="auto"/>
              </w:rPr>
              <w:t>《污水综合排放标准》（GB</w:t>
            </w:r>
            <w:r>
              <w:rPr>
                <w:rFonts w:hint="eastAsia"/>
                <w:color w:val="auto"/>
              </w:rPr>
              <w:t xml:space="preserve"> </w:t>
            </w:r>
            <w:r>
              <w:rPr>
                <w:color w:val="auto"/>
              </w:rPr>
              <w:t>8978-1996）中</w:t>
            </w:r>
            <w:r>
              <w:rPr>
                <w:rFonts w:hint="eastAsia"/>
                <w:color w:val="auto"/>
              </w:rPr>
              <w:t>表2</w:t>
            </w:r>
            <w:r>
              <w:rPr>
                <w:color w:val="auto"/>
              </w:rPr>
              <w:t>三级标准</w:t>
            </w:r>
            <w:r>
              <w:rPr>
                <w:rFonts w:hint="eastAsia"/>
                <w:color w:val="auto"/>
                <w:lang w:eastAsia="zh-CN"/>
              </w:rPr>
              <w:t>，</w:t>
            </w:r>
            <w:r>
              <w:rPr>
                <w:color w:val="auto"/>
              </w:rPr>
              <w:t>其中氨氮、总磷参照《污水排入城镇下水道水质标准》（GB/T</w:t>
            </w:r>
            <w:r>
              <w:rPr>
                <w:rFonts w:hint="eastAsia"/>
                <w:color w:val="auto"/>
              </w:rPr>
              <w:t xml:space="preserve"> </w:t>
            </w:r>
            <w:r>
              <w:rPr>
                <w:color w:val="auto"/>
              </w:rPr>
              <w:t>31962-2015）</w:t>
            </w:r>
            <w:r>
              <w:rPr>
                <w:rFonts w:hint="eastAsia"/>
                <w:color w:val="auto"/>
              </w:rPr>
              <w:t>中表1 B级限值</w:t>
            </w:r>
            <w:r>
              <w:rPr>
                <w:rFonts w:hint="eastAsia"/>
                <w:color w:val="auto"/>
                <w:lang w:eastAsia="zh-CN"/>
              </w:rPr>
              <w:t>；</w:t>
            </w:r>
            <w:r>
              <w:rPr>
                <w:rFonts w:hint="eastAsia" w:eastAsiaTheme="minorEastAsia" w:cstheme="minorBidi"/>
                <w:kern w:val="2"/>
                <w:szCs w:val="32"/>
                <w:lang w:eastAsia="zh-CN"/>
              </w:rPr>
              <w:t>魏兴场镇污水处理厂</w:t>
            </w:r>
            <w:r>
              <w:rPr>
                <w:rFonts w:hint="eastAsia" w:eastAsiaTheme="minorEastAsia" w:cstheme="minorBidi"/>
                <w:kern w:val="2"/>
                <w:szCs w:val="32"/>
                <w:lang w:val="en-US" w:eastAsia="zh-CN"/>
              </w:rPr>
              <w:t>尾水排放执行</w:t>
            </w:r>
            <w:r>
              <w:rPr>
                <w:rFonts w:hint="eastAsia" w:eastAsiaTheme="minorEastAsia" w:cstheme="minorBidi"/>
                <w:kern w:val="2"/>
                <w:szCs w:val="32"/>
                <w:lang w:eastAsia="zh-CN"/>
              </w:rPr>
              <w:t>《城镇污水处理厂污染物排放标准》（GB18918—2002）一级A标准</w:t>
            </w:r>
            <w:r>
              <w:rPr>
                <w:rFonts w:hint="eastAsia" w:eastAsiaTheme="minorEastAsia" w:cstheme="minorBidi"/>
                <w:kern w:val="2"/>
                <w:szCs w:val="32"/>
                <w:lang w:val="en-US" w:eastAsia="zh-CN"/>
              </w:rPr>
              <w:t>。</w:t>
            </w:r>
          </w:p>
          <w:p w14:paraId="35FA5D98">
            <w:pPr>
              <w:pStyle w:val="7"/>
              <w:bidi w:val="0"/>
            </w:pPr>
            <w:r>
              <w:rPr>
                <w:rFonts w:hint="eastAsia"/>
              </w:rPr>
              <w:t>表3-</w:t>
            </w:r>
            <w:r>
              <w:rPr>
                <w:rFonts w:hint="eastAsia"/>
                <w:lang w:val="en-US" w:eastAsia="zh-CN"/>
              </w:rPr>
              <w:t>4</w:t>
            </w:r>
            <w:r>
              <w:rPr>
                <w:rFonts w:hint="eastAsia"/>
              </w:rPr>
              <w:t xml:space="preserve">  污水排放标准</w:t>
            </w:r>
          </w:p>
          <w:tbl>
            <w:tblPr>
              <w:tblStyle w:val="30"/>
              <w:tblW w:w="4993"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798"/>
              <w:gridCol w:w="1576"/>
              <w:gridCol w:w="1590"/>
            </w:tblGrid>
            <w:tr w14:paraId="4CA6F3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209" w:type="pct"/>
                  <w:gridSpan w:val="2"/>
                  <w:tcBorders>
                    <w:tl2br w:val="nil"/>
                    <w:tr2bl w:val="nil"/>
                  </w:tcBorders>
                  <w:vAlign w:val="center"/>
                </w:tcPr>
                <w:p w14:paraId="1285324F">
                  <w:pPr>
                    <w:wordWrap w:val="0"/>
                    <w:autoSpaceDE w:val="0"/>
                    <w:autoSpaceDN w:val="0"/>
                    <w:adjustRightInd w:val="0"/>
                    <w:spacing w:line="240" w:lineRule="auto"/>
                    <w:ind w:firstLine="0" w:firstLineChars="0"/>
                    <w:jc w:val="center"/>
                    <w:rPr>
                      <w:rFonts w:eastAsia="宋体" w:cs="Times New Roman"/>
                      <w:b/>
                      <w:bCs/>
                      <w:color w:val="auto"/>
                      <w:kern w:val="0"/>
                      <w:sz w:val="21"/>
                      <w:szCs w:val="21"/>
                      <w:vertAlign w:val="subscript"/>
                    </w:rPr>
                  </w:pPr>
                  <w:r>
                    <w:rPr>
                      <w:rFonts w:hint="eastAsia" w:cs="Times New Roman"/>
                      <w:b/>
                      <w:bCs/>
                      <w:color w:val="auto"/>
                      <w:kern w:val="0"/>
                      <w:sz w:val="21"/>
                      <w:szCs w:val="21"/>
                      <w:lang w:val="en-US" w:eastAsia="zh-CN"/>
                    </w:rPr>
                    <w:t>废水</w:t>
                  </w:r>
                  <w:r>
                    <w:rPr>
                      <w:rFonts w:eastAsia="宋体" w:cs="Times New Roman"/>
                      <w:b/>
                      <w:bCs/>
                      <w:color w:val="auto"/>
                      <w:kern w:val="0"/>
                      <w:sz w:val="21"/>
                      <w:szCs w:val="21"/>
                    </w:rPr>
                    <w:t>执行标准</w:t>
                  </w:r>
                </w:p>
              </w:tc>
              <w:tc>
                <w:tcPr>
                  <w:tcW w:w="891" w:type="pct"/>
                  <w:tcBorders>
                    <w:tl2br w:val="nil"/>
                    <w:tr2bl w:val="nil"/>
                  </w:tcBorders>
                  <w:vAlign w:val="center"/>
                </w:tcPr>
                <w:p w14:paraId="7A4809EC">
                  <w:pPr>
                    <w:wordWrap w:val="0"/>
                    <w:autoSpaceDE w:val="0"/>
                    <w:autoSpaceDN w:val="0"/>
                    <w:adjustRightInd w:val="0"/>
                    <w:spacing w:line="240" w:lineRule="auto"/>
                    <w:ind w:firstLine="0" w:firstLineChars="0"/>
                    <w:jc w:val="center"/>
                    <w:rPr>
                      <w:rFonts w:eastAsia="宋体" w:cs="Times New Roman"/>
                      <w:b/>
                      <w:bCs/>
                      <w:color w:val="auto"/>
                      <w:kern w:val="0"/>
                      <w:sz w:val="21"/>
                      <w:szCs w:val="21"/>
                      <w:vertAlign w:val="subscript"/>
                    </w:rPr>
                  </w:pPr>
                  <w:r>
                    <w:rPr>
                      <w:rFonts w:eastAsia="宋体" w:cs="Times New Roman"/>
                      <w:b/>
                      <w:bCs/>
                      <w:color w:val="auto"/>
                      <w:kern w:val="0"/>
                      <w:sz w:val="21"/>
                      <w:szCs w:val="21"/>
                    </w:rPr>
                    <w:t>污染因子</w:t>
                  </w:r>
                </w:p>
              </w:tc>
              <w:tc>
                <w:tcPr>
                  <w:tcW w:w="899" w:type="pct"/>
                  <w:tcBorders>
                    <w:tl2br w:val="nil"/>
                    <w:tr2bl w:val="nil"/>
                  </w:tcBorders>
                  <w:vAlign w:val="center"/>
                </w:tcPr>
                <w:p w14:paraId="583800BB">
                  <w:pPr>
                    <w:wordWrap w:val="0"/>
                    <w:autoSpaceDE w:val="0"/>
                    <w:autoSpaceDN w:val="0"/>
                    <w:adjustRightInd w:val="0"/>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标准限值mg/L</w:t>
                  </w:r>
                </w:p>
              </w:tc>
            </w:tr>
            <w:tr w14:paraId="35D76F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restart"/>
                  <w:tcBorders>
                    <w:tl2br w:val="nil"/>
                    <w:tr2bl w:val="nil"/>
                  </w:tcBorders>
                  <w:vAlign w:val="center"/>
                </w:tcPr>
                <w:p w14:paraId="5D4F0DEB">
                  <w:pPr>
                    <w:wordWrap w:val="0"/>
                    <w:autoSpaceDE w:val="0"/>
                    <w:autoSpaceDN w:val="0"/>
                    <w:adjustRightInd w:val="0"/>
                    <w:spacing w:line="240" w:lineRule="auto"/>
                    <w:ind w:firstLine="0" w:firstLineChars="0"/>
                    <w:jc w:val="center"/>
                    <w:rPr>
                      <w:rFonts w:hint="eastAsia" w:eastAsia="宋体" w:cs="Times New Roman"/>
                      <w:color w:val="auto"/>
                      <w:kern w:val="0"/>
                      <w:sz w:val="21"/>
                      <w:szCs w:val="21"/>
                      <w:lang w:eastAsia="zh-CN"/>
                    </w:rPr>
                  </w:pPr>
                  <w:r>
                    <w:rPr>
                      <w:rFonts w:hint="default" w:eastAsia="宋体" w:cs="Times New Roman"/>
                      <w:color w:val="auto"/>
                      <w:kern w:val="0"/>
                      <w:sz w:val="21"/>
                      <w:szCs w:val="21"/>
                      <w:lang w:val="en-US" w:eastAsia="zh-CN"/>
                    </w:rPr>
                    <w:t>魏兴场镇污水处理厂</w:t>
                  </w:r>
                  <w:r>
                    <w:rPr>
                      <w:rFonts w:hint="eastAsia" w:cs="Times New Roman"/>
                      <w:color w:val="auto"/>
                      <w:kern w:val="0"/>
                      <w:sz w:val="21"/>
                      <w:szCs w:val="21"/>
                      <w:lang w:val="en-US" w:eastAsia="zh-CN"/>
                    </w:rPr>
                    <w:t>接管标准</w:t>
                  </w:r>
                </w:p>
              </w:tc>
              <w:tc>
                <w:tcPr>
                  <w:tcW w:w="2711" w:type="pct"/>
                  <w:vMerge w:val="restart"/>
                  <w:tcBorders>
                    <w:tl2br w:val="nil"/>
                    <w:tr2bl w:val="nil"/>
                  </w:tcBorders>
                  <w:vAlign w:val="center"/>
                </w:tcPr>
                <w:p w14:paraId="6906099C">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《污水综合排放标准》</w:t>
                  </w:r>
                  <w:r>
                    <w:rPr>
                      <w:rFonts w:hint="eastAsia" w:eastAsia="宋体" w:cs="Times New Roman"/>
                      <w:color w:val="auto"/>
                      <w:kern w:val="0"/>
                      <w:sz w:val="21"/>
                      <w:szCs w:val="21"/>
                      <w:lang w:eastAsia="zh-CN"/>
                    </w:rPr>
                    <w:t>（</w:t>
                  </w:r>
                  <w:r>
                    <w:rPr>
                      <w:rFonts w:eastAsia="宋体" w:cs="Times New Roman"/>
                      <w:color w:val="auto"/>
                      <w:kern w:val="0"/>
                      <w:sz w:val="21"/>
                      <w:szCs w:val="21"/>
                    </w:rPr>
                    <w:t>GB 8978-1996</w:t>
                  </w:r>
                  <w:r>
                    <w:rPr>
                      <w:rFonts w:hint="eastAsia" w:eastAsia="宋体" w:cs="Times New Roman"/>
                      <w:color w:val="auto"/>
                      <w:kern w:val="0"/>
                      <w:sz w:val="21"/>
                      <w:szCs w:val="21"/>
                      <w:lang w:eastAsia="zh-CN"/>
                    </w:rPr>
                    <w:t>）</w:t>
                  </w:r>
                  <w:r>
                    <w:rPr>
                      <w:rFonts w:eastAsia="宋体" w:cs="Times New Roman"/>
                      <w:color w:val="auto"/>
                      <w:kern w:val="0"/>
                      <w:sz w:val="21"/>
                      <w:szCs w:val="21"/>
                    </w:rPr>
                    <w:t>三级标准</w:t>
                  </w:r>
                </w:p>
              </w:tc>
              <w:tc>
                <w:tcPr>
                  <w:tcW w:w="891" w:type="pct"/>
                  <w:tcBorders>
                    <w:tl2br w:val="nil"/>
                    <w:tr2bl w:val="nil"/>
                  </w:tcBorders>
                  <w:vAlign w:val="center"/>
                </w:tcPr>
                <w:p w14:paraId="06D55E4F">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pH（无量纲）</w:t>
                  </w:r>
                </w:p>
              </w:tc>
              <w:tc>
                <w:tcPr>
                  <w:tcW w:w="899" w:type="pct"/>
                  <w:tcBorders>
                    <w:tl2br w:val="nil"/>
                    <w:tr2bl w:val="nil"/>
                  </w:tcBorders>
                  <w:vAlign w:val="center"/>
                </w:tcPr>
                <w:p w14:paraId="4B14C20E">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6~9</w:t>
                  </w:r>
                </w:p>
              </w:tc>
            </w:tr>
            <w:tr w14:paraId="5EA1C7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2325C3BE">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70A94FF7">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2B2B2C1B">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COD</w:t>
                  </w:r>
                </w:p>
              </w:tc>
              <w:tc>
                <w:tcPr>
                  <w:tcW w:w="899" w:type="pct"/>
                  <w:tcBorders>
                    <w:tl2br w:val="nil"/>
                    <w:tr2bl w:val="nil"/>
                  </w:tcBorders>
                  <w:vAlign w:val="center"/>
                </w:tcPr>
                <w:p w14:paraId="268CECE8">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500</w:t>
                  </w:r>
                </w:p>
              </w:tc>
            </w:tr>
            <w:tr w14:paraId="50A2A7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782F75DA">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70ED160D">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66DE8008">
                  <w:pPr>
                    <w:wordWrap w:val="0"/>
                    <w:autoSpaceDE w:val="0"/>
                    <w:autoSpaceDN w:val="0"/>
                    <w:adjustRightInd w:val="0"/>
                    <w:spacing w:line="240" w:lineRule="auto"/>
                    <w:ind w:firstLine="0" w:firstLineChars="0"/>
                    <w:jc w:val="center"/>
                    <w:rPr>
                      <w:rFonts w:eastAsia="宋体" w:cs="Times New Roman"/>
                      <w:color w:val="auto"/>
                      <w:kern w:val="0"/>
                      <w:sz w:val="21"/>
                      <w:szCs w:val="21"/>
                      <w:vertAlign w:val="subscript"/>
                    </w:rPr>
                  </w:pPr>
                  <w:r>
                    <w:rPr>
                      <w:rFonts w:eastAsia="宋体" w:cs="Times New Roman"/>
                      <w:color w:val="auto"/>
                      <w:kern w:val="0"/>
                      <w:sz w:val="21"/>
                      <w:szCs w:val="21"/>
                    </w:rPr>
                    <w:t>BOD</w:t>
                  </w:r>
                  <w:r>
                    <w:rPr>
                      <w:rFonts w:eastAsia="宋体" w:cs="Times New Roman"/>
                      <w:color w:val="auto"/>
                      <w:kern w:val="0"/>
                      <w:sz w:val="21"/>
                      <w:szCs w:val="21"/>
                      <w:vertAlign w:val="subscript"/>
                    </w:rPr>
                    <w:t>5</w:t>
                  </w:r>
                </w:p>
              </w:tc>
              <w:tc>
                <w:tcPr>
                  <w:tcW w:w="899" w:type="pct"/>
                  <w:tcBorders>
                    <w:tl2br w:val="nil"/>
                    <w:tr2bl w:val="nil"/>
                  </w:tcBorders>
                  <w:vAlign w:val="center"/>
                </w:tcPr>
                <w:p w14:paraId="6C5FF348">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300</w:t>
                  </w:r>
                </w:p>
              </w:tc>
            </w:tr>
            <w:tr w14:paraId="7104EE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97" w:type="pct"/>
                  <w:vMerge w:val="continue"/>
                  <w:tcBorders>
                    <w:tl2br w:val="nil"/>
                    <w:tr2bl w:val="nil"/>
                  </w:tcBorders>
                  <w:vAlign w:val="center"/>
                </w:tcPr>
                <w:p w14:paraId="20FDDFD0">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27156656">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26155EB7">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SS</w:t>
                  </w:r>
                </w:p>
              </w:tc>
              <w:tc>
                <w:tcPr>
                  <w:tcW w:w="899" w:type="pct"/>
                  <w:tcBorders>
                    <w:tl2br w:val="nil"/>
                    <w:tr2bl w:val="nil"/>
                  </w:tcBorders>
                  <w:vAlign w:val="center"/>
                </w:tcPr>
                <w:p w14:paraId="7DA8D25E">
                  <w:pPr>
                    <w:wordWrap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400</w:t>
                  </w:r>
                </w:p>
              </w:tc>
            </w:tr>
            <w:tr w14:paraId="3C1FD8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3B876874">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restart"/>
                  <w:tcBorders>
                    <w:tl2br w:val="nil"/>
                    <w:tr2bl w:val="nil"/>
                  </w:tcBorders>
                  <w:vAlign w:val="center"/>
                </w:tcPr>
                <w:p w14:paraId="78E579DC">
                  <w:pPr>
                    <w:wordWrap w:val="0"/>
                    <w:autoSpaceDE w:val="0"/>
                    <w:autoSpaceDN w:val="0"/>
                    <w:adjustRightInd w:val="0"/>
                    <w:spacing w:line="240" w:lineRule="auto"/>
                    <w:ind w:firstLine="0" w:firstLineChars="0"/>
                    <w:jc w:val="center"/>
                    <w:rPr>
                      <w:rFonts w:hint="eastAsia" w:eastAsia="宋体" w:cs="Times New Roman"/>
                      <w:color w:val="auto"/>
                      <w:kern w:val="0"/>
                      <w:sz w:val="21"/>
                      <w:szCs w:val="21"/>
                      <w:lang w:val="en-US" w:eastAsia="zh-CN"/>
                    </w:rPr>
                  </w:pPr>
                  <w:r>
                    <w:rPr>
                      <w:rFonts w:eastAsia="宋体" w:cs="Times New Roman"/>
                      <w:color w:val="auto"/>
                      <w:kern w:val="0"/>
                      <w:sz w:val="21"/>
                      <w:szCs w:val="21"/>
                    </w:rPr>
                    <w:t>《污水排入城镇下水道水质标准》（GB/T</w:t>
                  </w:r>
                  <w:r>
                    <w:rPr>
                      <w:rFonts w:hint="eastAsia" w:eastAsia="宋体" w:cs="Times New Roman"/>
                      <w:color w:val="auto"/>
                      <w:kern w:val="0"/>
                      <w:sz w:val="21"/>
                      <w:szCs w:val="21"/>
                    </w:rPr>
                    <w:t xml:space="preserve"> </w:t>
                  </w:r>
                  <w:r>
                    <w:rPr>
                      <w:rFonts w:eastAsia="宋体" w:cs="Times New Roman"/>
                      <w:color w:val="auto"/>
                      <w:kern w:val="0"/>
                      <w:sz w:val="21"/>
                      <w:szCs w:val="21"/>
                    </w:rPr>
                    <w:t>31962-2015）</w:t>
                  </w:r>
                  <w:r>
                    <w:rPr>
                      <w:rFonts w:hint="eastAsia" w:eastAsia="宋体" w:cs="Times New Roman"/>
                      <w:color w:val="auto"/>
                      <w:kern w:val="0"/>
                      <w:sz w:val="21"/>
                      <w:szCs w:val="21"/>
                    </w:rPr>
                    <w:t>表1B</w:t>
                  </w:r>
                  <w:r>
                    <w:rPr>
                      <w:rFonts w:hint="eastAsia" w:eastAsia="宋体" w:cs="Times New Roman"/>
                      <w:color w:val="auto"/>
                      <w:kern w:val="0"/>
                      <w:sz w:val="21"/>
                      <w:szCs w:val="21"/>
                      <w:lang w:val="en-US" w:eastAsia="zh-CN"/>
                    </w:rPr>
                    <w:t>标准</w:t>
                  </w:r>
                </w:p>
              </w:tc>
              <w:tc>
                <w:tcPr>
                  <w:tcW w:w="891" w:type="pct"/>
                  <w:tcBorders>
                    <w:tl2br w:val="nil"/>
                    <w:tr2bl w:val="nil"/>
                  </w:tcBorders>
                  <w:vAlign w:val="center"/>
                </w:tcPr>
                <w:p w14:paraId="6562BE84">
                  <w:pPr>
                    <w:wordWrap w:val="0"/>
                    <w:autoSpaceDE w:val="0"/>
                    <w:autoSpaceDN w:val="0"/>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sz w:val="21"/>
                      <w:szCs w:val="21"/>
                    </w:rPr>
                    <w:t>NH</w:t>
                  </w:r>
                  <w:r>
                    <w:rPr>
                      <w:rFonts w:eastAsia="宋体" w:cs="Times New Roman"/>
                      <w:color w:val="auto"/>
                      <w:position w:val="-2"/>
                      <w:sz w:val="21"/>
                      <w:szCs w:val="21"/>
                      <w:vertAlign w:val="subscript"/>
                    </w:rPr>
                    <w:t>3</w:t>
                  </w:r>
                  <w:r>
                    <w:rPr>
                      <w:rFonts w:eastAsia="宋体" w:cs="Times New Roman"/>
                      <w:color w:val="auto"/>
                      <w:sz w:val="21"/>
                      <w:szCs w:val="21"/>
                    </w:rPr>
                    <w:t>-N</w:t>
                  </w:r>
                </w:p>
              </w:tc>
              <w:tc>
                <w:tcPr>
                  <w:tcW w:w="899" w:type="pct"/>
                  <w:tcBorders>
                    <w:tl2br w:val="nil"/>
                    <w:tr2bl w:val="nil"/>
                  </w:tcBorders>
                  <w:vAlign w:val="center"/>
                </w:tcPr>
                <w:p w14:paraId="67ABB8AA">
                  <w:pPr>
                    <w:wordWrap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45</w:t>
                  </w:r>
                </w:p>
              </w:tc>
            </w:tr>
            <w:tr w14:paraId="6BE464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7A72CE3F">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4ADC83A1">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3ED10E43">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总磷</w:t>
                  </w:r>
                </w:p>
              </w:tc>
              <w:tc>
                <w:tcPr>
                  <w:tcW w:w="899" w:type="pct"/>
                  <w:tcBorders>
                    <w:tl2br w:val="nil"/>
                    <w:tr2bl w:val="nil"/>
                  </w:tcBorders>
                  <w:vAlign w:val="center"/>
                </w:tcPr>
                <w:p w14:paraId="75D8E52E">
                  <w:pPr>
                    <w:wordWrap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8</w:t>
                  </w:r>
                </w:p>
              </w:tc>
            </w:tr>
            <w:tr w14:paraId="124CA0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restart"/>
                  <w:tcBorders>
                    <w:tl2br w:val="nil"/>
                    <w:tr2bl w:val="nil"/>
                  </w:tcBorders>
                  <w:vAlign w:val="center"/>
                </w:tcPr>
                <w:p w14:paraId="0217E7C5">
                  <w:pPr>
                    <w:wordWrap w:val="0"/>
                    <w:autoSpaceDE w:val="0"/>
                    <w:autoSpaceDN w:val="0"/>
                    <w:adjustRightInd w:val="0"/>
                    <w:spacing w:line="240" w:lineRule="auto"/>
                    <w:ind w:firstLine="0" w:firstLineChars="0"/>
                    <w:jc w:val="center"/>
                    <w:rPr>
                      <w:rFonts w:hint="default" w:eastAsia="宋体" w:cs="Times New Roman"/>
                      <w:color w:val="auto"/>
                      <w:kern w:val="0"/>
                      <w:sz w:val="21"/>
                      <w:szCs w:val="21"/>
                      <w:lang w:val="en-US"/>
                    </w:rPr>
                  </w:pPr>
                  <w:r>
                    <w:rPr>
                      <w:rFonts w:hint="eastAsia" w:eastAsia="宋体" w:cs="Times New Roman"/>
                      <w:color w:val="auto"/>
                      <w:kern w:val="0"/>
                      <w:sz w:val="21"/>
                      <w:szCs w:val="21"/>
                      <w:lang w:eastAsia="zh-CN"/>
                    </w:rPr>
                    <w:t>魏兴场镇污水处理厂</w:t>
                  </w:r>
                  <w:r>
                    <w:rPr>
                      <w:rFonts w:hint="eastAsia" w:cs="Times New Roman"/>
                      <w:color w:val="auto"/>
                      <w:kern w:val="0"/>
                      <w:sz w:val="21"/>
                      <w:szCs w:val="21"/>
                      <w:lang w:val="en-US" w:eastAsia="zh-CN"/>
                    </w:rPr>
                    <w:t>尾水外排标准</w:t>
                  </w:r>
                </w:p>
              </w:tc>
              <w:tc>
                <w:tcPr>
                  <w:tcW w:w="2711" w:type="pct"/>
                  <w:vMerge w:val="restart"/>
                  <w:tcBorders>
                    <w:tl2br w:val="nil"/>
                    <w:tr2bl w:val="nil"/>
                  </w:tcBorders>
                  <w:vAlign w:val="center"/>
                </w:tcPr>
                <w:p w14:paraId="1E3055B7">
                  <w:pPr>
                    <w:wordWrap w:val="0"/>
                    <w:autoSpaceDE w:val="0"/>
                    <w:autoSpaceDN w:val="0"/>
                    <w:adjustRightInd w:val="0"/>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lang w:eastAsia="zh-CN"/>
                    </w:rPr>
                    <w:t>《城镇污水处理厂污染物排放标准》（GB18918—2002）一级A标准</w:t>
                  </w:r>
                </w:p>
              </w:tc>
              <w:tc>
                <w:tcPr>
                  <w:tcW w:w="891" w:type="pct"/>
                  <w:tcBorders>
                    <w:tl2br w:val="nil"/>
                    <w:tr2bl w:val="nil"/>
                  </w:tcBorders>
                  <w:vAlign w:val="center"/>
                </w:tcPr>
                <w:p w14:paraId="40FB8400">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kern w:val="0"/>
                      <w:sz w:val="21"/>
                      <w:szCs w:val="21"/>
                    </w:rPr>
                    <w:t>pH</w:t>
                  </w:r>
                </w:p>
              </w:tc>
              <w:tc>
                <w:tcPr>
                  <w:tcW w:w="899" w:type="pct"/>
                  <w:tcBorders>
                    <w:tl2br w:val="nil"/>
                    <w:tr2bl w:val="nil"/>
                  </w:tcBorders>
                  <w:vAlign w:val="center"/>
                </w:tcPr>
                <w:p w14:paraId="35FE4A44">
                  <w:pPr>
                    <w:wordWrap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6-9</w:t>
                  </w:r>
                </w:p>
              </w:tc>
            </w:tr>
            <w:tr w14:paraId="11530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18F61949">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7A68DFC2">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7EA280A5">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kern w:val="0"/>
                      <w:sz w:val="21"/>
                      <w:szCs w:val="21"/>
                    </w:rPr>
                    <w:t>COD</w:t>
                  </w:r>
                </w:p>
              </w:tc>
              <w:tc>
                <w:tcPr>
                  <w:tcW w:w="899" w:type="pct"/>
                  <w:tcBorders>
                    <w:tl2br w:val="nil"/>
                    <w:tr2bl w:val="nil"/>
                  </w:tcBorders>
                  <w:vAlign w:val="center"/>
                </w:tcPr>
                <w:p w14:paraId="7AD3177F">
                  <w:pPr>
                    <w:wordWrap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50</w:t>
                  </w:r>
                </w:p>
              </w:tc>
            </w:tr>
            <w:tr w14:paraId="78F46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70F38ADE">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19DECC69">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5AD5C13F">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kern w:val="0"/>
                      <w:sz w:val="21"/>
                      <w:szCs w:val="21"/>
                    </w:rPr>
                    <w:t>BOD</w:t>
                  </w:r>
                  <w:r>
                    <w:rPr>
                      <w:rFonts w:eastAsia="宋体" w:cs="Times New Roman"/>
                      <w:color w:val="auto"/>
                      <w:kern w:val="0"/>
                      <w:sz w:val="21"/>
                      <w:szCs w:val="21"/>
                      <w:vertAlign w:val="subscript"/>
                    </w:rPr>
                    <w:t>5</w:t>
                  </w:r>
                </w:p>
              </w:tc>
              <w:tc>
                <w:tcPr>
                  <w:tcW w:w="899" w:type="pct"/>
                  <w:tcBorders>
                    <w:tl2br w:val="nil"/>
                    <w:tr2bl w:val="nil"/>
                  </w:tcBorders>
                  <w:vAlign w:val="center"/>
                </w:tcPr>
                <w:p w14:paraId="7F3248C5">
                  <w:pPr>
                    <w:wordWrap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w:t>
                  </w:r>
                </w:p>
              </w:tc>
            </w:tr>
            <w:tr w14:paraId="6BABF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1C76459B">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42291828">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220D9EEA">
                  <w:pPr>
                    <w:wordWrap w:val="0"/>
                    <w:autoSpaceDE w:val="0"/>
                    <w:autoSpaceDN w:val="0"/>
                    <w:adjustRightInd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SS</w:t>
                  </w:r>
                </w:p>
              </w:tc>
              <w:tc>
                <w:tcPr>
                  <w:tcW w:w="899" w:type="pct"/>
                  <w:tcBorders>
                    <w:tl2br w:val="nil"/>
                    <w:tr2bl w:val="nil"/>
                  </w:tcBorders>
                  <w:vAlign w:val="center"/>
                </w:tcPr>
                <w:p w14:paraId="5F8B5CE1">
                  <w:pPr>
                    <w:wordWrap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w:t>
                  </w:r>
                </w:p>
              </w:tc>
            </w:tr>
            <w:tr w14:paraId="1BE781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4A72855E">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398D08AB">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13E10DF0">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NH</w:t>
                  </w:r>
                  <w:r>
                    <w:rPr>
                      <w:rFonts w:eastAsia="宋体" w:cs="Times New Roman"/>
                      <w:color w:val="auto"/>
                      <w:position w:val="-2"/>
                      <w:sz w:val="21"/>
                      <w:szCs w:val="21"/>
                      <w:vertAlign w:val="subscript"/>
                    </w:rPr>
                    <w:t>3</w:t>
                  </w:r>
                  <w:r>
                    <w:rPr>
                      <w:rFonts w:eastAsia="宋体" w:cs="Times New Roman"/>
                      <w:color w:val="auto"/>
                      <w:sz w:val="21"/>
                      <w:szCs w:val="21"/>
                    </w:rPr>
                    <w:t>-N</w:t>
                  </w:r>
                </w:p>
              </w:tc>
              <w:tc>
                <w:tcPr>
                  <w:tcW w:w="899" w:type="pct"/>
                  <w:tcBorders>
                    <w:tl2br w:val="nil"/>
                    <w:tr2bl w:val="nil"/>
                  </w:tcBorders>
                  <w:vAlign w:val="center"/>
                </w:tcPr>
                <w:p w14:paraId="1B66A0B0">
                  <w:pPr>
                    <w:wordWrap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lang w:val="en-US" w:eastAsia="zh-CN"/>
                    </w:rPr>
                    <w:t>5(8)</w:t>
                  </w:r>
                </w:p>
              </w:tc>
            </w:tr>
            <w:tr w14:paraId="40E0FB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vAlign w:val="center"/>
                </w:tcPr>
                <w:p w14:paraId="5936A359">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2711" w:type="pct"/>
                  <w:vMerge w:val="continue"/>
                  <w:tcBorders>
                    <w:tl2br w:val="nil"/>
                    <w:tr2bl w:val="nil"/>
                  </w:tcBorders>
                  <w:vAlign w:val="center"/>
                </w:tcPr>
                <w:p w14:paraId="64B2CC8A">
                  <w:pPr>
                    <w:wordWrap w:val="0"/>
                    <w:autoSpaceDE w:val="0"/>
                    <w:autoSpaceDN w:val="0"/>
                    <w:adjustRightInd w:val="0"/>
                    <w:spacing w:line="240" w:lineRule="auto"/>
                    <w:ind w:firstLine="0" w:firstLineChars="0"/>
                    <w:jc w:val="center"/>
                    <w:rPr>
                      <w:rFonts w:eastAsia="宋体" w:cs="Times New Roman"/>
                      <w:color w:val="auto"/>
                      <w:kern w:val="0"/>
                      <w:sz w:val="21"/>
                      <w:szCs w:val="21"/>
                    </w:rPr>
                  </w:pPr>
                </w:p>
              </w:tc>
              <w:tc>
                <w:tcPr>
                  <w:tcW w:w="891" w:type="pct"/>
                  <w:tcBorders>
                    <w:tl2br w:val="nil"/>
                    <w:tr2bl w:val="nil"/>
                  </w:tcBorders>
                  <w:vAlign w:val="center"/>
                </w:tcPr>
                <w:p w14:paraId="2B6FFDB8">
                  <w:pPr>
                    <w:wordWrap w:val="0"/>
                    <w:autoSpaceDE w:val="0"/>
                    <w:autoSpaceDN w:val="0"/>
                    <w:adjustRightIn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总磷</w:t>
                  </w:r>
                </w:p>
              </w:tc>
              <w:tc>
                <w:tcPr>
                  <w:tcW w:w="899" w:type="pct"/>
                  <w:tcBorders>
                    <w:tl2br w:val="nil"/>
                    <w:tr2bl w:val="nil"/>
                  </w:tcBorders>
                  <w:vAlign w:val="center"/>
                </w:tcPr>
                <w:p w14:paraId="5BA2F2B9">
                  <w:pPr>
                    <w:wordWrap w:val="0"/>
                    <w:spacing w:line="24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0.5</w:t>
                  </w:r>
                </w:p>
              </w:tc>
            </w:tr>
          </w:tbl>
          <w:p w14:paraId="3CF4BDDB">
            <w:pPr>
              <w:pStyle w:val="38"/>
              <w:ind w:firstLine="482"/>
              <w:rPr>
                <w:b/>
                <w:bCs/>
                <w:color w:val="auto"/>
                <w:highlight w:val="none"/>
              </w:rPr>
            </w:pPr>
            <w:r>
              <w:rPr>
                <w:b/>
                <w:bCs/>
                <w:color w:val="auto"/>
                <w:highlight w:val="none"/>
              </w:rPr>
              <w:t>2、废气污染物</w:t>
            </w:r>
          </w:p>
          <w:p w14:paraId="57997FA2">
            <w:pPr>
              <w:pStyle w:val="38"/>
              <w:ind w:firstLine="480"/>
              <w:rPr>
                <w:rFonts w:hint="eastAsia"/>
                <w:color w:val="auto"/>
                <w:lang w:eastAsia="zh-CN"/>
              </w:rPr>
            </w:pPr>
            <w:r>
              <w:rPr>
                <w:rFonts w:hint="eastAsia"/>
              </w:rPr>
              <w:t>技改后，本项目营运期排放废气主要为</w:t>
            </w:r>
            <w:r>
              <w:rPr>
                <w:rFonts w:hint="eastAsia"/>
                <w:lang w:val="en-US" w:eastAsia="zh-CN"/>
              </w:rPr>
              <w:t>固化</w:t>
            </w:r>
            <w:r>
              <w:rPr>
                <w:rFonts w:hint="eastAsia"/>
              </w:rPr>
              <w:t>产生的VOCs</w:t>
            </w:r>
            <w:r>
              <w:rPr>
                <w:rFonts w:hint="eastAsia"/>
                <w:lang w:eastAsia="zh-CN"/>
              </w:rPr>
              <w:t>，</w:t>
            </w:r>
            <w:r>
              <w:rPr>
                <w:rFonts w:hint="eastAsia"/>
                <w:color w:val="auto"/>
                <w:lang w:val="en-US" w:eastAsia="zh-CN"/>
              </w:rPr>
              <w:t>排放执行</w:t>
            </w:r>
            <w:r>
              <w:rPr>
                <w:color w:val="auto"/>
              </w:rPr>
              <w:t>《四川省固定污染源大气挥发性有机物排放标准》（DB51/2377-2017）表3</w:t>
            </w:r>
            <w:r>
              <w:rPr>
                <w:rFonts w:hint="eastAsia"/>
                <w:color w:val="auto"/>
                <w:lang w:val="en-US" w:eastAsia="zh-CN"/>
              </w:rPr>
              <w:t>中“</w:t>
            </w:r>
            <w:r>
              <w:rPr>
                <w:color w:val="auto"/>
              </w:rPr>
              <w:t>涉及有机溶剂生产和使用的其它行业</w:t>
            </w:r>
            <w:r>
              <w:rPr>
                <w:rFonts w:hint="eastAsia"/>
                <w:color w:val="auto"/>
                <w:lang w:val="en-US" w:eastAsia="zh-CN"/>
              </w:rPr>
              <w:t>”</w:t>
            </w:r>
            <w:r>
              <w:rPr>
                <w:color w:val="auto"/>
              </w:rPr>
              <w:t>中</w:t>
            </w:r>
            <w:r>
              <w:rPr>
                <w:rFonts w:hint="eastAsia"/>
                <w:color w:val="auto"/>
              </w:rPr>
              <w:t>的限值要求</w:t>
            </w:r>
            <w:r>
              <w:rPr>
                <w:rFonts w:hint="eastAsia"/>
                <w:color w:val="auto"/>
                <w:lang w:eastAsia="zh-CN"/>
              </w:rPr>
              <w:t>。</w:t>
            </w:r>
          </w:p>
          <w:p w14:paraId="1F7F52D0">
            <w:pPr>
              <w:pStyle w:val="44"/>
              <w:ind w:firstLine="480"/>
              <w:jc w:val="both"/>
              <w:rPr>
                <w:color w:val="auto"/>
              </w:rPr>
            </w:pPr>
            <w:r>
              <w:rPr>
                <w:rFonts w:hint="eastAsia"/>
                <w:color w:val="auto"/>
                <w:lang w:val="en-US" w:eastAsia="zh-CN"/>
              </w:rPr>
              <w:t>厂界</w:t>
            </w:r>
            <w:r>
              <w:rPr>
                <w:color w:val="auto"/>
              </w:rPr>
              <w:t>无组织VOCs</w:t>
            </w:r>
            <w:r>
              <w:rPr>
                <w:rFonts w:hint="eastAsia"/>
                <w:color w:val="auto"/>
                <w:lang w:val="en-US" w:eastAsia="zh-CN"/>
              </w:rPr>
              <w:t>排放</w:t>
            </w:r>
            <w:r>
              <w:rPr>
                <w:color w:val="auto"/>
              </w:rPr>
              <w:t>执行《四川省固定污染源大气挥发性有机物排放标准》（DB51-2377-2017）中表5中无组织</w:t>
            </w:r>
            <w:r>
              <w:rPr>
                <w:bCs/>
                <w:color w:val="auto"/>
                <w:szCs w:val="21"/>
              </w:rPr>
              <w:t>排放监控浓度限值，</w:t>
            </w:r>
            <w:r>
              <w:rPr>
                <w:rFonts w:hint="eastAsia"/>
                <w:bCs/>
                <w:color w:val="auto"/>
                <w:szCs w:val="21"/>
                <w:lang w:val="en-US" w:eastAsia="zh-CN"/>
              </w:rPr>
              <w:t>同时，</w:t>
            </w:r>
            <w:r>
              <w:rPr>
                <w:bCs/>
                <w:color w:val="auto"/>
                <w:szCs w:val="21"/>
              </w:rPr>
              <w:t>厂区内无组织VOCs还须满足</w:t>
            </w:r>
            <w:r>
              <w:rPr>
                <w:color w:val="auto"/>
              </w:rPr>
              <w:t>《挥发性有机物无组织排放控制标准》（GB37822-2019）中要求。</w:t>
            </w:r>
          </w:p>
          <w:p w14:paraId="327DE76C">
            <w:pPr>
              <w:pStyle w:val="7"/>
              <w:bidi w:val="0"/>
              <w:rPr>
                <w:rFonts w:hint="eastAsia"/>
              </w:rPr>
            </w:pPr>
            <w:r>
              <w:rPr>
                <w:rFonts w:hint="eastAsia"/>
              </w:rPr>
              <w:t>表3</w:t>
            </w:r>
            <w:r>
              <w:rPr>
                <w:rFonts w:hint="eastAsia"/>
                <w:lang w:val="en-US" w:eastAsia="zh-CN"/>
              </w:rPr>
              <w:t>-5</w:t>
            </w:r>
            <w:r>
              <w:rPr>
                <w:rFonts w:hint="eastAsia"/>
              </w:rPr>
              <w:t xml:space="preserve">  </w:t>
            </w:r>
            <w:r>
              <w:rPr>
                <w:rFonts w:hint="eastAsia"/>
                <w:lang w:val="en-US" w:eastAsia="zh-CN"/>
              </w:rPr>
              <w:t>废气</w:t>
            </w:r>
            <w:r>
              <w:rPr>
                <w:rFonts w:hint="eastAsia"/>
              </w:rPr>
              <w:t>排放标准</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36"/>
              <w:gridCol w:w="1543"/>
              <w:gridCol w:w="2718"/>
              <w:gridCol w:w="2458"/>
            </w:tblGrid>
            <w:tr w14:paraId="7AB51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000" w:type="pct"/>
                  <w:gridSpan w:val="4"/>
                  <w:vAlign w:val="center"/>
                </w:tcPr>
                <w:p w14:paraId="5192947D">
                  <w:pPr>
                    <w:pStyle w:val="5"/>
                    <w:bidi w:val="0"/>
                  </w:pPr>
                  <w:r>
                    <w:rPr>
                      <w:b/>
                      <w:bCs/>
                    </w:rPr>
                    <w:t>《四川省固定污染源大气挥发性有机物排放标准》</w:t>
                  </w:r>
                  <w:r>
                    <w:rPr>
                      <w:rFonts w:hint="eastAsia"/>
                      <w:b/>
                      <w:bCs/>
                      <w:lang w:eastAsia="zh-CN"/>
                    </w:rPr>
                    <w:t>（</w:t>
                  </w:r>
                  <w:r>
                    <w:rPr>
                      <w:b/>
                      <w:bCs/>
                    </w:rPr>
                    <w:t>DB51/2377-2017</w:t>
                  </w:r>
                  <w:r>
                    <w:rPr>
                      <w:rFonts w:hint="eastAsia"/>
                      <w:b/>
                      <w:bCs/>
                      <w:lang w:eastAsia="zh-CN"/>
                    </w:rPr>
                    <w:t>）</w:t>
                  </w:r>
                  <w:r>
                    <w:rPr>
                      <w:b/>
                      <w:bCs/>
                    </w:rPr>
                    <w:t>表3、5标准</w:t>
                  </w:r>
                </w:p>
              </w:tc>
            </w:tr>
            <w:tr w14:paraId="66AD5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06" w:type="pct"/>
                  <w:vAlign w:val="center"/>
                </w:tcPr>
                <w:p w14:paraId="023E2ECA">
                  <w:pPr>
                    <w:pStyle w:val="5"/>
                    <w:bidi w:val="0"/>
                  </w:pPr>
                  <w:r>
                    <w:t>污染物</w:t>
                  </w:r>
                </w:p>
              </w:tc>
              <w:tc>
                <w:tcPr>
                  <w:tcW w:w="871" w:type="pct"/>
                  <w:vAlign w:val="center"/>
                </w:tcPr>
                <w:p w14:paraId="01F1D921">
                  <w:pPr>
                    <w:pStyle w:val="5"/>
                    <w:bidi w:val="0"/>
                  </w:pPr>
                  <w:r>
                    <w:t>最高允许排放浓度（mg/m</w:t>
                  </w:r>
                  <w:r>
                    <w:rPr>
                      <w:vertAlign w:val="superscript"/>
                    </w:rPr>
                    <w:t>3</w:t>
                  </w:r>
                  <w:r>
                    <w:t>）</w:t>
                  </w:r>
                </w:p>
              </w:tc>
              <w:tc>
                <w:tcPr>
                  <w:tcW w:w="1535" w:type="pct"/>
                  <w:vAlign w:val="center"/>
                </w:tcPr>
                <w:p w14:paraId="766C452E">
                  <w:pPr>
                    <w:pStyle w:val="5"/>
                    <w:bidi w:val="0"/>
                  </w:pPr>
                  <w:r>
                    <w:t>最高允许排放速率（kg/h）</w:t>
                  </w:r>
                </w:p>
              </w:tc>
              <w:tc>
                <w:tcPr>
                  <w:tcW w:w="1386" w:type="pct"/>
                  <w:vAlign w:val="center"/>
                </w:tcPr>
                <w:p w14:paraId="34E72F4C">
                  <w:pPr>
                    <w:pStyle w:val="5"/>
                    <w:bidi w:val="0"/>
                  </w:pPr>
                  <w:r>
                    <w:t>无组织排放监控浓度限值（mg/m</w:t>
                  </w:r>
                  <w:r>
                    <w:rPr>
                      <w:vertAlign w:val="superscript"/>
                    </w:rPr>
                    <w:t>3</w:t>
                  </w:r>
                  <w:r>
                    <w:t>）</w:t>
                  </w:r>
                </w:p>
              </w:tc>
            </w:tr>
            <w:tr w14:paraId="0CFA4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06" w:type="pct"/>
                  <w:vAlign w:val="center"/>
                </w:tcPr>
                <w:p w14:paraId="39232237">
                  <w:pPr>
                    <w:pStyle w:val="5"/>
                    <w:bidi w:val="0"/>
                  </w:pPr>
                  <w:r>
                    <w:t>VOCs</w:t>
                  </w:r>
                </w:p>
              </w:tc>
              <w:tc>
                <w:tcPr>
                  <w:tcW w:w="871" w:type="pct"/>
                  <w:vAlign w:val="center"/>
                </w:tcPr>
                <w:p w14:paraId="362C559B">
                  <w:pPr>
                    <w:pStyle w:val="5"/>
                    <w:bidi w:val="0"/>
                  </w:pPr>
                  <w:r>
                    <w:t>60</w:t>
                  </w:r>
                </w:p>
              </w:tc>
              <w:tc>
                <w:tcPr>
                  <w:tcW w:w="1535" w:type="pct"/>
                  <w:vAlign w:val="center"/>
                </w:tcPr>
                <w:p w14:paraId="24DD3D94">
                  <w:pPr>
                    <w:pStyle w:val="5"/>
                    <w:bidi w:val="0"/>
                    <w:rPr>
                      <w:rFonts w:hint="eastAsia"/>
                      <w:lang w:eastAsia="zh-CN"/>
                    </w:rPr>
                  </w:pPr>
                  <w:r>
                    <w:rPr>
                      <w:rFonts w:hint="eastAsia"/>
                      <w:lang w:val="en-US" w:eastAsia="zh-CN"/>
                    </w:rPr>
                    <w:t>6.7（排气筒25m，严格50%</w:t>
                  </w:r>
                  <w:r>
                    <w:t>）</w:t>
                  </w:r>
                </w:p>
              </w:tc>
              <w:tc>
                <w:tcPr>
                  <w:tcW w:w="1386" w:type="pct"/>
                  <w:vAlign w:val="center"/>
                </w:tcPr>
                <w:p w14:paraId="386E63FD">
                  <w:pPr>
                    <w:pStyle w:val="5"/>
                    <w:bidi w:val="0"/>
                  </w:pPr>
                  <w:r>
                    <w:t>2.0</w:t>
                  </w:r>
                </w:p>
              </w:tc>
            </w:tr>
            <w:tr w14:paraId="5DC151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000" w:type="pct"/>
                  <w:gridSpan w:val="4"/>
                  <w:vAlign w:val="center"/>
                </w:tcPr>
                <w:p w14:paraId="060E0C3E">
                  <w:pPr>
                    <w:pStyle w:val="5"/>
                    <w:bidi w:val="0"/>
                  </w:pPr>
                  <w:r>
                    <w:rPr>
                      <w:b/>
                      <w:bCs/>
                    </w:rPr>
                    <w:t>《挥发性有机物无组织排放控制标准》（GB37822-2019）无组织VOCs特别排放限值</w:t>
                  </w:r>
                </w:p>
              </w:tc>
            </w:tr>
            <w:tr w14:paraId="0B6D96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06" w:type="pct"/>
                  <w:shd w:val="clear" w:color="auto" w:fill="auto"/>
                  <w:vAlign w:val="center"/>
                </w:tcPr>
                <w:p w14:paraId="4936B091">
                  <w:pPr>
                    <w:pStyle w:val="5"/>
                    <w:rPr>
                      <w:lang w:val="en-US" w:eastAsia="zh-CN"/>
                    </w:rPr>
                  </w:pPr>
                  <w:r>
                    <w:t>污染物</w:t>
                  </w:r>
                </w:p>
              </w:tc>
              <w:tc>
                <w:tcPr>
                  <w:tcW w:w="871" w:type="pct"/>
                  <w:shd w:val="clear" w:color="auto" w:fill="auto"/>
                  <w:vAlign w:val="center"/>
                </w:tcPr>
                <w:p w14:paraId="65F01ED9">
                  <w:pPr>
                    <w:pStyle w:val="5"/>
                    <w:rPr>
                      <w:lang w:val="en-US" w:eastAsia="zh-CN"/>
                    </w:rPr>
                  </w:pPr>
                  <w:r>
                    <w:t>特别排放限值（mg/m3）</w:t>
                  </w:r>
                </w:p>
              </w:tc>
              <w:tc>
                <w:tcPr>
                  <w:tcW w:w="1535" w:type="pct"/>
                  <w:shd w:val="clear" w:color="auto" w:fill="auto"/>
                  <w:vAlign w:val="center"/>
                </w:tcPr>
                <w:p w14:paraId="5EF5289D">
                  <w:pPr>
                    <w:pStyle w:val="5"/>
                    <w:rPr>
                      <w:rFonts w:hint="default"/>
                      <w:lang w:val="en-US" w:eastAsia="zh-CN"/>
                    </w:rPr>
                  </w:pPr>
                  <w:r>
                    <w:t>限值含义</w:t>
                  </w:r>
                </w:p>
              </w:tc>
              <w:tc>
                <w:tcPr>
                  <w:tcW w:w="1386" w:type="pct"/>
                  <w:shd w:val="clear" w:color="auto" w:fill="auto"/>
                  <w:vAlign w:val="center"/>
                </w:tcPr>
                <w:p w14:paraId="058B87A5">
                  <w:pPr>
                    <w:pStyle w:val="5"/>
                    <w:rPr>
                      <w:lang w:val="en-US" w:eastAsia="zh-CN"/>
                    </w:rPr>
                  </w:pPr>
                  <w:r>
                    <w:t>无组织排放监控</w:t>
                  </w:r>
                </w:p>
              </w:tc>
            </w:tr>
            <w:tr w14:paraId="350AE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06" w:type="pct"/>
                  <w:vMerge w:val="restart"/>
                  <w:shd w:val="clear" w:color="auto" w:fill="auto"/>
                  <w:vAlign w:val="center"/>
                </w:tcPr>
                <w:p w14:paraId="2F0DA284">
                  <w:pPr>
                    <w:pStyle w:val="5"/>
                    <w:rPr>
                      <w:lang w:val="en-US" w:eastAsia="zh-CN"/>
                    </w:rPr>
                  </w:pPr>
                  <w:r>
                    <w:t>厂区内无组织VOCs</w:t>
                  </w:r>
                </w:p>
              </w:tc>
              <w:tc>
                <w:tcPr>
                  <w:tcW w:w="871" w:type="pct"/>
                  <w:shd w:val="clear" w:color="auto" w:fill="auto"/>
                  <w:vAlign w:val="center"/>
                </w:tcPr>
                <w:p w14:paraId="31EBAB15">
                  <w:pPr>
                    <w:pStyle w:val="5"/>
                    <w:rPr>
                      <w:lang w:val="en-US" w:eastAsia="zh-CN"/>
                    </w:rPr>
                  </w:pPr>
                  <w:r>
                    <w:t>6</w:t>
                  </w:r>
                </w:p>
              </w:tc>
              <w:tc>
                <w:tcPr>
                  <w:tcW w:w="1535" w:type="pct"/>
                  <w:shd w:val="clear" w:color="auto" w:fill="auto"/>
                  <w:vAlign w:val="center"/>
                </w:tcPr>
                <w:p w14:paraId="21CD94F0">
                  <w:pPr>
                    <w:pStyle w:val="5"/>
                    <w:rPr>
                      <w:rFonts w:hint="default"/>
                      <w:lang w:val="en-US" w:eastAsia="zh-CN"/>
                    </w:rPr>
                  </w:pPr>
                  <w:r>
                    <w:t>监控点处1h平均浓度值</w:t>
                  </w:r>
                </w:p>
              </w:tc>
              <w:tc>
                <w:tcPr>
                  <w:tcW w:w="1386" w:type="pct"/>
                  <w:vMerge w:val="restart"/>
                  <w:shd w:val="clear" w:color="auto" w:fill="auto"/>
                  <w:vAlign w:val="center"/>
                </w:tcPr>
                <w:p w14:paraId="29A54AC1">
                  <w:pPr>
                    <w:pStyle w:val="5"/>
                    <w:rPr>
                      <w:lang w:val="en-US" w:eastAsia="zh-CN"/>
                    </w:rPr>
                  </w:pPr>
                  <w:r>
                    <w:t>在厂房外设置监控点位</w:t>
                  </w:r>
                </w:p>
              </w:tc>
            </w:tr>
            <w:tr w14:paraId="69B7F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06" w:type="pct"/>
                  <w:vMerge w:val="continue"/>
                  <w:vAlign w:val="center"/>
                </w:tcPr>
                <w:p w14:paraId="1B15074B">
                  <w:pPr>
                    <w:pStyle w:val="5"/>
                    <w:bidi w:val="0"/>
                  </w:pPr>
                </w:p>
              </w:tc>
              <w:tc>
                <w:tcPr>
                  <w:tcW w:w="871" w:type="pct"/>
                  <w:shd w:val="clear" w:color="auto" w:fill="auto"/>
                  <w:vAlign w:val="center"/>
                </w:tcPr>
                <w:p w14:paraId="472A62E8">
                  <w:pPr>
                    <w:pStyle w:val="5"/>
                    <w:rPr>
                      <w:lang w:val="en-US" w:eastAsia="zh-CN"/>
                    </w:rPr>
                  </w:pPr>
                  <w:r>
                    <w:t>20</w:t>
                  </w:r>
                </w:p>
              </w:tc>
              <w:tc>
                <w:tcPr>
                  <w:tcW w:w="1535" w:type="pct"/>
                  <w:shd w:val="clear" w:color="auto" w:fill="auto"/>
                  <w:vAlign w:val="center"/>
                </w:tcPr>
                <w:p w14:paraId="5C74244C">
                  <w:pPr>
                    <w:pStyle w:val="5"/>
                    <w:rPr>
                      <w:rFonts w:hint="default"/>
                      <w:lang w:val="en-US" w:eastAsia="zh-CN"/>
                    </w:rPr>
                  </w:pPr>
                  <w:r>
                    <w:t>监控点任意一次浓度值</w:t>
                  </w:r>
                </w:p>
              </w:tc>
              <w:tc>
                <w:tcPr>
                  <w:tcW w:w="1386" w:type="pct"/>
                  <w:vMerge w:val="continue"/>
                  <w:vAlign w:val="center"/>
                </w:tcPr>
                <w:p w14:paraId="5C614287">
                  <w:pPr>
                    <w:pStyle w:val="5"/>
                    <w:bidi w:val="0"/>
                  </w:pPr>
                </w:p>
              </w:tc>
            </w:tr>
          </w:tbl>
          <w:p w14:paraId="1119C87D">
            <w:pPr>
              <w:rPr>
                <w:sz w:val="22"/>
                <w:szCs w:val="18"/>
              </w:rPr>
            </w:pPr>
            <w:r>
              <w:rPr>
                <w:rFonts w:hint="eastAsia"/>
                <w:color w:val="auto"/>
                <w:sz w:val="22"/>
                <w:szCs w:val="18"/>
                <w:lang w:val="en-US" w:eastAsia="zh-CN"/>
              </w:rPr>
              <w:t>注：根据</w:t>
            </w:r>
            <w:r>
              <w:rPr>
                <w:color w:val="auto"/>
                <w:sz w:val="22"/>
                <w:szCs w:val="18"/>
              </w:rPr>
              <w:t>《四川省固定污染源大气挥发性有机物排放标准》（DB51/2377-2017）</w:t>
            </w:r>
            <w:r>
              <w:rPr>
                <w:rFonts w:hint="eastAsia"/>
                <w:color w:val="auto"/>
                <w:sz w:val="22"/>
                <w:szCs w:val="18"/>
                <w:lang w:val="en-US" w:eastAsia="zh-CN"/>
              </w:rPr>
              <w:t>中“4.4.3 所有排气筒高度应不低于15m。排气筒周围半径200m范围内有建筑物时，排气筒高度还应高出最高建筑物3m以上。不能达到该要求的排气筒，按其高度对应的表</w:t>
            </w:r>
            <w:r>
              <w:rPr>
                <w:rFonts w:hint="eastAsia"/>
                <w:color w:val="auto"/>
                <w:sz w:val="22"/>
                <w:szCs w:val="18"/>
                <w:highlight w:val="none"/>
                <w:lang w:val="en-US" w:eastAsia="zh-CN"/>
              </w:rPr>
              <w:t>列排放速率标准限值严格50%执行”，本项目200m范围内存在建筑物，但</w:t>
            </w:r>
            <w:r>
              <w:rPr>
                <w:rFonts w:hint="eastAsia"/>
                <w:color w:val="auto"/>
                <w:sz w:val="22"/>
                <w:szCs w:val="18"/>
                <w:lang w:val="en-US" w:eastAsia="zh-CN"/>
              </w:rPr>
              <w:t>排气筒高度未能高出最高建筑物3m以上”，</w:t>
            </w:r>
            <w:r>
              <w:rPr>
                <w:rFonts w:hint="eastAsia"/>
                <w:color w:val="auto"/>
                <w:sz w:val="22"/>
                <w:szCs w:val="18"/>
                <w:highlight w:val="none"/>
                <w:lang w:val="en-US" w:eastAsia="zh-CN"/>
              </w:rPr>
              <w:t>因此本项目</w:t>
            </w:r>
            <w:r>
              <w:rPr>
                <w:color w:val="auto"/>
                <w:sz w:val="22"/>
                <w:szCs w:val="18"/>
                <w:highlight w:val="none"/>
              </w:rPr>
              <w:t>VOCs</w:t>
            </w:r>
            <w:r>
              <w:rPr>
                <w:rFonts w:hint="eastAsia"/>
                <w:color w:val="auto"/>
                <w:sz w:val="22"/>
                <w:szCs w:val="18"/>
                <w:highlight w:val="none"/>
                <w:lang w:val="en-US" w:eastAsia="zh-CN"/>
              </w:rPr>
              <w:t>排放速率严格50%执行。</w:t>
            </w:r>
          </w:p>
          <w:p w14:paraId="12D8ACFB">
            <w:pPr>
              <w:pStyle w:val="38"/>
              <w:ind w:firstLine="482"/>
              <w:rPr>
                <w:b/>
                <w:bCs/>
                <w:color w:val="auto"/>
              </w:rPr>
            </w:pPr>
            <w:r>
              <w:rPr>
                <w:b/>
                <w:bCs/>
                <w:color w:val="auto"/>
              </w:rPr>
              <w:t>3、噪声</w:t>
            </w:r>
          </w:p>
          <w:p w14:paraId="1D70DA99">
            <w:pPr>
              <w:pStyle w:val="38"/>
              <w:ind w:firstLine="480"/>
              <w:rPr>
                <w:rFonts w:hint="eastAsia"/>
                <w:color w:val="auto"/>
              </w:rPr>
            </w:pPr>
            <w:r>
              <w:rPr>
                <w:color w:val="auto"/>
              </w:rPr>
              <w:t>施工期执行《建筑施工场界环境噪声排放标准》</w:t>
            </w:r>
            <w:r>
              <w:rPr>
                <w:rFonts w:hint="eastAsia"/>
                <w:color w:val="auto"/>
              </w:rPr>
              <w:t>（</w:t>
            </w:r>
            <w:r>
              <w:rPr>
                <w:color w:val="auto"/>
              </w:rPr>
              <w:t>GB12523-2011</w:t>
            </w:r>
            <w:r>
              <w:rPr>
                <w:rFonts w:hint="eastAsia"/>
                <w:color w:val="auto"/>
              </w:rPr>
              <w:t>）</w:t>
            </w:r>
            <w:r>
              <w:rPr>
                <w:color w:val="auto"/>
              </w:rPr>
              <w:t>中表1规定的排放限值</w:t>
            </w:r>
            <w:r>
              <w:rPr>
                <w:rFonts w:hint="eastAsia"/>
                <w:color w:val="auto"/>
              </w:rPr>
              <w:t>。</w:t>
            </w:r>
          </w:p>
          <w:p w14:paraId="0D7EE904">
            <w:pPr>
              <w:pStyle w:val="7"/>
              <w:bidi w:val="0"/>
              <w:rPr>
                <w:rFonts w:eastAsia="黑体"/>
                <w:b w:val="0"/>
                <w:color w:val="auto"/>
              </w:rPr>
            </w:pPr>
            <w:r>
              <w:rPr>
                <w:rFonts w:hint="eastAsia"/>
              </w:rPr>
              <w:t>表3-</w:t>
            </w:r>
            <w:r>
              <w:rPr>
                <w:rFonts w:hint="eastAsia"/>
                <w:lang w:val="en-US" w:eastAsia="zh-CN"/>
              </w:rPr>
              <w:t>6</w:t>
            </w:r>
            <w:r>
              <w:rPr>
                <w:rFonts w:hint="eastAsia"/>
              </w:rPr>
              <w:t xml:space="preserve">  建筑施工场界环境噪声排放标准限值    单位：dB（A）</w:t>
            </w:r>
          </w:p>
          <w:tbl>
            <w:tblPr>
              <w:tblStyle w:val="4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6"/>
              <w:gridCol w:w="4427"/>
            </w:tblGrid>
            <w:tr w14:paraId="1E3FDE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500" w:type="pct"/>
                  <w:tcBorders>
                    <w:top w:val="single" w:color="000000" w:sz="8" w:space="0"/>
                  </w:tcBorders>
                  <w:vAlign w:val="center"/>
                </w:tcPr>
                <w:p w14:paraId="58BDF23A">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b/>
                      <w:bCs/>
                      <w:color w:val="auto"/>
                    </w:rPr>
                    <w:t>昼间</w:t>
                  </w:r>
                </w:p>
              </w:tc>
              <w:tc>
                <w:tcPr>
                  <w:tcW w:w="2500" w:type="pct"/>
                  <w:tcBorders>
                    <w:top w:val="single" w:color="000000" w:sz="8" w:space="0"/>
                  </w:tcBorders>
                  <w:vAlign w:val="center"/>
                </w:tcPr>
                <w:p w14:paraId="0A02889E">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b/>
                      <w:bCs/>
                      <w:color w:val="auto"/>
                    </w:rPr>
                    <w:t>夜间</w:t>
                  </w:r>
                </w:p>
              </w:tc>
            </w:tr>
            <w:tr w14:paraId="023CC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500" w:type="pct"/>
                  <w:tcBorders>
                    <w:bottom w:val="single" w:color="000000" w:sz="8" w:space="0"/>
                  </w:tcBorders>
                  <w:vAlign w:val="center"/>
                </w:tcPr>
                <w:p w14:paraId="13402610">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70</w:t>
                  </w:r>
                </w:p>
              </w:tc>
              <w:tc>
                <w:tcPr>
                  <w:tcW w:w="2500" w:type="pct"/>
                  <w:tcBorders>
                    <w:bottom w:val="single" w:color="000000" w:sz="8" w:space="0"/>
                  </w:tcBorders>
                  <w:vAlign w:val="center"/>
                </w:tcPr>
                <w:p w14:paraId="1F00F17B">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55</w:t>
                  </w:r>
                </w:p>
              </w:tc>
            </w:tr>
          </w:tbl>
          <w:p w14:paraId="6FEA091A">
            <w:pPr>
              <w:pStyle w:val="38"/>
              <w:ind w:firstLine="480"/>
              <w:rPr>
                <w:color w:val="auto"/>
              </w:rPr>
            </w:pPr>
            <w:r>
              <w:rPr>
                <w:color w:val="auto"/>
              </w:rPr>
              <w:t>营运期执行《工业企业厂界环境噪声排放标准》（GB12348-2008）中表1规定的3类声环境功能区的排放限值，详见表3</w:t>
            </w:r>
            <w:r>
              <w:rPr>
                <w:rFonts w:hint="eastAsia"/>
                <w:color w:val="auto"/>
                <w:lang w:val="en-US" w:eastAsia="zh-CN"/>
              </w:rPr>
              <w:t>-7</w:t>
            </w:r>
            <w:r>
              <w:rPr>
                <w:color w:val="auto"/>
              </w:rPr>
              <w:t>。</w:t>
            </w:r>
          </w:p>
          <w:p w14:paraId="006C2BA1">
            <w:pPr>
              <w:pStyle w:val="7"/>
              <w:bidi w:val="0"/>
            </w:pPr>
            <w:r>
              <w:rPr>
                <w:rFonts w:hint="eastAsia"/>
              </w:rPr>
              <w:t>表3</w:t>
            </w:r>
            <w:r>
              <w:rPr>
                <w:rFonts w:hint="eastAsia"/>
                <w:lang w:val="en-US" w:eastAsia="zh-CN"/>
              </w:rPr>
              <w:t>-6</w:t>
            </w:r>
            <w:r>
              <w:rPr>
                <w:rFonts w:hint="eastAsia"/>
              </w:rPr>
              <w:t xml:space="preserve">  工业企业厂界环境噪声排放标准限值    单位：dB（A）</w:t>
            </w:r>
          </w:p>
          <w:tbl>
            <w:tblPr>
              <w:tblStyle w:val="43"/>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51"/>
              <w:gridCol w:w="2952"/>
              <w:gridCol w:w="2952"/>
            </w:tblGrid>
            <w:tr w14:paraId="053F24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666" w:type="pct"/>
                  <w:tcBorders>
                    <w:tl2br w:val="nil"/>
                    <w:tr2bl w:val="nil"/>
                  </w:tcBorders>
                  <w:vAlign w:val="center"/>
                </w:tcPr>
                <w:p w14:paraId="50D2695F">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b/>
                      <w:bCs/>
                      <w:color w:val="auto"/>
                    </w:rPr>
                    <w:t>类别</w:t>
                  </w:r>
                </w:p>
              </w:tc>
              <w:tc>
                <w:tcPr>
                  <w:tcW w:w="1666" w:type="pct"/>
                  <w:tcBorders>
                    <w:tl2br w:val="nil"/>
                    <w:tr2bl w:val="nil"/>
                  </w:tcBorders>
                  <w:vAlign w:val="center"/>
                </w:tcPr>
                <w:p w14:paraId="33214FF5">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b/>
                      <w:bCs/>
                      <w:color w:val="auto"/>
                    </w:rPr>
                    <w:t>昼间</w:t>
                  </w:r>
                </w:p>
              </w:tc>
              <w:tc>
                <w:tcPr>
                  <w:tcW w:w="1666" w:type="pct"/>
                  <w:tcBorders>
                    <w:tl2br w:val="nil"/>
                    <w:tr2bl w:val="nil"/>
                  </w:tcBorders>
                  <w:vAlign w:val="center"/>
                </w:tcPr>
                <w:p w14:paraId="20054545">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b/>
                      <w:bCs/>
                      <w:color w:val="auto"/>
                    </w:rPr>
                    <w:t>夜间</w:t>
                  </w:r>
                </w:p>
              </w:tc>
            </w:tr>
            <w:tr w14:paraId="34755B3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666" w:type="pct"/>
                  <w:tcBorders>
                    <w:tl2br w:val="nil"/>
                    <w:tr2bl w:val="nil"/>
                  </w:tcBorders>
                  <w:vAlign w:val="center"/>
                </w:tcPr>
                <w:p w14:paraId="626F2563">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3类</w:t>
                  </w:r>
                </w:p>
              </w:tc>
              <w:tc>
                <w:tcPr>
                  <w:tcW w:w="1666" w:type="pct"/>
                  <w:tcBorders>
                    <w:tl2br w:val="nil"/>
                    <w:tr2bl w:val="nil"/>
                  </w:tcBorders>
                  <w:vAlign w:val="center"/>
                </w:tcPr>
                <w:p w14:paraId="5CFA42AC">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65</w:t>
                  </w:r>
                </w:p>
              </w:tc>
              <w:tc>
                <w:tcPr>
                  <w:tcW w:w="1666" w:type="pct"/>
                  <w:tcBorders>
                    <w:tl2br w:val="nil"/>
                    <w:tr2bl w:val="nil"/>
                  </w:tcBorders>
                  <w:vAlign w:val="center"/>
                </w:tcPr>
                <w:p w14:paraId="07DC960E">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55</w:t>
                  </w:r>
                </w:p>
              </w:tc>
            </w:tr>
          </w:tbl>
          <w:p w14:paraId="38E1AA26">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ascii="Times New Roman" w:hAnsi="Times New Roman" w:eastAsia="宋体" w:cs="Times New Roman"/>
                <w:b/>
                <w:bCs/>
                <w:color w:val="auto"/>
                <w:kern w:val="24"/>
                <w:sz w:val="24"/>
                <w:lang w:val="en-US" w:eastAsia="zh-CN" w:bidi="ar-SA"/>
              </w:rPr>
              <w:t>4、固体废物</w:t>
            </w:r>
          </w:p>
          <w:p w14:paraId="245BD41E">
            <w:pPr>
              <w:bidi w:val="0"/>
              <w:jc w:val="both"/>
              <w:rPr>
                <w:lang w:val="en-US" w:eastAsia="zh-CN"/>
              </w:rPr>
            </w:pPr>
            <w:r>
              <w:rPr>
                <w:lang w:val="en-US" w:eastAsia="zh-CN"/>
              </w:rPr>
              <w:t>按照《中华人民共和国固体废物污染环境防治法》的要求，固体废物要妥善处置，不得形成二次污染。一般固废贮存</w:t>
            </w:r>
            <w:r>
              <w:rPr>
                <w:rFonts w:hint="eastAsia"/>
                <w:lang w:val="en-US" w:eastAsia="zh-CN"/>
              </w:rPr>
              <w:t>应满足</w:t>
            </w:r>
            <w:r>
              <w:rPr>
                <w:rFonts w:ascii="Times New Roman" w:hAnsi="Times New Roman"/>
                <w:bCs/>
                <w:sz w:val="24"/>
                <w:szCs w:val="24"/>
              </w:rPr>
              <w:t>《一般工业固体废物贮存和填埋污染控制标准》（GB 18599-2020）</w:t>
            </w:r>
            <w:r>
              <w:rPr>
                <w:lang w:val="en-US" w:eastAsia="zh-CN"/>
              </w:rPr>
              <w:t>相关规定</w:t>
            </w:r>
            <w:r>
              <w:rPr>
                <w:rFonts w:hint="eastAsia"/>
                <w:lang w:val="en-US" w:eastAsia="zh-CN"/>
              </w:rPr>
              <w:t>；</w:t>
            </w:r>
            <w:r>
              <w:rPr>
                <w:lang w:val="en-US" w:eastAsia="zh-CN"/>
              </w:rPr>
              <w:t>危险废物贮存应满足《危险废物贮存污染控制标准》（GB18597-2023）相关规定</w:t>
            </w:r>
            <w:r>
              <w:rPr>
                <w:rFonts w:hint="eastAsia"/>
                <w:lang w:val="en-US" w:eastAsia="zh-CN"/>
              </w:rPr>
              <w:t>。</w:t>
            </w:r>
          </w:p>
        </w:tc>
      </w:tr>
      <w:tr w14:paraId="3B2F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6" w:hRule="atLeast"/>
          <w:jc w:val="center"/>
        </w:trPr>
        <w:tc>
          <w:tcPr>
            <w:tcW w:w="425" w:type="dxa"/>
            <w:vAlign w:val="center"/>
          </w:tcPr>
          <w:p w14:paraId="3C9B28B5">
            <w:pPr>
              <w:pStyle w:val="3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color w:val="auto"/>
                <w:lang w:val="en-US" w:eastAsia="zh-CN"/>
              </w:rPr>
            </w:pPr>
            <w:r>
              <w:rPr>
                <w:rFonts w:hint="eastAsia"/>
                <w:color w:val="auto"/>
                <w:lang w:val="en-US" w:eastAsia="zh-CN"/>
              </w:rPr>
              <w:t>总量控制指标</w:t>
            </w:r>
          </w:p>
        </w:tc>
        <w:tc>
          <w:tcPr>
            <w:tcW w:w="9071" w:type="dxa"/>
          </w:tcPr>
          <w:p w14:paraId="12D9FDE1">
            <w:pPr>
              <w:bidi w:val="0"/>
              <w:rPr>
                <w:highlight w:val="none"/>
                <w:lang w:val="fr-FR"/>
              </w:rPr>
            </w:pPr>
            <w:bookmarkStart w:id="26" w:name="_Toc427571558"/>
            <w:bookmarkStart w:id="27" w:name="_Toc400551741"/>
            <w:bookmarkStart w:id="28" w:name="_Toc457481052"/>
            <w:r>
              <w:t>根据本项目的具体情况，结合国家污染物排放总量控制原则</w:t>
            </w:r>
            <w:r>
              <w:rPr>
                <w:rFonts w:hint="eastAsia"/>
              </w:rPr>
              <w:t>，</w:t>
            </w:r>
            <w:r>
              <w:rPr>
                <w:lang w:val="fr-FR"/>
              </w:rPr>
              <w:t>本项目废气涉及的总量控制指标为</w:t>
            </w:r>
            <w:r>
              <w:rPr>
                <w:rFonts w:hint="eastAsia"/>
              </w:rPr>
              <w:t>VOCs</w:t>
            </w:r>
            <w:r>
              <w:rPr>
                <w:highlight w:val="none"/>
                <w:lang w:val="fr-FR"/>
              </w:rPr>
              <w:t>，均纳入</w:t>
            </w:r>
            <w:r>
              <w:rPr>
                <w:rFonts w:hint="eastAsia"/>
                <w:highlight w:val="none"/>
                <w:lang w:val="en-US" w:eastAsia="zh-CN"/>
              </w:rPr>
              <w:t>通川区</w:t>
            </w:r>
            <w:r>
              <w:rPr>
                <w:highlight w:val="none"/>
                <w:lang w:val="fr-FR"/>
              </w:rPr>
              <w:t>总量控制指标内。</w:t>
            </w:r>
            <w:bookmarkEnd w:id="26"/>
            <w:bookmarkEnd w:id="27"/>
            <w:bookmarkEnd w:id="28"/>
          </w:p>
          <w:p w14:paraId="5F57701A">
            <w:pPr>
              <w:bidi w:val="0"/>
            </w:pPr>
            <w:r>
              <w:rPr>
                <w:lang w:val="en-US" w:eastAsia="zh-CN"/>
              </w:rPr>
              <w:t>废气</w:t>
            </w:r>
            <w:r>
              <w:rPr>
                <w:rFonts w:hint="eastAsia"/>
                <w:lang w:val="en-US" w:eastAsia="zh-CN"/>
              </w:rPr>
              <w:t>：本项目新增VOCs有组织排放0.0206t/a，无组织排放0.0092t/a因此，本评价建议VOCs总量控制指标为0.0298t/a。</w:t>
            </w:r>
          </w:p>
          <w:p w14:paraId="6A8CBF43">
            <w:pPr>
              <w:bidi w:val="0"/>
              <w:rPr>
                <w:rFonts w:hint="eastAsia"/>
              </w:rPr>
            </w:pPr>
            <w:r>
              <w:rPr>
                <w:rFonts w:hint="eastAsia"/>
              </w:rPr>
              <w:t>废水</w:t>
            </w:r>
            <w:r>
              <w:rPr>
                <w:rFonts w:hint="eastAsia"/>
                <w:lang w:eastAsia="zh-CN"/>
              </w:rPr>
              <w:t>：</w:t>
            </w:r>
            <w:r>
              <w:rPr>
                <w:rFonts w:hint="eastAsia"/>
              </w:rPr>
              <w:t>本项目技改前后不涉及新增用水节点，不新增废水</w:t>
            </w:r>
            <w:r>
              <w:rPr>
                <w:rFonts w:hint="eastAsia"/>
                <w:lang w:val="en-US" w:eastAsia="zh-CN"/>
              </w:rPr>
              <w:t>产生和</w:t>
            </w:r>
            <w:r>
              <w:rPr>
                <w:rFonts w:hint="eastAsia"/>
              </w:rPr>
              <w:t>排放</w:t>
            </w:r>
            <w:r>
              <w:rPr>
                <w:rFonts w:hint="eastAsia"/>
                <w:lang w:val="en-US" w:eastAsia="zh-CN"/>
              </w:rPr>
              <w:t>量</w:t>
            </w:r>
            <w:r>
              <w:rPr>
                <w:rFonts w:hint="eastAsia"/>
                <w:lang w:eastAsia="zh-CN"/>
              </w:rPr>
              <w:t>，</w:t>
            </w:r>
            <w:r>
              <w:rPr>
                <w:rFonts w:hint="eastAsia"/>
                <w:lang w:val="en-US" w:eastAsia="zh-CN"/>
              </w:rPr>
              <w:t>由于现有工程未申请废水总量指标，本次一并核算申请</w:t>
            </w:r>
            <w:r>
              <w:rPr>
                <w:rFonts w:hint="eastAsia"/>
              </w:rPr>
              <w:t>。</w:t>
            </w:r>
          </w:p>
          <w:p w14:paraId="68D51D54">
            <w:pPr>
              <w:pStyle w:val="7"/>
              <w:bidi w:val="0"/>
              <w:rPr>
                <w:rFonts w:hint="eastAsia"/>
                <w:lang w:val="en-US" w:eastAsia="zh-CN"/>
              </w:rPr>
            </w:pPr>
            <w:r>
              <w:rPr>
                <w:rFonts w:hint="eastAsia"/>
                <w:lang w:val="en-US" w:eastAsia="zh-CN"/>
              </w:rPr>
              <w:t>表3-8  全厂总量指标情况一览表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919"/>
              <w:gridCol w:w="900"/>
              <w:gridCol w:w="1585"/>
              <w:gridCol w:w="1864"/>
              <w:gridCol w:w="1929"/>
              <w:gridCol w:w="1653"/>
            </w:tblGrid>
            <w:tr w14:paraId="32176EF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519" w:type="pct"/>
                  <w:vAlign w:val="center"/>
                </w:tcPr>
                <w:p w14:paraId="7D0A0EBB">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b/>
                      <w:bCs/>
                      <w:color w:val="auto"/>
                      <w:kern w:val="0"/>
                      <w:sz w:val="21"/>
                      <w:szCs w:val="21"/>
                    </w:rPr>
                    <w:t>污染类别</w:t>
                  </w:r>
                </w:p>
              </w:tc>
              <w:tc>
                <w:tcPr>
                  <w:tcW w:w="508" w:type="pct"/>
                  <w:vAlign w:val="center"/>
                </w:tcPr>
                <w:p w14:paraId="62A4BC51">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b/>
                      <w:bCs/>
                      <w:color w:val="auto"/>
                      <w:kern w:val="0"/>
                      <w:sz w:val="21"/>
                      <w:szCs w:val="21"/>
                    </w:rPr>
                    <w:t>污染物</w:t>
                  </w:r>
                </w:p>
              </w:tc>
              <w:tc>
                <w:tcPr>
                  <w:tcW w:w="895" w:type="pct"/>
                  <w:vAlign w:val="center"/>
                </w:tcPr>
                <w:p w14:paraId="35A4661B">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b/>
                      <w:bCs/>
                      <w:color w:val="auto"/>
                      <w:kern w:val="0"/>
                      <w:sz w:val="21"/>
                      <w:szCs w:val="21"/>
                    </w:rPr>
                    <w:t>企业现状排放量</w:t>
                  </w:r>
                </w:p>
                <w:p w14:paraId="700FFA1E">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lang w:eastAsia="zh-CN"/>
                    </w:rPr>
                    <w:t>(</w:t>
                  </w:r>
                  <w:r>
                    <w:rPr>
                      <w:b/>
                      <w:bCs/>
                      <w:color w:val="auto"/>
                      <w:kern w:val="0"/>
                      <w:sz w:val="21"/>
                      <w:szCs w:val="21"/>
                    </w:rPr>
                    <w:t>t/a</w:t>
                  </w:r>
                  <w:r>
                    <w:rPr>
                      <w:rFonts w:hint="eastAsia"/>
                      <w:b/>
                      <w:bCs/>
                      <w:color w:val="auto"/>
                      <w:kern w:val="0"/>
                      <w:sz w:val="21"/>
                      <w:szCs w:val="21"/>
                      <w:lang w:eastAsia="zh-CN"/>
                    </w:rPr>
                    <w:t>)</w:t>
                  </w:r>
                </w:p>
              </w:tc>
              <w:tc>
                <w:tcPr>
                  <w:tcW w:w="1052" w:type="pct"/>
                  <w:vAlign w:val="center"/>
                </w:tcPr>
                <w:p w14:paraId="608A131F">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b/>
                      <w:bCs/>
                      <w:color w:val="auto"/>
                      <w:kern w:val="0"/>
                      <w:sz w:val="21"/>
                      <w:szCs w:val="21"/>
                    </w:rPr>
                    <w:t>本项目新增排放量</w:t>
                  </w:r>
                </w:p>
                <w:p w14:paraId="6888E8FB">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lang w:eastAsia="zh-CN"/>
                    </w:rPr>
                    <w:t>(</w:t>
                  </w:r>
                  <w:r>
                    <w:rPr>
                      <w:b/>
                      <w:bCs/>
                      <w:color w:val="auto"/>
                      <w:kern w:val="0"/>
                      <w:sz w:val="21"/>
                      <w:szCs w:val="21"/>
                    </w:rPr>
                    <w:t>t/a</w:t>
                  </w:r>
                  <w:r>
                    <w:rPr>
                      <w:rFonts w:hint="eastAsia"/>
                      <w:b/>
                      <w:bCs/>
                      <w:color w:val="auto"/>
                      <w:kern w:val="0"/>
                      <w:sz w:val="21"/>
                      <w:szCs w:val="21"/>
                      <w:lang w:eastAsia="zh-CN"/>
                    </w:rPr>
                    <w:t>)</w:t>
                  </w:r>
                </w:p>
              </w:tc>
              <w:tc>
                <w:tcPr>
                  <w:tcW w:w="1089" w:type="pct"/>
                  <w:vAlign w:val="center"/>
                </w:tcPr>
                <w:p w14:paraId="3E610993">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b/>
                      <w:bCs/>
                      <w:color w:val="auto"/>
                      <w:kern w:val="0"/>
                      <w:sz w:val="21"/>
                      <w:szCs w:val="21"/>
                    </w:rPr>
                    <w:t>本项目建成后全厂排放量</w:t>
                  </w:r>
                </w:p>
                <w:p w14:paraId="31AFDF27">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lang w:eastAsia="zh-CN"/>
                    </w:rPr>
                    <w:t>(</w:t>
                  </w:r>
                  <w:r>
                    <w:rPr>
                      <w:b/>
                      <w:bCs/>
                      <w:color w:val="auto"/>
                      <w:kern w:val="0"/>
                      <w:sz w:val="21"/>
                      <w:szCs w:val="21"/>
                    </w:rPr>
                    <w:t>t/a</w:t>
                  </w:r>
                  <w:r>
                    <w:rPr>
                      <w:rFonts w:hint="eastAsia"/>
                      <w:b/>
                      <w:bCs/>
                      <w:color w:val="auto"/>
                      <w:kern w:val="0"/>
                      <w:sz w:val="21"/>
                      <w:szCs w:val="21"/>
                      <w:lang w:eastAsia="zh-CN"/>
                    </w:rPr>
                    <w:t>)</w:t>
                  </w:r>
                </w:p>
              </w:tc>
              <w:tc>
                <w:tcPr>
                  <w:tcW w:w="933" w:type="pct"/>
                  <w:vAlign w:val="center"/>
                </w:tcPr>
                <w:p w14:paraId="47D633EC">
                  <w:pPr>
                    <w:keepNext w:val="0"/>
                    <w:keepLines w:val="0"/>
                    <w:pageBreakBefore w:val="0"/>
                    <w:kinsoku/>
                    <w:overflowPunct/>
                    <w:topLinePunct w:val="0"/>
                    <w:autoSpaceDE/>
                    <w:autoSpaceDN/>
                    <w:bidi w:val="0"/>
                    <w:adjustRightInd w:val="0"/>
                    <w:snapToGrid w:val="0"/>
                    <w:spacing w:line="240" w:lineRule="auto"/>
                    <w:ind w:firstLine="0" w:firstLineChars="0"/>
                    <w:jc w:val="center"/>
                    <w:rPr>
                      <w:rFonts w:hint="eastAsia"/>
                      <w:b/>
                      <w:bCs/>
                      <w:color w:val="auto"/>
                      <w:kern w:val="0"/>
                      <w:sz w:val="21"/>
                      <w:szCs w:val="21"/>
                      <w:lang w:val="en-US" w:eastAsia="zh-CN"/>
                    </w:rPr>
                  </w:pPr>
                  <w:r>
                    <w:rPr>
                      <w:rFonts w:hint="eastAsia"/>
                      <w:b/>
                      <w:bCs/>
                      <w:color w:val="auto"/>
                      <w:kern w:val="0"/>
                      <w:sz w:val="21"/>
                      <w:szCs w:val="21"/>
                      <w:lang w:val="en-US" w:eastAsia="zh-CN"/>
                    </w:rPr>
                    <w:t>本次技改建议申请总量</w:t>
                  </w:r>
                </w:p>
                <w:p w14:paraId="428C74AD">
                  <w:pPr>
                    <w:keepNext w:val="0"/>
                    <w:keepLines w:val="0"/>
                    <w:pageBreakBefore w:val="0"/>
                    <w:kinsoku/>
                    <w:overflowPunct/>
                    <w:topLinePunct w:val="0"/>
                    <w:autoSpaceDE/>
                    <w:autoSpaceDN/>
                    <w:bidi w:val="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lang w:eastAsia="zh-CN"/>
                    </w:rPr>
                    <w:t>(</w:t>
                  </w:r>
                  <w:r>
                    <w:rPr>
                      <w:b/>
                      <w:bCs/>
                      <w:color w:val="auto"/>
                      <w:kern w:val="0"/>
                      <w:sz w:val="21"/>
                      <w:szCs w:val="21"/>
                    </w:rPr>
                    <w:t>t/a</w:t>
                  </w:r>
                  <w:r>
                    <w:rPr>
                      <w:rFonts w:hint="eastAsia"/>
                      <w:b/>
                      <w:bCs/>
                      <w:color w:val="auto"/>
                      <w:kern w:val="0"/>
                      <w:sz w:val="21"/>
                      <w:szCs w:val="21"/>
                      <w:lang w:eastAsia="zh-CN"/>
                    </w:rPr>
                    <w:t>)</w:t>
                  </w:r>
                </w:p>
              </w:tc>
            </w:tr>
            <w:tr w14:paraId="584EFBE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519" w:type="pct"/>
                  <w:vAlign w:val="center"/>
                </w:tcPr>
                <w:p w14:paraId="0432509E">
                  <w:pPr>
                    <w:keepNext w:val="0"/>
                    <w:keepLines w:val="0"/>
                    <w:pageBreakBefore w:val="0"/>
                    <w:kinsoku/>
                    <w:overflowPunct/>
                    <w:topLinePunct w:val="0"/>
                    <w:autoSpaceDE/>
                    <w:autoSpaceDN/>
                    <w:bidi w:val="0"/>
                    <w:spacing w:line="240" w:lineRule="auto"/>
                    <w:ind w:firstLine="0" w:firstLineChars="0"/>
                    <w:jc w:val="center"/>
                    <w:rPr>
                      <w:color w:val="auto"/>
                      <w:sz w:val="21"/>
                      <w:szCs w:val="21"/>
                    </w:rPr>
                  </w:pPr>
                  <w:r>
                    <w:rPr>
                      <w:color w:val="auto"/>
                      <w:sz w:val="21"/>
                      <w:szCs w:val="21"/>
                    </w:rPr>
                    <w:t>废气</w:t>
                  </w:r>
                </w:p>
              </w:tc>
              <w:tc>
                <w:tcPr>
                  <w:tcW w:w="508" w:type="pct"/>
                  <w:vAlign w:val="center"/>
                </w:tcPr>
                <w:p w14:paraId="3AD4C4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color w:val="auto"/>
                      <w:sz w:val="21"/>
                      <w:szCs w:val="21"/>
                    </w:rPr>
                    <w:t>VOCs</w:t>
                  </w:r>
                </w:p>
              </w:tc>
              <w:tc>
                <w:tcPr>
                  <w:tcW w:w="895" w:type="pct"/>
                  <w:vAlign w:val="center"/>
                </w:tcPr>
                <w:p w14:paraId="5A45E5E1">
                  <w:pPr>
                    <w:pStyle w:val="40"/>
                    <w:keepNext w:val="0"/>
                    <w:keepLines w:val="0"/>
                    <w:pageBreakBefore w:val="0"/>
                    <w:kinsoku/>
                    <w:overflowPunct/>
                    <w:topLinePunct w:val="0"/>
                    <w:autoSpaceDE/>
                    <w:autoSpaceDN/>
                    <w:bidi w:val="0"/>
                    <w:spacing w:line="240" w:lineRule="auto"/>
                    <w:ind w:firstLine="0" w:firstLineChars="0"/>
                    <w:jc w:val="center"/>
                    <w:rPr>
                      <w:rFonts w:hint="eastAsia" w:eastAsia="宋体"/>
                      <w:color w:val="auto"/>
                      <w:kern w:val="0"/>
                      <w:sz w:val="21"/>
                      <w:szCs w:val="21"/>
                      <w:highlight w:val="none"/>
                      <w:lang w:eastAsia="zh-CN" w:bidi="ar"/>
                    </w:rPr>
                  </w:pPr>
                  <w:r>
                    <w:rPr>
                      <w:rFonts w:hint="eastAsia"/>
                      <w:color w:val="auto"/>
                      <w:sz w:val="21"/>
                      <w:szCs w:val="21"/>
                      <w:highlight w:val="none"/>
                      <w:lang w:val="en-US" w:eastAsia="zh-CN"/>
                    </w:rPr>
                    <w:t>0</w:t>
                  </w:r>
                </w:p>
              </w:tc>
              <w:tc>
                <w:tcPr>
                  <w:tcW w:w="1052" w:type="pct"/>
                  <w:vAlign w:val="center"/>
                </w:tcPr>
                <w:p w14:paraId="7C88C043">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宋体"/>
                      <w:color w:val="auto"/>
                      <w:kern w:val="0"/>
                      <w:sz w:val="21"/>
                      <w:szCs w:val="21"/>
                      <w:highlight w:val="none"/>
                      <w:lang w:val="en-US" w:eastAsia="zh-CN" w:bidi="ar"/>
                    </w:rPr>
                  </w:pPr>
                  <w:r>
                    <w:rPr>
                      <w:rFonts w:hint="eastAsia"/>
                      <w:color w:val="auto"/>
                      <w:sz w:val="21"/>
                      <w:szCs w:val="21"/>
                      <w:highlight w:val="none"/>
                      <w:lang w:val="en-US" w:eastAsia="zh-CN"/>
                    </w:rPr>
                    <w:t>0.0298</w:t>
                  </w:r>
                </w:p>
              </w:tc>
              <w:tc>
                <w:tcPr>
                  <w:tcW w:w="1089" w:type="pct"/>
                  <w:vAlign w:val="center"/>
                </w:tcPr>
                <w:p w14:paraId="7A028D3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0.0298</w:t>
                  </w:r>
                </w:p>
              </w:tc>
              <w:tc>
                <w:tcPr>
                  <w:tcW w:w="933" w:type="pct"/>
                  <w:vAlign w:val="center"/>
                </w:tcPr>
                <w:p w14:paraId="112338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0.0298</w:t>
                  </w:r>
                </w:p>
              </w:tc>
            </w:tr>
            <w:tr w14:paraId="7418B55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519" w:type="pct"/>
                  <w:vMerge w:val="restart"/>
                  <w:vAlign w:val="center"/>
                </w:tcPr>
                <w:p w14:paraId="0E596060">
                  <w:pPr>
                    <w:keepNext w:val="0"/>
                    <w:keepLines w:val="0"/>
                    <w:pageBreakBefore w:val="0"/>
                    <w:kinsoku/>
                    <w:overflowPunct/>
                    <w:topLinePunct w:val="0"/>
                    <w:autoSpaceDE/>
                    <w:autoSpaceDN/>
                    <w:bidi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废水</w:t>
                  </w:r>
                </w:p>
              </w:tc>
              <w:tc>
                <w:tcPr>
                  <w:tcW w:w="508" w:type="pct"/>
                  <w:vAlign w:val="center"/>
                </w:tcPr>
                <w:p w14:paraId="778637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COD</w:t>
                  </w:r>
                </w:p>
              </w:tc>
              <w:tc>
                <w:tcPr>
                  <w:tcW w:w="895" w:type="pct"/>
                  <w:shd w:val="clear" w:color="auto" w:fill="auto"/>
                  <w:vAlign w:val="center"/>
                </w:tcPr>
                <w:p w14:paraId="5442941F">
                  <w:pPr>
                    <w:pStyle w:val="5"/>
                    <w:bidi w:val="0"/>
                    <w:ind w:firstLine="0" w:firstLineChars="0"/>
                    <w:rPr>
                      <w:rFonts w:hint="default" w:ascii="Times New Roman" w:hAnsi="Times New Roman" w:eastAsia="宋体" w:cs="Times New Roman"/>
                      <w:kern w:val="2"/>
                      <w:sz w:val="21"/>
                      <w:highlight w:val="none"/>
                      <w:lang w:val="en-US" w:eastAsia="zh-CN" w:bidi="ar-SA"/>
                    </w:rPr>
                  </w:pPr>
                  <w:r>
                    <w:rPr>
                      <w:rFonts w:hint="default"/>
                      <w:highlight w:val="none"/>
                      <w:lang w:val="en-US" w:eastAsia="zh-CN"/>
                    </w:rPr>
                    <w:t>0.</w:t>
                  </w:r>
                  <w:r>
                    <w:rPr>
                      <w:rFonts w:hint="eastAsia"/>
                      <w:highlight w:val="none"/>
                      <w:lang w:val="en-US" w:eastAsia="zh-CN"/>
                    </w:rPr>
                    <w:t>4608</w:t>
                  </w:r>
                </w:p>
              </w:tc>
              <w:tc>
                <w:tcPr>
                  <w:tcW w:w="1052" w:type="pct"/>
                  <w:vAlign w:val="center"/>
                </w:tcPr>
                <w:p w14:paraId="0FA19A8A">
                  <w:pPr>
                    <w:keepNext w:val="0"/>
                    <w:keepLines w:val="0"/>
                    <w:pageBreakBefore w:val="0"/>
                    <w:widowControl/>
                    <w:kinsoku/>
                    <w:wordWrap/>
                    <w:overflowPunct/>
                    <w:topLinePunct w:val="0"/>
                    <w:autoSpaceDE/>
                    <w:autoSpaceDN/>
                    <w:bidi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929" w:type="dxa"/>
                  <w:shd w:val="clear" w:color="auto" w:fill="auto"/>
                  <w:vAlign w:val="center"/>
                </w:tcPr>
                <w:p w14:paraId="7340D59D">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default"/>
                      <w:highlight w:val="none"/>
                      <w:lang w:val="en-US" w:eastAsia="zh-CN"/>
                    </w:rPr>
                    <w:t>0.</w:t>
                  </w:r>
                  <w:r>
                    <w:rPr>
                      <w:rFonts w:hint="eastAsia"/>
                      <w:highlight w:val="none"/>
                      <w:lang w:val="en-US" w:eastAsia="zh-CN"/>
                    </w:rPr>
                    <w:t>4608</w:t>
                  </w:r>
                </w:p>
              </w:tc>
              <w:tc>
                <w:tcPr>
                  <w:tcW w:w="1652" w:type="dxa"/>
                  <w:shd w:val="clear" w:color="auto" w:fill="auto"/>
                  <w:vAlign w:val="center"/>
                </w:tcPr>
                <w:p w14:paraId="5A408AF3">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default"/>
                      <w:highlight w:val="none"/>
                      <w:lang w:val="en-US" w:eastAsia="zh-CN"/>
                    </w:rPr>
                    <w:t>0.</w:t>
                  </w:r>
                  <w:r>
                    <w:rPr>
                      <w:rFonts w:hint="eastAsia"/>
                      <w:highlight w:val="none"/>
                      <w:lang w:val="en-US" w:eastAsia="zh-CN"/>
                    </w:rPr>
                    <w:t>4608</w:t>
                  </w:r>
                </w:p>
              </w:tc>
            </w:tr>
            <w:tr w14:paraId="04D7577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519" w:type="pct"/>
                  <w:vMerge w:val="continue"/>
                  <w:vAlign w:val="center"/>
                </w:tcPr>
                <w:p w14:paraId="2A57D9BB">
                  <w:pPr>
                    <w:keepNext w:val="0"/>
                    <w:keepLines w:val="0"/>
                    <w:pageBreakBefore w:val="0"/>
                    <w:kinsoku/>
                    <w:overflowPunct/>
                    <w:topLinePunct w:val="0"/>
                    <w:autoSpaceDE/>
                    <w:autoSpaceDN/>
                    <w:bidi w:val="0"/>
                    <w:spacing w:line="240" w:lineRule="auto"/>
                    <w:ind w:firstLine="0" w:firstLineChars="0"/>
                    <w:jc w:val="center"/>
                    <w:rPr>
                      <w:rFonts w:hint="eastAsia"/>
                      <w:color w:val="auto"/>
                      <w:sz w:val="21"/>
                      <w:szCs w:val="21"/>
                      <w:lang w:val="en-US" w:eastAsia="zh-CN"/>
                    </w:rPr>
                  </w:pPr>
                </w:p>
              </w:tc>
              <w:tc>
                <w:tcPr>
                  <w:tcW w:w="508" w:type="pct"/>
                  <w:vAlign w:val="center"/>
                </w:tcPr>
                <w:p w14:paraId="0DCF4A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color w:val="auto"/>
                      <w:sz w:val="21"/>
                      <w:szCs w:val="21"/>
                    </w:rPr>
                    <w:t>NH</w:t>
                  </w:r>
                  <w:r>
                    <w:rPr>
                      <w:color w:val="auto"/>
                      <w:position w:val="-2"/>
                      <w:sz w:val="21"/>
                      <w:szCs w:val="21"/>
                      <w:vertAlign w:val="subscript"/>
                    </w:rPr>
                    <w:t>3</w:t>
                  </w:r>
                  <w:r>
                    <w:rPr>
                      <w:color w:val="auto"/>
                      <w:sz w:val="21"/>
                      <w:szCs w:val="21"/>
                    </w:rPr>
                    <w:t>-N</w:t>
                  </w:r>
                </w:p>
              </w:tc>
              <w:tc>
                <w:tcPr>
                  <w:tcW w:w="895" w:type="pct"/>
                  <w:shd w:val="clear" w:color="auto" w:fill="auto"/>
                  <w:vAlign w:val="center"/>
                </w:tcPr>
                <w:p w14:paraId="098EB7A6">
                  <w:pPr>
                    <w:pStyle w:val="5"/>
                    <w:bidi w:val="0"/>
                    <w:ind w:firstLine="0" w:firstLineChars="0"/>
                    <w:rPr>
                      <w:rFonts w:hint="default" w:ascii="Times New Roman" w:hAnsi="Times New Roman" w:eastAsia="宋体" w:cs="Times New Roman"/>
                      <w:kern w:val="2"/>
                      <w:sz w:val="21"/>
                      <w:highlight w:val="none"/>
                      <w:lang w:val="en-US" w:eastAsia="zh-CN" w:bidi="ar-SA"/>
                    </w:rPr>
                  </w:pPr>
                  <w:r>
                    <w:rPr>
                      <w:rFonts w:hint="default"/>
                      <w:highlight w:val="none"/>
                      <w:lang w:val="en-US" w:eastAsia="zh-CN"/>
                    </w:rPr>
                    <w:t>0.0</w:t>
                  </w:r>
                  <w:r>
                    <w:rPr>
                      <w:rFonts w:hint="eastAsia"/>
                      <w:highlight w:val="none"/>
                      <w:lang w:val="en-US" w:eastAsia="zh-CN"/>
                    </w:rPr>
                    <w:t>230</w:t>
                  </w:r>
                </w:p>
              </w:tc>
              <w:tc>
                <w:tcPr>
                  <w:tcW w:w="1052" w:type="pct"/>
                  <w:vAlign w:val="center"/>
                </w:tcPr>
                <w:p w14:paraId="1C4B9542">
                  <w:pPr>
                    <w:keepNext w:val="0"/>
                    <w:keepLines w:val="0"/>
                    <w:pageBreakBefore w:val="0"/>
                    <w:widowControl/>
                    <w:kinsoku/>
                    <w:wordWrap/>
                    <w:overflowPunct/>
                    <w:topLinePunct w:val="0"/>
                    <w:autoSpaceDE/>
                    <w:autoSpaceDN/>
                    <w:bidi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929" w:type="dxa"/>
                  <w:shd w:val="clear" w:color="auto" w:fill="auto"/>
                  <w:vAlign w:val="center"/>
                </w:tcPr>
                <w:p w14:paraId="5D42730B">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default"/>
                      <w:highlight w:val="none"/>
                      <w:lang w:val="en-US" w:eastAsia="zh-CN"/>
                    </w:rPr>
                    <w:t>0.0</w:t>
                  </w:r>
                  <w:r>
                    <w:rPr>
                      <w:rFonts w:hint="eastAsia"/>
                      <w:highlight w:val="none"/>
                      <w:lang w:val="en-US" w:eastAsia="zh-CN"/>
                    </w:rPr>
                    <w:t>230</w:t>
                  </w:r>
                </w:p>
              </w:tc>
              <w:tc>
                <w:tcPr>
                  <w:tcW w:w="1652" w:type="dxa"/>
                  <w:shd w:val="clear" w:color="auto" w:fill="auto"/>
                  <w:vAlign w:val="center"/>
                </w:tcPr>
                <w:p w14:paraId="26087403">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default"/>
                      <w:highlight w:val="none"/>
                      <w:lang w:val="en-US" w:eastAsia="zh-CN"/>
                    </w:rPr>
                    <w:t>0.0</w:t>
                  </w:r>
                  <w:r>
                    <w:rPr>
                      <w:rFonts w:hint="eastAsia"/>
                      <w:highlight w:val="none"/>
                      <w:lang w:val="en-US" w:eastAsia="zh-CN"/>
                    </w:rPr>
                    <w:t>230</w:t>
                  </w:r>
                </w:p>
              </w:tc>
            </w:tr>
          </w:tbl>
          <w:p w14:paraId="01E2A434">
            <w:pPr>
              <w:pStyle w:val="7"/>
              <w:bidi w:val="0"/>
              <w:jc w:val="both"/>
              <w:rPr>
                <w:rFonts w:ascii="Times New Roman" w:hAnsi="Times New Roman" w:eastAsia="宋体" w:cs="Times New Roman"/>
                <w:b w:val="0"/>
                <w:bCs w:val="0"/>
                <w:sz w:val="24"/>
                <w:szCs w:val="24"/>
                <w:lang w:val="en-US" w:eastAsia="zh-CN"/>
              </w:rPr>
            </w:pPr>
          </w:p>
        </w:tc>
      </w:tr>
    </w:tbl>
    <w:p w14:paraId="63D72BFD">
      <w:pPr>
        <w:spacing w:line="240" w:lineRule="auto"/>
        <w:ind w:left="0" w:leftChars="0" w:firstLine="0" w:firstLineChars="0"/>
      </w:pPr>
    </w:p>
    <w:p w14:paraId="050532F6">
      <w:pPr>
        <w:spacing w:line="240" w:lineRule="auto"/>
        <w:ind w:left="0" w:leftChars="0" w:firstLine="0" w:firstLineChars="0"/>
      </w:pPr>
    </w:p>
    <w:p w14:paraId="7102E6AA">
      <w:pPr>
        <w:keepNext/>
        <w:keepLines/>
        <w:pageBreakBefore w:val="0"/>
        <w:widowControl w:val="0"/>
        <w:kinsoku/>
        <w:wordWrap w:val="0"/>
        <w:overflowPunct/>
        <w:topLinePunct w:val="0"/>
        <w:autoSpaceDE/>
        <w:autoSpaceDN/>
        <w:bidi w:val="0"/>
        <w:adjustRightInd w:val="0"/>
        <w:snapToGrid w:val="0"/>
        <w:ind w:firstLineChars="0"/>
        <w:jc w:val="center"/>
        <w:textAlignment w:val="auto"/>
        <w:rPr>
          <w:rFonts w:hint="eastAsia"/>
          <w:color w:val="auto"/>
        </w:rPr>
      </w:pPr>
      <w:bookmarkStart w:id="29" w:name="_Toc7620"/>
      <w:bookmarkStart w:id="30" w:name="_Toc7166"/>
      <w:bookmarkStart w:id="31" w:name="_Toc8264"/>
      <w:bookmarkStart w:id="32" w:name="_Toc22982"/>
      <w:bookmarkStart w:id="33" w:name="_Toc21855"/>
      <w:r>
        <w:rPr>
          <w:rFonts w:hint="eastAsia"/>
          <w:color w:val="auto"/>
        </w:rPr>
        <w:br w:type="page"/>
      </w:r>
    </w:p>
    <w:p w14:paraId="41C8592B">
      <w:pPr>
        <w:pStyle w:val="3"/>
        <w:keepNext/>
        <w:keepLines/>
        <w:pageBreakBefore w:val="0"/>
        <w:widowControl w:val="0"/>
        <w:kinsoku/>
        <w:wordWrap w:val="0"/>
        <w:overflowPunct/>
        <w:topLinePunct w:val="0"/>
        <w:autoSpaceDE/>
        <w:autoSpaceDN/>
        <w:bidi w:val="0"/>
        <w:adjustRightInd w:val="0"/>
        <w:snapToGrid w:val="0"/>
        <w:ind w:firstLine="0" w:firstLineChars="0"/>
        <w:jc w:val="center"/>
        <w:textAlignment w:val="auto"/>
        <w:rPr>
          <w:color w:val="auto"/>
        </w:rPr>
      </w:pPr>
      <w:bookmarkStart w:id="34" w:name="_Toc28210"/>
      <w:r>
        <w:rPr>
          <w:rFonts w:hint="eastAsia"/>
          <w:color w:val="auto"/>
        </w:rPr>
        <w:t>四、主要环境影响和保护措施</w:t>
      </w:r>
      <w:bookmarkEnd w:id="29"/>
      <w:bookmarkEnd w:id="30"/>
      <w:bookmarkEnd w:id="31"/>
      <w:bookmarkEnd w:id="32"/>
      <w:bookmarkEnd w:id="33"/>
      <w:bookmarkEnd w:id="34"/>
    </w:p>
    <w:tbl>
      <w:tblPr>
        <w:tblStyle w:val="30"/>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071"/>
      </w:tblGrid>
      <w:tr w14:paraId="7A71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425" w:type="dxa"/>
            <w:vAlign w:val="center"/>
          </w:tcPr>
          <w:p w14:paraId="3E119393">
            <w:pPr>
              <w:pStyle w:val="36"/>
              <w:keepNext w:val="0"/>
              <w:keepLines w:val="0"/>
              <w:pageBreakBefore w:val="0"/>
              <w:widowControl w:val="0"/>
              <w:kinsoku/>
              <w:wordWrap/>
              <w:overflowPunct/>
              <w:topLinePunct w:val="0"/>
              <w:autoSpaceDE/>
              <w:autoSpaceDN/>
              <w:bidi w:val="0"/>
              <w:adjustRightInd/>
              <w:snapToGrid/>
              <w:ind w:firstLine="0" w:firstLineChars="0"/>
              <w:textAlignment w:val="auto"/>
              <w:rPr>
                <w:color w:val="auto"/>
                <w:szCs w:val="21"/>
              </w:rPr>
            </w:pPr>
            <w:r>
              <w:rPr>
                <w:rFonts w:hint="eastAsia"/>
                <w:color w:val="auto"/>
              </w:rPr>
              <w:t>施工期环境保护措施</w:t>
            </w:r>
          </w:p>
        </w:tc>
        <w:tc>
          <w:tcPr>
            <w:tcW w:w="9071" w:type="dxa"/>
          </w:tcPr>
          <w:p w14:paraId="04D76756">
            <w:pPr>
              <w:bidi w:val="0"/>
            </w:pPr>
            <w:r>
              <w:t>施工阶段产生的废气主要为</w:t>
            </w:r>
            <w:r>
              <w:rPr>
                <w:rFonts w:hint="eastAsia"/>
                <w:lang w:val="en-US" w:eastAsia="zh-CN"/>
              </w:rPr>
              <w:t>施工扬尘、安装及调试设备的噪声、新增设备的废包装材料以及施工人员产生的生活污水和生活垃圾</w:t>
            </w:r>
            <w:r>
              <w:t>。</w:t>
            </w:r>
          </w:p>
          <w:p w14:paraId="435736C8">
            <w:pPr>
              <w:bidi w:val="0"/>
              <w:rPr>
                <w:b/>
                <w:bCs/>
              </w:rPr>
            </w:pPr>
            <w:r>
              <w:rPr>
                <w:rFonts w:hint="eastAsia"/>
                <w:b/>
                <w:bCs/>
              </w:rPr>
              <w:t>1、</w:t>
            </w:r>
            <w:r>
              <w:rPr>
                <w:b/>
                <w:bCs/>
              </w:rPr>
              <w:t>废气</w:t>
            </w:r>
            <w:r>
              <w:rPr>
                <w:rFonts w:hint="eastAsia"/>
                <w:b/>
                <w:bCs/>
              </w:rPr>
              <w:t>治理措施</w:t>
            </w:r>
          </w:p>
          <w:p w14:paraId="68FFDDCE">
            <w:pPr>
              <w:bidi w:val="0"/>
            </w:pPr>
            <w:r>
              <w:t>项目施工期扬尘主要来源于运输车辆。但因属低矮排放源，影响范围小，时间较短，</w:t>
            </w:r>
            <w:r>
              <w:rPr>
                <w:rFonts w:hint="eastAsia"/>
                <w:lang w:eastAsia="zh-CN"/>
              </w:rPr>
              <w:t>待</w:t>
            </w:r>
            <w:r>
              <w:t>施工结束后消除。</w:t>
            </w:r>
          </w:p>
          <w:p w14:paraId="6FD84FC8">
            <w:pPr>
              <w:bidi w:val="0"/>
              <w:rPr>
                <w:b/>
                <w:bCs/>
              </w:rPr>
            </w:pPr>
            <w:r>
              <w:rPr>
                <w:rFonts w:hint="eastAsia"/>
                <w:b/>
                <w:bCs/>
                <w:lang w:val="en-US" w:eastAsia="zh-CN"/>
              </w:rPr>
              <w:t>2</w:t>
            </w:r>
            <w:r>
              <w:rPr>
                <w:rFonts w:hint="eastAsia"/>
                <w:b/>
                <w:bCs/>
              </w:rPr>
              <w:t>、</w:t>
            </w:r>
            <w:r>
              <w:rPr>
                <w:b/>
                <w:bCs/>
              </w:rPr>
              <w:t>噪声</w:t>
            </w:r>
            <w:r>
              <w:rPr>
                <w:rFonts w:hint="eastAsia"/>
                <w:b/>
                <w:bCs/>
              </w:rPr>
              <w:t>防治措施</w:t>
            </w:r>
          </w:p>
          <w:p w14:paraId="02B4E793">
            <w:pPr>
              <w:bidi w:val="0"/>
            </w:pPr>
            <w:r>
              <w:t>施工期噪声主要来源于设备安装</w:t>
            </w:r>
            <w:r>
              <w:rPr>
                <w:rFonts w:hint="eastAsia"/>
                <w:lang w:val="en-US" w:eastAsia="zh-CN"/>
              </w:rPr>
              <w:t>和调试</w:t>
            </w:r>
            <w:r>
              <w:t>噪声。通过选用低噪声设备，合理进行施工布置，文明施工方式，装卸、搬运不抛掷；合理安排施工时间，避免对周边环境产生影响；严格执行《建筑施工场界环境噪声排放标准》（GB12523-2011）的要求。</w:t>
            </w:r>
          </w:p>
          <w:p w14:paraId="7C24ADFF">
            <w:pPr>
              <w:bidi w:val="0"/>
            </w:pPr>
            <w:r>
              <w:t>施工期噪声对周边环境的影响可以降到人们可接受范围内，且影响是有限的、暂时的，会随着施工期的结束而消失。</w:t>
            </w:r>
          </w:p>
          <w:p w14:paraId="0E9190DF">
            <w:pPr>
              <w:bidi w:val="0"/>
              <w:rPr>
                <w:b/>
                <w:bCs/>
                <w:color w:val="auto"/>
              </w:rPr>
            </w:pPr>
            <w:r>
              <w:rPr>
                <w:rFonts w:hint="eastAsia"/>
                <w:b/>
                <w:bCs/>
                <w:color w:val="auto"/>
                <w:lang w:val="en-US" w:eastAsia="zh-CN"/>
              </w:rPr>
              <w:t>3</w:t>
            </w:r>
            <w:r>
              <w:rPr>
                <w:rFonts w:hint="eastAsia"/>
                <w:b/>
                <w:bCs/>
                <w:color w:val="auto"/>
              </w:rPr>
              <w:t>、</w:t>
            </w:r>
            <w:r>
              <w:rPr>
                <w:b/>
                <w:bCs/>
                <w:color w:val="auto"/>
              </w:rPr>
              <w:t>废水</w:t>
            </w:r>
            <w:r>
              <w:rPr>
                <w:rFonts w:hint="eastAsia"/>
                <w:b/>
                <w:bCs/>
                <w:color w:val="auto"/>
              </w:rPr>
              <w:t>治理措施</w:t>
            </w:r>
          </w:p>
          <w:p w14:paraId="016F7F5A">
            <w:pPr>
              <w:bidi w:val="0"/>
            </w:pPr>
            <w:r>
              <w:t>项目施工期污水主要为施工人员生活污水。</w:t>
            </w:r>
          </w:p>
          <w:p w14:paraId="2D7545FC">
            <w:r>
              <w:rPr>
                <w:rFonts w:hint="eastAsia"/>
                <w:highlight w:val="none"/>
              </w:rPr>
              <w:t>施工人员最大预计为1</w:t>
            </w:r>
            <w:r>
              <w:rPr>
                <w:highlight w:val="none"/>
              </w:rPr>
              <w:t>0</w:t>
            </w:r>
            <w:r>
              <w:rPr>
                <w:rFonts w:hint="eastAsia"/>
                <w:highlight w:val="none"/>
              </w:rPr>
              <w:t>人，</w:t>
            </w:r>
            <w:r>
              <w:rPr>
                <w:rFonts w:hint="eastAsia"/>
              </w:rPr>
              <w:t>参考类似施工场地作业人员，施工期生活用水标准照</w:t>
            </w:r>
            <w:r>
              <w:rPr>
                <w:rFonts w:hint="eastAsia"/>
                <w:color w:val="auto"/>
                <w:lang w:val="en-US" w:eastAsia="zh-CN"/>
              </w:rPr>
              <w:t>4</w:t>
            </w:r>
            <w:r>
              <w:rPr>
                <w:color w:val="auto"/>
              </w:rPr>
              <w:t>0L/人•d</w:t>
            </w:r>
            <w:r>
              <w:rPr>
                <w:rFonts w:hint="eastAsia"/>
              </w:rPr>
              <w:t>计</w:t>
            </w:r>
            <w:r>
              <w:rPr>
                <w:rFonts w:hint="eastAsia"/>
                <w:lang w:eastAsia="zh-CN"/>
              </w:rPr>
              <w:t>，</w:t>
            </w:r>
            <w:r>
              <w:rPr>
                <w:color w:val="auto"/>
              </w:rPr>
              <w:t>则日生活用水量</w:t>
            </w:r>
            <w:r>
              <w:rPr>
                <w:rFonts w:hint="eastAsia"/>
                <w:color w:val="auto"/>
                <w:lang w:val="en-US" w:eastAsia="zh-CN"/>
              </w:rPr>
              <w:t>0.4</w:t>
            </w:r>
            <w:r>
              <w:rPr>
                <w:color w:val="auto"/>
              </w:rPr>
              <w:t>m</w:t>
            </w:r>
            <w:r>
              <w:rPr>
                <w:color w:val="auto"/>
                <w:vertAlign w:val="superscript"/>
              </w:rPr>
              <w:t>3</w:t>
            </w:r>
            <w:r>
              <w:rPr>
                <w:color w:val="auto"/>
              </w:rPr>
              <w:t>/d。污水的产生量按用水量的80%计算，则生活污水的日产生量为0.</w:t>
            </w:r>
            <w:r>
              <w:rPr>
                <w:rFonts w:hint="eastAsia"/>
                <w:color w:val="auto"/>
                <w:lang w:val="en-US" w:eastAsia="zh-CN"/>
              </w:rPr>
              <w:t>32</w:t>
            </w:r>
            <w:r>
              <w:rPr>
                <w:color w:val="auto"/>
              </w:rPr>
              <w:t>m</w:t>
            </w:r>
            <w:r>
              <w:rPr>
                <w:color w:val="auto"/>
                <w:vertAlign w:val="superscript"/>
              </w:rPr>
              <w:t>3</w:t>
            </w:r>
            <w:r>
              <w:rPr>
                <w:color w:val="auto"/>
              </w:rPr>
              <w:t>/d。</w:t>
            </w:r>
            <w:r>
              <w:t>施工人员生活污水中主要含COD</w:t>
            </w:r>
            <w:r>
              <w:rPr>
                <w:vertAlign w:val="subscript"/>
              </w:rPr>
              <w:t>Cr</w:t>
            </w:r>
            <w:r>
              <w:t>、BOD</w:t>
            </w:r>
            <w:r>
              <w:rPr>
                <w:vertAlign w:val="subscript"/>
              </w:rPr>
              <w:t>5</w:t>
            </w:r>
            <w:r>
              <w:t>、NH</w:t>
            </w:r>
            <w:r>
              <w:rPr>
                <w:vertAlign w:val="subscript"/>
              </w:rPr>
              <w:t>3</w:t>
            </w:r>
            <w:r>
              <w:t>-N、SS等。</w:t>
            </w:r>
          </w:p>
          <w:p w14:paraId="6E229A46">
            <w:pPr>
              <w:bidi w:val="0"/>
            </w:pPr>
            <w:r>
              <w:rPr>
                <w:rFonts w:hint="eastAsia"/>
              </w:rPr>
              <w:t>生活污水</w:t>
            </w:r>
            <w:r>
              <w:rPr>
                <w:rFonts w:hint="eastAsia"/>
                <w:lang w:val="en-US" w:eastAsia="zh-CN"/>
              </w:rPr>
              <w:t>经园区一体化污水处理设施处理后，</w:t>
            </w:r>
            <w:r>
              <w:t>达到《污水综合排放标准》（GB8978-1996）三级标准</w:t>
            </w:r>
            <w:r>
              <w:rPr>
                <w:rFonts w:hint="eastAsia"/>
                <w:lang w:val="en-US" w:eastAsia="zh-CN"/>
              </w:rPr>
              <w:t>后，排入</w:t>
            </w:r>
            <w:r>
              <w:rPr>
                <w:rFonts w:hint="eastAsia"/>
              </w:rPr>
              <w:t>园区</w:t>
            </w:r>
            <w:r>
              <w:rPr>
                <w:rFonts w:hint="eastAsia"/>
                <w:lang w:val="en-US" w:eastAsia="zh-CN"/>
              </w:rPr>
              <w:t>市政污水管网，输送至魏兴场镇污水处理厂处理后达《城镇污水处理厂污染物排放标准》（GB18918—2002）一级A标准后，最终排入州河。</w:t>
            </w:r>
          </w:p>
          <w:p w14:paraId="2577A01C">
            <w:pPr>
              <w:bidi w:val="0"/>
            </w:pPr>
            <w:r>
              <w:t>施工期生活污水对环境造成的影响很小。</w:t>
            </w:r>
          </w:p>
          <w:p w14:paraId="59C1BA8D">
            <w:pPr>
              <w:bidi w:val="0"/>
              <w:rPr>
                <w:b/>
                <w:bCs/>
                <w:color w:val="auto"/>
              </w:rPr>
            </w:pPr>
            <w:r>
              <w:rPr>
                <w:rFonts w:hint="eastAsia"/>
                <w:b/>
                <w:bCs/>
                <w:color w:val="auto"/>
              </w:rPr>
              <w:t>4、</w:t>
            </w:r>
            <w:r>
              <w:rPr>
                <w:b/>
                <w:bCs/>
                <w:color w:val="auto"/>
              </w:rPr>
              <w:t>固体废物</w:t>
            </w:r>
            <w:r>
              <w:rPr>
                <w:rFonts w:hint="eastAsia"/>
                <w:b/>
                <w:bCs/>
                <w:color w:val="auto"/>
              </w:rPr>
              <w:t>处置措施</w:t>
            </w:r>
          </w:p>
          <w:p w14:paraId="781EA795">
            <w:pPr>
              <w:bidi w:val="0"/>
            </w:pPr>
            <w:r>
              <w:t>项目施工期无土建施工，施工期的固体废弃物主要是</w:t>
            </w:r>
            <w:r>
              <w:rPr>
                <w:rFonts w:hint="eastAsia"/>
                <w:lang w:val="en-US" w:eastAsia="zh-CN"/>
              </w:rPr>
              <w:t>新增设备的废包装材料以及施工人员产生生活垃圾</w:t>
            </w:r>
            <w:r>
              <w:t>。</w:t>
            </w:r>
          </w:p>
          <w:p w14:paraId="7C6CD3CE">
            <w:pPr>
              <w:bidi w:val="0"/>
              <w:rPr>
                <w:rFonts w:hint="eastAsia"/>
                <w:lang w:val="en-US" w:eastAsia="zh-CN"/>
              </w:rPr>
            </w:pPr>
            <w:r>
              <w:rPr>
                <w:rFonts w:hint="eastAsia"/>
              </w:rPr>
              <w:t>（1）</w:t>
            </w:r>
            <w:r>
              <w:rPr>
                <w:rFonts w:hint="eastAsia"/>
                <w:lang w:val="en-US" w:eastAsia="zh-CN"/>
              </w:rPr>
              <w:t>废包装材料</w:t>
            </w:r>
          </w:p>
          <w:p w14:paraId="236A6193">
            <w:pPr>
              <w:pStyle w:val="58"/>
              <w:ind w:firstLine="480"/>
              <w:rPr>
                <w:rFonts w:hint="eastAsia"/>
              </w:rPr>
            </w:pPr>
            <w:r>
              <w:rPr>
                <w:rFonts w:hint="eastAsia"/>
              </w:rPr>
              <w:t>废包装</w:t>
            </w:r>
            <w:r>
              <w:rPr>
                <w:rFonts w:hint="eastAsia"/>
                <w:lang w:val="en-US" w:eastAsia="zh-CN"/>
              </w:rPr>
              <w:t>材料</w:t>
            </w:r>
            <w:r>
              <w:rPr>
                <w:rFonts w:hint="eastAsia"/>
              </w:rPr>
              <w:t>主要为生产设备进场后拆包过程产生，废包装物收集后外售给废品站。</w:t>
            </w:r>
          </w:p>
          <w:p w14:paraId="5070B962">
            <w:pPr>
              <w:bidi w:val="0"/>
            </w:pPr>
            <w:r>
              <w:t>（2）生活垃圾</w:t>
            </w:r>
          </w:p>
          <w:p w14:paraId="40A36DBC">
            <w:pPr>
              <w:spacing w:line="360" w:lineRule="auto"/>
              <w:ind w:firstLine="480" w:firstLineChars="200"/>
              <w:rPr>
                <w:rFonts w:hint="default" w:ascii="Times New Roman" w:hAnsi="Times New Roman" w:eastAsia="宋体" w:cs="Times New Roman"/>
                <w:color w:val="auto"/>
                <w:sz w:val="24"/>
                <w:highlight w:val="none"/>
              </w:rPr>
            </w:pPr>
            <w:r>
              <w:rPr>
                <w:sz w:val="24"/>
                <w:highlight w:val="none"/>
              </w:rPr>
              <w:t>本项目</w:t>
            </w:r>
            <w:r>
              <w:rPr>
                <w:rFonts w:hint="eastAsia"/>
                <w:sz w:val="24"/>
                <w:highlight w:val="none"/>
                <w:lang w:val="en-US" w:eastAsia="zh-CN"/>
              </w:rPr>
              <w:t>施工期人员最大预计为10</w:t>
            </w:r>
            <w:r>
              <w:rPr>
                <w:sz w:val="24"/>
                <w:highlight w:val="none"/>
              </w:rPr>
              <w:t>人</w:t>
            </w:r>
            <w:r>
              <w:rPr>
                <w:rFonts w:hint="default" w:ascii="Times New Roman" w:hAnsi="Times New Roman" w:eastAsia="宋体" w:cs="Times New Roman"/>
                <w:color w:val="auto"/>
                <w:sz w:val="24"/>
                <w:highlight w:val="none"/>
              </w:rPr>
              <w:t>，每人产生生活垃圾量为0.2kg/d，则每天产生的垃圾量为</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kg/d，经袋装收集后，交由环卫部门统一清运处理。</w:t>
            </w:r>
          </w:p>
          <w:p w14:paraId="2AFC5963">
            <w:pPr>
              <w:bidi w:val="0"/>
              <w:ind w:firstLine="480"/>
            </w:pPr>
            <w:r>
              <w:t>综上所述，在采取上述处理措施后，本项目施工期固体废物可得到有效处置，不会造成二次污染。</w:t>
            </w:r>
          </w:p>
          <w:p w14:paraId="05A6CE80">
            <w:pPr>
              <w:bidi w:val="0"/>
              <w:rPr>
                <w:b/>
                <w:bCs/>
                <w:color w:val="auto"/>
              </w:rPr>
            </w:pPr>
            <w:r>
              <w:rPr>
                <w:rFonts w:hint="eastAsia"/>
                <w:b/>
                <w:bCs/>
                <w:color w:val="auto"/>
              </w:rPr>
              <w:t>5、</w:t>
            </w:r>
            <w:r>
              <w:rPr>
                <w:b/>
                <w:bCs/>
                <w:color w:val="auto"/>
              </w:rPr>
              <w:t>生态环境</w:t>
            </w:r>
          </w:p>
          <w:p w14:paraId="6B4CC011">
            <w:pPr>
              <w:bidi w:val="0"/>
              <w:rPr>
                <w:color w:val="auto"/>
              </w:rPr>
            </w:pPr>
            <w:r>
              <w:rPr>
                <w:rFonts w:hint="eastAsia"/>
              </w:rPr>
              <w:t>在现有租赁厂房内，</w:t>
            </w:r>
            <w:r>
              <w:rPr>
                <w:rFonts w:hint="eastAsia"/>
                <w:lang w:val="en-US" w:eastAsia="zh-CN"/>
              </w:rPr>
              <w:t>利用原有预留区域</w:t>
            </w:r>
            <w:r>
              <w:rPr>
                <w:rFonts w:hint="eastAsia"/>
              </w:rPr>
              <w:t>，不新增占地</w:t>
            </w:r>
            <w:r>
              <w:t>。项目施工不会改变所在区域生态环境，产生的生态影响很小。</w:t>
            </w:r>
          </w:p>
        </w:tc>
      </w:tr>
      <w:tr w14:paraId="4CB7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Align w:val="center"/>
          </w:tcPr>
          <w:p w14:paraId="71AC811B">
            <w:pPr>
              <w:pStyle w:val="3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color w:val="auto"/>
                <w:lang w:val="en-US" w:eastAsia="zh-CN"/>
              </w:rPr>
            </w:pPr>
            <w:r>
              <w:rPr>
                <w:rFonts w:hint="eastAsia"/>
                <w:color w:val="auto"/>
                <w:lang w:val="en-US" w:eastAsia="zh-CN"/>
              </w:rPr>
              <w:t>运营期环境影响和保护措施</w:t>
            </w:r>
          </w:p>
        </w:tc>
        <w:tc>
          <w:tcPr>
            <w:tcW w:w="9071" w:type="dxa"/>
          </w:tcPr>
          <w:p w14:paraId="1DADB933">
            <w:pPr>
              <w:bidi w:val="0"/>
              <w:rPr>
                <w:b/>
                <w:bCs/>
              </w:rPr>
            </w:pPr>
            <w:r>
              <w:rPr>
                <w:rFonts w:hint="eastAsia"/>
                <w:b/>
                <w:bCs/>
              </w:rPr>
              <w:t>1、废气</w:t>
            </w:r>
          </w:p>
          <w:p w14:paraId="30CE5675">
            <w:pPr>
              <w:bidi w:val="0"/>
              <w:rPr>
                <w:rFonts w:hint="default" w:eastAsia="宋体"/>
                <w:lang w:val="en-US" w:eastAsia="zh-CN"/>
              </w:rPr>
            </w:pPr>
            <w:r>
              <w:rPr>
                <w:rFonts w:hint="eastAsia"/>
              </w:rPr>
              <w:t>本项目为</w:t>
            </w:r>
            <w:r>
              <w:rPr>
                <w:rFonts w:hint="eastAsia" w:ascii="Times New Roman" w:hAnsi="Times New Roman" w:eastAsia="宋体" w:cs="Times New Roman"/>
                <w:lang w:val="en-US" w:eastAsia="zh-CN"/>
              </w:rPr>
              <w:t>技改</w:t>
            </w:r>
            <w:r>
              <w:rPr>
                <w:rFonts w:hint="eastAsia"/>
              </w:rPr>
              <w:t>项目，</w:t>
            </w:r>
            <w:r>
              <w:rPr>
                <w:rFonts w:hint="eastAsia"/>
                <w:lang w:val="en-US" w:eastAsia="zh-CN"/>
              </w:rPr>
              <w:t>技改主要部分为双极板生产线。</w:t>
            </w:r>
            <w:r>
              <w:rPr>
                <w:rFonts w:hint="eastAsia"/>
              </w:rPr>
              <w:t>根据工程分析，</w:t>
            </w:r>
            <w:r>
              <w:rPr>
                <w:rFonts w:hint="eastAsia"/>
                <w:lang w:val="en-US" w:eastAsia="zh-CN"/>
              </w:rPr>
              <w:t>本次技改新增点胶固化工序，固化</w:t>
            </w:r>
            <w:r>
              <w:rPr>
                <w:rFonts w:hint="eastAsia"/>
              </w:rPr>
              <w:t>阶段</w:t>
            </w:r>
            <w:r>
              <w:rPr>
                <w:rFonts w:hint="eastAsia"/>
                <w:lang w:val="en-US" w:eastAsia="zh-CN"/>
              </w:rPr>
              <w:t>固化</w:t>
            </w:r>
            <w:r>
              <w:rPr>
                <w:rFonts w:hint="eastAsia"/>
              </w:rPr>
              <w:t>温度为</w:t>
            </w:r>
            <w:r>
              <w:rPr>
                <w:rFonts w:hint="eastAsia"/>
                <w:lang w:val="en-US" w:eastAsia="zh-CN"/>
              </w:rPr>
              <w:t>1</w:t>
            </w:r>
            <w:r>
              <w:rPr>
                <w:rFonts w:hint="eastAsia"/>
              </w:rPr>
              <w:t>20</w:t>
            </w:r>
            <w:r>
              <w:rPr>
                <w:rFonts w:hint="default"/>
              </w:rPr>
              <w:t>℃</w:t>
            </w:r>
            <w:r>
              <w:rPr>
                <w:rFonts w:hint="eastAsia"/>
                <w:lang w:eastAsia="zh-CN"/>
              </w:rPr>
              <w:t>，</w:t>
            </w:r>
            <w:r>
              <w:rPr>
                <w:rFonts w:hint="eastAsia"/>
                <w:lang w:val="en-US" w:eastAsia="zh-CN"/>
              </w:rPr>
              <w:t>涉及新增有机废气的排放。</w:t>
            </w:r>
          </w:p>
          <w:p w14:paraId="76628694">
            <w:pPr>
              <w:bidi w:val="0"/>
              <w:rPr>
                <w:rFonts w:hint="eastAsia"/>
                <w:b/>
                <w:bCs/>
              </w:rPr>
            </w:pPr>
            <w:r>
              <w:rPr>
                <w:rFonts w:hint="eastAsia"/>
                <w:b/>
                <w:bCs/>
                <w:lang w:val="en-US" w:eastAsia="zh-CN"/>
              </w:rPr>
              <w:t>（1）</w:t>
            </w:r>
            <w:r>
              <w:rPr>
                <w:rFonts w:hint="eastAsia"/>
                <w:b/>
                <w:bCs/>
              </w:rPr>
              <w:t>废气源强</w:t>
            </w:r>
          </w:p>
          <w:p w14:paraId="48B2A549">
            <w:pPr>
              <w:bidi w:val="0"/>
              <w:rPr>
                <w:rFonts w:hint="eastAsia"/>
                <w:lang w:val="en-US" w:eastAsia="zh-CN"/>
              </w:rPr>
            </w:pPr>
            <w:r>
              <w:rPr>
                <w:rFonts w:hint="eastAsia"/>
                <w:lang w:val="en-US" w:eastAsia="zh-CN"/>
              </w:rPr>
              <w:t>根据建设单位提供资料，本项目实施后，双极板生产线增加卡夫特K-9392单组份环氧胶粘剂使用量为0.21t/a（密度为1.1g/cm</w:t>
            </w:r>
            <w:r>
              <w:rPr>
                <w:rFonts w:hint="eastAsia"/>
                <w:vertAlign w:val="superscript"/>
                <w:lang w:val="en-US" w:eastAsia="zh-CN"/>
              </w:rPr>
              <w:t>3</w:t>
            </w:r>
            <w:r>
              <w:rPr>
                <w:rFonts w:hint="eastAsia"/>
                <w:lang w:val="en-US" w:eastAsia="zh-CN"/>
              </w:rPr>
              <w:t>），增加5885单组分改性聚硅氧烷封装剂使用量为2.15t/a（密度为1.08g/cm</w:t>
            </w:r>
            <w:r>
              <w:rPr>
                <w:rFonts w:hint="eastAsia"/>
                <w:vertAlign w:val="superscript"/>
                <w:lang w:val="en-US" w:eastAsia="zh-CN"/>
              </w:rPr>
              <w:t>3</w:t>
            </w:r>
            <w:r>
              <w:rPr>
                <w:rFonts w:hint="eastAsia"/>
                <w:lang w:val="en-US" w:eastAsia="zh-CN"/>
              </w:rPr>
              <w:t>）。根据两种胶粘剂理化性质，常温下性质稳定，本项目按照VOCs均在固化过程中挥发进行源强核算，固化工序年运行240d，每天运行</w:t>
            </w:r>
            <w:r>
              <w:rPr>
                <w:rFonts w:hint="eastAsia"/>
                <w:color w:val="auto"/>
                <w:lang w:val="en-US" w:eastAsia="zh-CN"/>
              </w:rPr>
              <w:t>4h</w:t>
            </w:r>
            <w:r>
              <w:rPr>
                <w:rFonts w:hint="eastAsia"/>
                <w:lang w:val="en-US" w:eastAsia="zh-CN"/>
              </w:rPr>
              <w:t>。</w:t>
            </w:r>
          </w:p>
          <w:p w14:paraId="6C0A0C67">
            <w:pPr>
              <w:bidi w:val="0"/>
              <w:rPr>
                <w:rFonts w:hint="eastAsia"/>
                <w:lang w:val="en-US" w:eastAsia="zh-CN"/>
              </w:rPr>
            </w:pPr>
            <w:r>
              <w:rPr>
                <w:rFonts w:hint="eastAsia"/>
                <w:lang w:val="en-US" w:eastAsia="zh-CN"/>
              </w:rPr>
              <w:t>根据建设单位提供的胶粘剂VOCs检测报告，卡夫特K-9392单组份环氧胶粘剂中VOCs含量为6.14g/kg；5885单组分改性聚硅氧烷封装剂中VOCs含量为42g/kg；夫特K-9392单组份环氧胶粘剂增加VOCs产生量为0.0013t/a，5885单组分改性聚硅氧烷封装剂增加VOCs产生量为0.0903t/a，固化工序VOCs产生量为0.0916t/a，产生速率为0.095kg/h。</w:t>
            </w:r>
          </w:p>
          <w:p w14:paraId="487277C2">
            <w:pPr>
              <w:pStyle w:val="38"/>
              <w:ind w:firstLine="482"/>
              <w:rPr>
                <w:rFonts w:hint="eastAsia"/>
                <w:color w:val="0000FF"/>
                <w:highlight w:val="none"/>
                <w:shd w:val="clear" w:color="auto" w:fill="FFFFFF"/>
              </w:rPr>
            </w:pPr>
            <w:r>
              <w:rPr>
                <w:rFonts w:hint="eastAsia"/>
                <w:b/>
                <w:bCs/>
                <w:color w:val="auto"/>
                <w:shd w:val="clear" w:color="auto" w:fill="FFFFFF"/>
                <w:lang w:eastAsia="zh-CN"/>
              </w:rPr>
              <w:t>（</w:t>
            </w:r>
            <w:r>
              <w:rPr>
                <w:rFonts w:hint="eastAsia"/>
                <w:b/>
                <w:bCs/>
                <w:color w:val="auto"/>
                <w:shd w:val="clear" w:color="auto" w:fill="FFFFFF"/>
                <w:lang w:val="en-US" w:eastAsia="zh-CN"/>
              </w:rPr>
              <w:t>2</w:t>
            </w:r>
            <w:r>
              <w:rPr>
                <w:rFonts w:hint="eastAsia"/>
                <w:b/>
                <w:bCs/>
                <w:color w:val="auto"/>
                <w:shd w:val="clear" w:color="auto" w:fill="FFFFFF"/>
                <w:lang w:eastAsia="zh-CN"/>
              </w:rPr>
              <w:t>）</w:t>
            </w:r>
            <w:r>
              <w:rPr>
                <w:rFonts w:hint="eastAsia"/>
                <w:b/>
                <w:bCs/>
                <w:color w:val="auto"/>
                <w:shd w:val="clear" w:color="auto" w:fill="FFFFFF"/>
              </w:rPr>
              <w:t>技改后</w:t>
            </w:r>
            <w:r>
              <w:rPr>
                <w:rFonts w:hint="eastAsia"/>
                <w:b/>
                <w:bCs/>
                <w:color w:val="auto"/>
                <w:shd w:val="clear" w:color="auto" w:fill="FFFFFF"/>
                <w:lang w:val="en-US" w:eastAsia="zh-CN"/>
              </w:rPr>
              <w:t>新增</w:t>
            </w:r>
            <w:r>
              <w:rPr>
                <w:rFonts w:hint="eastAsia"/>
                <w:b/>
                <w:bCs/>
                <w:color w:val="auto"/>
                <w:lang w:val="en-US" w:eastAsia="zh-CN"/>
              </w:rPr>
              <w:t>收集、处理</w:t>
            </w:r>
            <w:r>
              <w:rPr>
                <w:rFonts w:hint="eastAsia"/>
                <w:b/>
                <w:bCs/>
                <w:color w:val="auto"/>
              </w:rPr>
              <w:t>措施</w:t>
            </w:r>
            <w:r>
              <w:rPr>
                <w:rFonts w:hint="eastAsia"/>
                <w:b/>
                <w:bCs/>
                <w:color w:val="auto"/>
                <w:lang w:eastAsia="zh-CN"/>
              </w:rPr>
              <w:t>：</w:t>
            </w:r>
          </w:p>
          <w:p w14:paraId="74ACD20D">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ascii="Times New Roman" w:hAnsi="Times New Roman" w:cs="Times New Roman"/>
                <w:b/>
                <w:bCs/>
                <w:color w:val="auto"/>
                <w:sz w:val="24"/>
                <w:szCs w:val="28"/>
                <w:highlight w:val="none"/>
                <w:lang w:val="en-US" w:eastAsia="zh-CN"/>
              </w:rPr>
              <w:t>①</w:t>
            </w:r>
            <w:r>
              <w:rPr>
                <w:rFonts w:hint="default" w:ascii="Times New Roman" w:hAnsi="Times New Roman" w:eastAsia="宋体" w:cs="Times New Roman"/>
                <w:b/>
                <w:bCs/>
                <w:color w:val="auto"/>
                <w:sz w:val="24"/>
                <w:szCs w:val="28"/>
                <w:highlight w:val="none"/>
                <w:lang w:val="en-US" w:eastAsia="zh-CN"/>
              </w:rPr>
              <w:t>拟采取的</w:t>
            </w:r>
            <w:r>
              <w:rPr>
                <w:rFonts w:hint="default" w:ascii="Times New Roman" w:hAnsi="Times New Roman" w:eastAsia="宋体" w:cs="Times New Roman"/>
                <w:b/>
                <w:bCs/>
                <w:color w:val="auto"/>
                <w:sz w:val="24"/>
                <w:szCs w:val="28"/>
                <w:highlight w:val="none"/>
              </w:rPr>
              <w:t>治理措施</w:t>
            </w:r>
          </w:p>
          <w:p w14:paraId="515DE8C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u w:val="none"/>
                <w:lang w:val="en-US" w:eastAsia="zh-CN"/>
              </w:rPr>
              <w:t>本项目采用</w:t>
            </w:r>
            <w:r>
              <w:rPr>
                <w:rFonts w:hint="eastAsia" w:cs="Times New Roman"/>
                <w:color w:val="auto"/>
                <w:sz w:val="24"/>
                <w:highlight w:val="none"/>
                <w:u w:val="none"/>
                <w:lang w:val="en-US" w:eastAsia="zh-CN"/>
              </w:rPr>
              <w:t>密闭管道收集和</w:t>
            </w:r>
            <w:r>
              <w:rPr>
                <w:rFonts w:hint="default" w:ascii="Times New Roman" w:hAnsi="Times New Roman" w:eastAsia="宋体" w:cs="Times New Roman"/>
                <w:color w:val="auto"/>
                <w:sz w:val="24"/>
                <w:highlight w:val="none"/>
                <w:u w:val="none"/>
                <w:lang w:val="en-US" w:eastAsia="zh-CN"/>
              </w:rPr>
              <w:t>二级活性炭</w:t>
            </w:r>
            <w:r>
              <w:rPr>
                <w:rFonts w:hint="eastAsia" w:eastAsia="宋体" w:cs="Times New Roman"/>
                <w:color w:val="auto"/>
                <w:sz w:val="24"/>
                <w:highlight w:val="none"/>
                <w:u w:val="none"/>
                <w:lang w:val="en-US" w:eastAsia="zh-CN"/>
              </w:rPr>
              <w:t>吸附</w:t>
            </w:r>
            <w:r>
              <w:rPr>
                <w:rFonts w:hint="default" w:ascii="Times New Roman" w:hAnsi="Times New Roman" w:eastAsia="宋体" w:cs="Times New Roman"/>
                <w:color w:val="auto"/>
                <w:sz w:val="24"/>
                <w:highlight w:val="none"/>
                <w:u w:val="none"/>
                <w:lang w:val="en-US" w:eastAsia="zh-CN"/>
              </w:rPr>
              <w:t>装置</w:t>
            </w:r>
            <w:r>
              <w:rPr>
                <w:rFonts w:hint="default" w:ascii="Times New Roman" w:hAnsi="Times New Roman" w:eastAsia="宋体" w:cs="Times New Roman"/>
                <w:color w:val="auto"/>
                <w:sz w:val="24"/>
                <w:szCs w:val="24"/>
                <w:highlight w:val="none"/>
                <w:lang w:val="en-US" w:eastAsia="zh-CN"/>
              </w:rPr>
              <w:t>。根据《关于印发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主要污染物总量减排核算技术指南（2022年修订）</w:t>
            </w:r>
            <w:r>
              <w:rPr>
                <w:rFonts w:hint="eastAsia" w:cs="Times New Roman"/>
                <w:color w:val="auto"/>
                <w:sz w:val="24"/>
                <w:szCs w:val="24"/>
                <w:highlight w:val="none"/>
                <w:lang w:val="en-US" w:eastAsia="zh-CN"/>
              </w:rPr>
              <w:t>〉的通知》</w:t>
            </w:r>
            <w:r>
              <w:rPr>
                <w:rFonts w:hint="default" w:ascii="Times New Roman" w:hAnsi="Times New Roman" w:eastAsia="宋体" w:cs="Times New Roman"/>
                <w:color w:val="auto"/>
                <w:sz w:val="24"/>
                <w:szCs w:val="24"/>
                <w:highlight w:val="none"/>
                <w:lang w:val="en-US" w:eastAsia="zh-CN"/>
              </w:rPr>
              <w:t>（环办综合函〔2022〕350号）明确规定</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VOCs废气收集率</w:t>
            </w:r>
            <w:r>
              <w:rPr>
                <w:rFonts w:hint="eastAsia"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治理设施去除率参考表2-3取值</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查阅</w:t>
            </w:r>
            <w:r>
              <w:rPr>
                <w:rFonts w:ascii="Times New Roman" w:hAnsi="Times New Roman" w:eastAsia="宋体" w:cs="Times New Roman"/>
                <w:sz w:val="24"/>
                <w:szCs w:val="24"/>
              </w:rPr>
              <w:t>表2-3</w:t>
            </w:r>
            <w:r>
              <w:rPr>
                <w:rFonts w:hint="eastAsia" w:cs="Times New Roman"/>
                <w:sz w:val="24"/>
                <w:szCs w:val="24"/>
                <w:lang w:val="en-US" w:eastAsia="zh-CN"/>
              </w:rPr>
              <w:t>可知</w:t>
            </w:r>
            <w:r>
              <w:rPr>
                <w:rFonts w:hint="eastAsia" w:ascii="Times New Roman" w:hAnsi="Times New Roman" w:eastAsia="宋体" w:cs="Times New Roman"/>
                <w:sz w:val="24"/>
                <w:szCs w:val="24"/>
                <w:lang w:eastAsia="zh-CN"/>
              </w:rPr>
              <w:t>密闭管道的</w:t>
            </w:r>
            <w:r>
              <w:rPr>
                <w:rFonts w:hint="eastAsia" w:cs="Times New Roman"/>
                <w:sz w:val="24"/>
                <w:szCs w:val="24"/>
                <w:lang w:val="en-US" w:eastAsia="zh-CN"/>
              </w:rPr>
              <w:t>收集效率为95%，</w:t>
            </w:r>
            <w:r>
              <w:rPr>
                <w:rFonts w:hint="eastAsia" w:ascii="Times New Roman" w:hAnsi="Times New Roman" w:eastAsia="宋体" w:cs="Times New Roman"/>
                <w:sz w:val="24"/>
                <w:szCs w:val="24"/>
                <w:lang w:eastAsia="zh-CN"/>
              </w:rPr>
              <w:t>考虑物料进出口等必要缝隙的泄漏</w:t>
            </w:r>
            <w:r>
              <w:rPr>
                <w:rFonts w:hint="eastAsia" w:cs="Times New Roman"/>
                <w:sz w:val="24"/>
                <w:szCs w:val="24"/>
                <w:lang w:val="en-US" w:eastAsia="zh-CN"/>
              </w:rPr>
              <w:t>后</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将其</w:t>
            </w:r>
            <w:r>
              <w:rPr>
                <w:rFonts w:hint="eastAsia" w:ascii="Times New Roman" w:hAnsi="Times New Roman" w:eastAsia="宋体" w:cs="Times New Roman"/>
                <w:sz w:val="24"/>
                <w:szCs w:val="24"/>
                <w:lang w:eastAsia="zh-CN"/>
              </w:rPr>
              <w:t>收集效率</w:t>
            </w:r>
            <w:r>
              <w:rPr>
                <w:rFonts w:hint="eastAsia" w:cs="Times New Roman"/>
                <w:sz w:val="24"/>
                <w:szCs w:val="24"/>
                <w:lang w:val="en-US" w:eastAsia="zh-CN"/>
              </w:rPr>
              <w:t>确定为</w:t>
            </w:r>
            <w:r>
              <w:rPr>
                <w:rFonts w:hint="eastAsia" w:ascii="Times New Roman" w:hAnsi="Times New Roman" w:eastAsia="宋体" w:cs="Times New Roman"/>
                <w:sz w:val="24"/>
                <w:szCs w:val="24"/>
                <w:lang w:eastAsia="zh-CN"/>
              </w:rPr>
              <w:t>90%</w:t>
            </w:r>
            <w:r>
              <w:rPr>
                <w:rFonts w:hint="eastAsia" w:cs="Times New Roman"/>
                <w:sz w:val="24"/>
                <w:szCs w:val="24"/>
                <w:lang w:eastAsia="zh-CN"/>
              </w:rPr>
              <w:t>；</w:t>
            </w:r>
            <w:r>
              <w:rPr>
                <w:rFonts w:hint="default" w:ascii="Times New Roman" w:hAnsi="Times New Roman" w:eastAsia="宋体" w:cs="Times New Roman"/>
                <w:color w:val="auto"/>
                <w:sz w:val="24"/>
                <w:szCs w:val="24"/>
                <w:highlight w:val="none"/>
                <w:lang w:val="en-US" w:eastAsia="zh-CN"/>
              </w:rPr>
              <w:t>考虑项目对活性炭更换频次要求较高</w:t>
            </w:r>
            <w:r>
              <w:rPr>
                <w:rFonts w:hint="eastAsia"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en-US" w:eastAsia="zh-CN"/>
              </w:rPr>
              <w:t>一次性活性炭吸附VOCs去除率取</w:t>
            </w:r>
            <w:r>
              <w:rPr>
                <w:rFonts w:hint="eastAsia" w:cs="Times New Roman"/>
                <w:color w:val="auto"/>
                <w:sz w:val="24"/>
                <w:szCs w:val="24"/>
                <w:highlight w:val="none"/>
                <w:lang w:val="en-US" w:eastAsia="zh-CN"/>
              </w:rPr>
              <w:t>值</w:t>
            </w:r>
            <w:r>
              <w:rPr>
                <w:rFonts w:hint="default" w:ascii="Times New Roman" w:hAnsi="Times New Roman" w:eastAsia="宋体" w:cs="Times New Roman"/>
                <w:color w:val="auto"/>
                <w:sz w:val="24"/>
                <w:szCs w:val="24"/>
                <w:highlight w:val="none"/>
                <w:lang w:val="en-US" w:eastAsia="zh-CN"/>
              </w:rPr>
              <w:t>50%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本项目采用的为二级活性炭装置，故本项目二级活性炭装置对有机废气的治理效率为75%（50%+50%×50%=75%）。</w:t>
            </w:r>
          </w:p>
          <w:p w14:paraId="3C844ADB">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szCs w:val="28"/>
                <w:highlight w:val="none"/>
                <w:lang w:val="en-US" w:eastAsia="zh-CN"/>
              </w:rPr>
              <w:t>因此，</w:t>
            </w:r>
            <w:r>
              <w:rPr>
                <w:rFonts w:hint="default" w:ascii="Times New Roman" w:hAnsi="Times New Roman" w:eastAsia="宋体" w:cs="Times New Roman"/>
                <w:color w:val="auto"/>
                <w:sz w:val="24"/>
                <w:szCs w:val="28"/>
                <w:highlight w:val="none"/>
                <w:lang w:val="en-US" w:eastAsia="zh-CN"/>
              </w:rPr>
              <w:t>项目</w:t>
            </w:r>
            <w:r>
              <w:rPr>
                <w:rFonts w:hint="eastAsia" w:cs="Times New Roman"/>
                <w:color w:val="auto"/>
                <w:sz w:val="24"/>
                <w:szCs w:val="28"/>
                <w:highlight w:val="none"/>
                <w:lang w:val="en-US" w:eastAsia="zh-CN"/>
              </w:rPr>
              <w:t>废气处理措施为：在固化箱</w:t>
            </w:r>
            <w:r>
              <w:rPr>
                <w:rFonts w:hint="eastAsia" w:ascii="Times New Roman" w:hAnsi="Times New Roman" w:cs="Times New Roman"/>
                <w:color w:val="auto"/>
                <w:sz w:val="24"/>
                <w:szCs w:val="28"/>
                <w:highlight w:val="none"/>
                <w:lang w:val="en-US" w:eastAsia="zh-CN"/>
              </w:rPr>
              <w:t>顶部</w:t>
            </w:r>
            <w:r>
              <w:rPr>
                <w:rFonts w:hint="eastAsia" w:cs="Times New Roman"/>
                <w:color w:val="auto"/>
                <w:sz w:val="24"/>
                <w:szCs w:val="28"/>
                <w:highlight w:val="none"/>
                <w:lang w:val="en-US" w:eastAsia="zh-CN"/>
              </w:rPr>
              <w:t>设置密闭</w:t>
            </w:r>
            <w:r>
              <w:rPr>
                <w:rFonts w:hint="eastAsia" w:ascii="Times New Roman" w:hAnsi="Times New Roman" w:cs="Times New Roman"/>
                <w:color w:val="auto"/>
                <w:sz w:val="24"/>
                <w:szCs w:val="28"/>
                <w:highlight w:val="none"/>
                <w:lang w:val="en-US" w:eastAsia="zh-CN"/>
              </w:rPr>
              <w:t>管道收集废气</w:t>
            </w:r>
            <w:r>
              <w:rPr>
                <w:rFonts w:hint="eastAsia" w:cs="Times New Roman"/>
                <w:color w:val="auto"/>
                <w:sz w:val="24"/>
                <w:szCs w:val="28"/>
                <w:highlight w:val="none"/>
                <w:lang w:val="en-US" w:eastAsia="zh-CN"/>
              </w:rPr>
              <w:t>（</w:t>
            </w:r>
            <w:r>
              <w:rPr>
                <w:rFonts w:hint="default" w:ascii="Times New Roman" w:hAnsi="Times New Roman" w:eastAsia="宋体" w:cs="Times New Roman"/>
                <w:color w:val="auto"/>
                <w:sz w:val="24"/>
                <w:highlight w:val="none"/>
                <w:lang w:val="en-US" w:eastAsia="zh-CN"/>
              </w:rPr>
              <w:t>收集效率90%</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，收集后经</w:t>
            </w:r>
            <w:r>
              <w:rPr>
                <w:rFonts w:hint="eastAsia" w:cs="Times New Roman"/>
                <w:color w:val="auto"/>
                <w:sz w:val="24"/>
                <w:highlight w:val="none"/>
                <w:lang w:val="en-US" w:eastAsia="zh-CN"/>
              </w:rPr>
              <w:t>一套“</w:t>
            </w:r>
            <w:r>
              <w:rPr>
                <w:rFonts w:hint="eastAsia" w:ascii="Times New Roman" w:hAnsi="Times New Roman" w:cs="Times New Roman"/>
                <w:color w:val="auto"/>
                <w:sz w:val="24"/>
                <w:highlight w:val="none"/>
                <w:lang w:val="en-US" w:eastAsia="zh-CN"/>
              </w:rPr>
              <w:t>二级活性炭吸附</w:t>
            </w:r>
            <w:r>
              <w:rPr>
                <w:rFonts w:hint="default" w:ascii="Times New Roman" w:hAnsi="Times New Roman" w:eastAsia="宋体" w:cs="Times New Roman"/>
                <w:color w:val="auto"/>
                <w:sz w:val="24"/>
                <w:highlight w:val="none"/>
                <w:lang w:val="en-US" w:eastAsia="zh-CN"/>
              </w:rPr>
              <w:t>装置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处理（处理效率约</w:t>
            </w:r>
            <w:r>
              <w:rPr>
                <w:rFonts w:hint="eastAsia" w:ascii="Times New Roman" w:hAnsi="Times New Roman" w:cs="Times New Roman"/>
                <w:color w:val="auto"/>
                <w:sz w:val="24"/>
                <w:highlight w:val="none"/>
                <w:lang w:val="en-US" w:eastAsia="zh-CN"/>
              </w:rPr>
              <w:t>75</w:t>
            </w:r>
            <w:r>
              <w:rPr>
                <w:rFonts w:hint="default" w:ascii="Times New Roman" w:hAnsi="Times New Roman" w:eastAsia="宋体" w:cs="Times New Roman"/>
                <w:color w:val="auto"/>
                <w:sz w:val="24"/>
                <w:highlight w:val="none"/>
                <w:lang w:val="en-US" w:eastAsia="zh-CN"/>
              </w:rPr>
              <w:t>%）后，再由1根</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m的排气筒（DA001）排放</w:t>
            </w:r>
            <w:r>
              <w:rPr>
                <w:rFonts w:hint="default" w:ascii="Times New Roman" w:hAnsi="Times New Roman" w:eastAsia="宋体" w:cs="Times New Roman"/>
                <w:color w:val="auto"/>
                <w:sz w:val="24"/>
                <w:highlight w:val="none"/>
              </w:rPr>
              <w:t>。</w:t>
            </w:r>
          </w:p>
          <w:p w14:paraId="2612D2D8">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②</w:t>
            </w:r>
            <w:r>
              <w:rPr>
                <w:rFonts w:hint="default" w:ascii="Times New Roman" w:hAnsi="Times New Roman" w:eastAsia="宋体" w:cs="Times New Roman"/>
                <w:b/>
                <w:bCs/>
                <w:color w:val="auto"/>
                <w:sz w:val="24"/>
                <w:highlight w:val="none"/>
                <w:lang w:val="en-US" w:eastAsia="zh-CN"/>
              </w:rPr>
              <w:t>风量核算</w:t>
            </w:r>
          </w:p>
          <w:p w14:paraId="4495E8CC">
            <w:pPr>
              <w:pStyle w:val="38"/>
              <w:ind w:firstLine="482"/>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固化</w:t>
            </w:r>
            <w:r>
              <w:rPr>
                <w:rFonts w:hint="default" w:ascii="Times New Roman" w:hAnsi="Times New Roman" w:eastAsia="宋体" w:cs="Times New Roman"/>
                <w:color w:val="auto"/>
                <w:sz w:val="24"/>
                <w:highlight w:val="none"/>
                <w:u w:val="none"/>
                <w:lang w:val="en-US" w:eastAsia="zh-CN"/>
              </w:rPr>
              <w:t>工序：</w:t>
            </w:r>
            <w:r>
              <w:rPr>
                <w:rFonts w:hint="default" w:ascii="Times New Roman" w:hAnsi="Times New Roman" w:eastAsia="宋体" w:cs="Times New Roman"/>
                <w:color w:val="auto"/>
                <w:sz w:val="24"/>
                <w:highlight w:val="none"/>
                <w:u w:val="none"/>
                <w:lang w:eastAsia="zh-CN"/>
              </w:rPr>
              <w:t>本项目</w:t>
            </w:r>
            <w:r>
              <w:rPr>
                <w:rFonts w:hint="default" w:ascii="Times New Roman" w:hAnsi="Times New Roman" w:eastAsia="宋体" w:cs="Times New Roman"/>
                <w:color w:val="auto"/>
                <w:sz w:val="24"/>
                <w:highlight w:val="none"/>
                <w:u w:val="none"/>
                <w:lang w:val="en-US" w:eastAsia="zh-CN"/>
              </w:rPr>
              <w:t>新增密闭</w:t>
            </w:r>
            <w:r>
              <w:rPr>
                <w:rFonts w:hint="eastAsia" w:ascii="Times New Roman" w:hAnsi="Times New Roman" w:eastAsia="宋体" w:cs="Times New Roman"/>
                <w:color w:val="auto"/>
                <w:sz w:val="24"/>
                <w:highlight w:val="none"/>
                <w:u w:val="none"/>
                <w:lang w:val="en-US" w:eastAsia="zh-CN"/>
              </w:rPr>
              <w:t>固化箱</w:t>
            </w:r>
            <w:r>
              <w:rPr>
                <w:rFonts w:hint="default" w:ascii="Times New Roman" w:hAnsi="Times New Roman" w:eastAsia="宋体" w:cs="Times New Roman"/>
                <w:color w:val="auto"/>
                <w:sz w:val="24"/>
                <w:highlight w:val="none"/>
                <w:u w:val="none"/>
                <w:lang w:val="en-US" w:eastAsia="zh-CN"/>
              </w:rPr>
              <w:t>共4</w:t>
            </w:r>
            <w:r>
              <w:rPr>
                <w:rFonts w:hint="eastAsia" w:cs="Times New Roman"/>
                <w:color w:val="auto"/>
                <w:sz w:val="24"/>
                <w:highlight w:val="none"/>
                <w:u w:val="none"/>
                <w:lang w:val="en-US" w:eastAsia="zh-CN"/>
              </w:rPr>
              <w:t>个</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每个固化箱容积为3.2m</w:t>
            </w:r>
            <w:r>
              <w:rPr>
                <w:rFonts w:hint="eastAsia" w:ascii="Times New Roman" w:hAnsi="Times New Roman" w:eastAsia="宋体" w:cs="Times New Roman"/>
                <w:color w:val="auto"/>
                <w:sz w:val="24"/>
                <w:highlight w:val="none"/>
                <w:u w:val="none"/>
                <w:vertAlign w:val="superscript"/>
                <w:lang w:val="en-US" w:eastAsia="zh-CN"/>
              </w:rPr>
              <w:t>3</w:t>
            </w:r>
            <w:r>
              <w:rPr>
                <w:rFonts w:hint="eastAsia" w:ascii="Times New Roman" w:hAnsi="Times New Roman" w:eastAsia="宋体"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eastAsia="zh-CN"/>
              </w:rPr>
              <w:t>参照《</w:t>
            </w:r>
            <w:r>
              <w:rPr>
                <w:rFonts w:hint="default" w:ascii="Times New Roman" w:hAnsi="Times New Roman" w:eastAsia="宋体" w:cs="Times New Roman"/>
                <w:color w:val="auto"/>
                <w:sz w:val="24"/>
                <w:highlight w:val="none"/>
                <w:u w:val="none"/>
                <w:lang w:val="en-US" w:eastAsia="zh-CN"/>
              </w:rPr>
              <w:t>简明通风设计参考手册》</w:t>
            </w:r>
            <w:r>
              <w:rPr>
                <w:rFonts w:hint="eastAsia" w:ascii="Times New Roman" w:hAnsi="Times New Roman" w:eastAsia="宋体"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eastAsia="zh-CN"/>
              </w:rPr>
              <w:t>根据风机风量计算公式</w:t>
            </w:r>
            <w:r>
              <w:rPr>
                <w:rFonts w:hint="eastAsia"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L=V×n</w:t>
            </w:r>
            <w:r>
              <w:rPr>
                <w:rFonts w:hint="eastAsia" w:ascii="Times New Roman" w:hAnsi="Times New Roman" w:eastAsia="宋体"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val="en-US" w:eastAsia="zh-CN"/>
              </w:rPr>
              <w:t>式中</w:t>
            </w:r>
            <w:r>
              <w:rPr>
                <w:rFonts w:hint="default" w:ascii="Times New Roman" w:hAnsi="Times New Roman" w:eastAsia="宋体" w:cs="Times New Roman"/>
                <w:color w:val="auto"/>
                <w:sz w:val="24"/>
                <w:highlight w:val="none"/>
                <w:u w:val="none"/>
                <w:lang w:eastAsia="zh-CN"/>
              </w:rPr>
              <w:t>L</w:t>
            </w:r>
            <w:r>
              <w:rPr>
                <w:rFonts w:hint="eastAsia" w:ascii="Times New Roman" w:hAnsi="Times New Roman" w:eastAsia="宋体" w:cs="Times New Roman"/>
                <w:color w:val="auto"/>
                <w:sz w:val="24"/>
                <w:highlight w:val="none"/>
                <w:u w:val="none"/>
                <w:lang w:val="en-US" w:eastAsia="zh-CN"/>
              </w:rPr>
              <w:t>为</w:t>
            </w:r>
            <w:r>
              <w:rPr>
                <w:rFonts w:hint="default" w:ascii="Times New Roman" w:hAnsi="Times New Roman" w:eastAsia="宋体" w:cs="Times New Roman"/>
                <w:color w:val="auto"/>
                <w:sz w:val="24"/>
                <w:highlight w:val="none"/>
                <w:u w:val="none"/>
                <w:lang w:eastAsia="zh-CN"/>
              </w:rPr>
              <w:t>所需排风量</w:t>
            </w:r>
            <w:r>
              <w:rPr>
                <w:rFonts w:hint="eastAsia"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m</w:t>
            </w:r>
            <w:r>
              <w:rPr>
                <w:rFonts w:hint="eastAsia"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eastAsia="zh-CN"/>
              </w:rPr>
              <w:t>/h</w:t>
            </w:r>
            <w:r>
              <w:rPr>
                <w:rFonts w:hint="eastAsia"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V</w:t>
            </w:r>
            <w:r>
              <w:rPr>
                <w:rFonts w:hint="eastAsia" w:ascii="Times New Roman" w:hAnsi="Times New Roman" w:eastAsia="宋体" w:cs="Times New Roman"/>
                <w:color w:val="auto"/>
                <w:sz w:val="24"/>
                <w:highlight w:val="none"/>
                <w:u w:val="none"/>
                <w:lang w:val="en-US" w:eastAsia="zh-CN"/>
              </w:rPr>
              <w:t>为固化箱</w:t>
            </w:r>
            <w:r>
              <w:rPr>
                <w:rFonts w:hint="default" w:ascii="Times New Roman" w:hAnsi="Times New Roman" w:eastAsia="宋体" w:cs="Times New Roman"/>
                <w:color w:val="auto"/>
                <w:sz w:val="24"/>
                <w:highlight w:val="none"/>
                <w:u w:val="none"/>
                <w:lang w:eastAsia="zh-CN"/>
              </w:rPr>
              <w:t>内部净容积</w:t>
            </w:r>
            <w:r>
              <w:rPr>
                <w:rFonts w:hint="eastAsia"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m³</w:t>
            </w:r>
            <w:r>
              <w:rPr>
                <w:rFonts w:hint="eastAsia"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val="en-US" w:eastAsia="zh-CN"/>
              </w:rPr>
              <w:t>根据计算为3.2m</w:t>
            </w:r>
            <w:r>
              <w:rPr>
                <w:rFonts w:hint="eastAsia" w:ascii="Times New Roman" w:hAnsi="Times New Roman" w:eastAsia="宋体" w:cs="Times New Roman"/>
                <w:color w:val="auto"/>
                <w:sz w:val="24"/>
                <w:highlight w:val="none"/>
                <w:u w:val="none"/>
                <w:vertAlign w:val="superscript"/>
                <w:lang w:val="en-US" w:eastAsia="zh-CN"/>
              </w:rPr>
              <w:t>3</w:t>
            </w:r>
            <w:r>
              <w:rPr>
                <w:rFonts w:hint="eastAsia" w:ascii="Times New Roman" w:hAnsi="Times New Roman" w:eastAsia="宋体" w:cs="Times New Roman"/>
                <w:color w:val="auto"/>
                <w:sz w:val="24"/>
                <w:highlight w:val="none"/>
                <w:u w:val="none"/>
                <w:vertAlign w:val="baseline"/>
                <w:lang w:val="en-US" w:eastAsia="zh-CN"/>
              </w:rPr>
              <w:t>；</w:t>
            </w:r>
            <w:r>
              <w:rPr>
                <w:rFonts w:hint="default" w:ascii="Times New Roman" w:hAnsi="Times New Roman" w:eastAsia="宋体" w:cs="Times New Roman"/>
                <w:color w:val="auto"/>
                <w:sz w:val="24"/>
                <w:highlight w:val="none"/>
                <w:u w:val="none"/>
                <w:lang w:eastAsia="zh-CN"/>
              </w:rPr>
              <w:t>n</w:t>
            </w:r>
            <w:r>
              <w:rPr>
                <w:rFonts w:hint="eastAsia" w:ascii="Times New Roman" w:hAnsi="Times New Roman" w:eastAsia="宋体" w:cs="Times New Roman"/>
                <w:color w:val="auto"/>
                <w:sz w:val="24"/>
                <w:highlight w:val="none"/>
                <w:u w:val="none"/>
                <w:lang w:val="en-US" w:eastAsia="zh-CN"/>
              </w:rPr>
              <w:t>为</w:t>
            </w:r>
            <w:r>
              <w:rPr>
                <w:rFonts w:hint="default" w:ascii="Times New Roman" w:hAnsi="Times New Roman" w:eastAsia="宋体" w:cs="Times New Roman"/>
                <w:color w:val="auto"/>
                <w:sz w:val="24"/>
                <w:highlight w:val="none"/>
                <w:u w:val="none"/>
                <w:lang w:eastAsia="zh-CN"/>
              </w:rPr>
              <w:t>换气次数</w:t>
            </w:r>
            <w:r>
              <w:rPr>
                <w:rFonts w:hint="eastAsia"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次/h</w:t>
            </w:r>
            <w:r>
              <w:rPr>
                <w:rFonts w:hint="eastAsia"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eastAsia="zh-CN"/>
              </w:rPr>
              <w:t>，</w:t>
            </w:r>
            <w:r>
              <w:rPr>
                <w:rFonts w:hint="eastAsia" w:ascii="Times New Roman" w:hAnsi="Times New Roman" w:eastAsia="宋体" w:cs="Times New Roman"/>
                <w:color w:val="auto"/>
                <w:sz w:val="24"/>
                <w:highlight w:val="none"/>
                <w:u w:val="none"/>
                <w:lang w:val="en-US" w:eastAsia="zh-CN"/>
              </w:rPr>
              <w:t>取n=</w:t>
            </w:r>
            <w:r>
              <w:rPr>
                <w:rFonts w:hint="eastAsia" w:eastAsia="宋体"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lang w:eastAsia="zh-CN"/>
              </w:rPr>
              <w:t>次/h</w:t>
            </w:r>
            <w:r>
              <w:rPr>
                <w:rFonts w:hint="eastAsia"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根据风机风量计算公式</w:t>
            </w:r>
            <w:r>
              <w:rPr>
                <w:rFonts w:hint="eastAsia" w:eastAsia="宋体" w:cs="Times New Roman"/>
                <w:color w:val="auto"/>
                <w:sz w:val="24"/>
                <w:highlight w:val="none"/>
                <w:u w:val="none"/>
                <w:lang w:val="en-US" w:eastAsia="zh-CN"/>
              </w:rPr>
              <w:t>可得，4个固化箱</w:t>
            </w:r>
            <w:r>
              <w:rPr>
                <w:rFonts w:hint="default" w:ascii="Times New Roman" w:hAnsi="Times New Roman" w:eastAsia="宋体" w:cs="Times New Roman"/>
                <w:color w:val="auto"/>
                <w:sz w:val="24"/>
                <w:highlight w:val="none"/>
                <w:u w:val="none"/>
                <w:lang w:eastAsia="zh-CN"/>
              </w:rPr>
              <w:t>所需风量</w:t>
            </w:r>
            <w:r>
              <w:rPr>
                <w:rFonts w:hint="eastAsia" w:eastAsia="宋体" w:cs="Times New Roman"/>
                <w:color w:val="auto"/>
                <w:sz w:val="24"/>
                <w:highlight w:val="none"/>
                <w:u w:val="none"/>
                <w:lang w:val="en-US" w:eastAsia="zh-CN"/>
              </w:rPr>
              <w:t>384</w:t>
            </w:r>
            <w:r>
              <w:rPr>
                <w:rFonts w:hint="default" w:ascii="Times New Roman" w:hAnsi="Times New Roman" w:eastAsia="宋体" w:cs="Times New Roman"/>
                <w:color w:val="auto"/>
                <w:sz w:val="24"/>
                <w:highlight w:val="none"/>
                <w:u w:val="none"/>
                <w:lang w:eastAsia="zh-CN"/>
              </w:rPr>
              <w:t>m</w:t>
            </w:r>
            <w:r>
              <w:rPr>
                <w:rFonts w:hint="eastAsia"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eastAsia="zh-CN"/>
              </w:rPr>
              <w:t>/h</w:t>
            </w:r>
            <w:r>
              <w:rPr>
                <w:rFonts w:hint="eastAsia"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val="en-US" w:eastAsia="zh-CN"/>
              </w:rPr>
              <w:t>在实际工程中，考虑</w:t>
            </w:r>
            <w:r>
              <w:rPr>
                <w:rFonts w:hint="eastAsia" w:ascii="Times New Roman" w:hAnsi="Times New Roman" w:eastAsia="宋体" w:cs="Times New Roman"/>
                <w:color w:val="auto"/>
                <w:sz w:val="24"/>
                <w:highlight w:val="none"/>
                <w:u w:val="none"/>
                <w:lang w:val="en-US" w:eastAsia="zh-CN"/>
              </w:rPr>
              <w:t>到</w:t>
            </w:r>
            <w:r>
              <w:rPr>
                <w:rFonts w:hint="default" w:ascii="Times New Roman" w:hAnsi="Times New Roman" w:eastAsia="宋体" w:cs="Times New Roman"/>
                <w:color w:val="auto"/>
                <w:sz w:val="24"/>
                <w:highlight w:val="none"/>
                <w:u w:val="none"/>
                <w:lang w:val="en-US" w:eastAsia="zh-CN"/>
              </w:rPr>
              <w:t>管道阻力、过滤器阻力、系统漏风等因素</w:t>
            </w:r>
            <w:r>
              <w:rPr>
                <w:rFonts w:hint="eastAsia" w:ascii="Times New Roman" w:hAnsi="Times New Roman" w:eastAsia="宋体" w:cs="Times New Roman"/>
                <w:color w:val="auto"/>
                <w:sz w:val="24"/>
                <w:highlight w:val="none"/>
                <w:u w:val="none"/>
                <w:lang w:val="en-US" w:eastAsia="zh-CN"/>
              </w:rPr>
              <w:t>，本项目考虑增加</w:t>
            </w:r>
            <w:r>
              <w:rPr>
                <w:rFonts w:hint="default" w:ascii="Times New Roman" w:hAnsi="Times New Roman" w:eastAsia="宋体" w:cs="Times New Roman"/>
                <w:color w:val="auto"/>
                <w:sz w:val="24"/>
                <w:highlight w:val="none"/>
                <w:u w:val="none"/>
                <w:lang w:val="en-US" w:eastAsia="zh-CN"/>
              </w:rPr>
              <w:t>20%的安全系数</w:t>
            </w:r>
            <w:r>
              <w:rPr>
                <w:rFonts w:hint="eastAsia" w:ascii="Times New Roman" w:hAnsi="Times New Roman" w:eastAsia="宋体" w:cs="Times New Roman"/>
                <w:color w:val="auto"/>
                <w:sz w:val="24"/>
                <w:highlight w:val="none"/>
                <w:u w:val="none"/>
                <w:lang w:val="en-US" w:eastAsia="zh-CN"/>
              </w:rPr>
              <w:t>，因此总风量取值为</w:t>
            </w:r>
            <w:r>
              <w:rPr>
                <w:rFonts w:hint="eastAsia" w:eastAsia="宋体" w:cs="Times New Roman"/>
                <w:color w:val="auto"/>
                <w:sz w:val="24"/>
                <w:highlight w:val="none"/>
                <w:u w:val="none"/>
                <w:lang w:val="en-US" w:eastAsia="zh-CN"/>
              </w:rPr>
              <w:t>500</w:t>
            </w:r>
            <w:r>
              <w:rPr>
                <w:rFonts w:hint="eastAsia" w:ascii="Times New Roman" w:hAnsi="Times New Roman" w:eastAsia="宋体" w:cs="Times New Roman"/>
                <w:color w:val="auto"/>
                <w:sz w:val="24"/>
                <w:highlight w:val="none"/>
                <w:u w:val="none"/>
                <w:lang w:val="en-US" w:eastAsia="zh-CN"/>
              </w:rPr>
              <w:t>m</w:t>
            </w:r>
            <w:r>
              <w:rPr>
                <w:rFonts w:hint="eastAsia" w:ascii="Times New Roman" w:hAnsi="Times New Roman" w:eastAsia="宋体" w:cs="Times New Roman"/>
                <w:color w:val="auto"/>
                <w:sz w:val="24"/>
                <w:highlight w:val="none"/>
                <w:u w:val="none"/>
                <w:vertAlign w:val="superscript"/>
                <w:lang w:val="en-US" w:eastAsia="zh-CN"/>
              </w:rPr>
              <w:t>3</w:t>
            </w:r>
            <w:r>
              <w:rPr>
                <w:rFonts w:hint="eastAsia" w:ascii="Times New Roman" w:hAnsi="Times New Roman" w:eastAsia="宋体" w:cs="Times New Roman"/>
                <w:color w:val="auto"/>
                <w:sz w:val="24"/>
                <w:highlight w:val="none"/>
                <w:u w:val="none"/>
                <w:lang w:val="en-US" w:eastAsia="zh-CN"/>
              </w:rPr>
              <w:t>/h。</w:t>
            </w:r>
          </w:p>
          <w:p w14:paraId="17090169">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u w:val="none"/>
                <w:lang w:val="en-US" w:eastAsia="zh-CN"/>
              </w:rPr>
            </w:pPr>
            <w:r>
              <w:rPr>
                <w:rFonts w:hint="eastAsia" w:eastAsia="宋体" w:cs="Times New Roman"/>
                <w:b/>
                <w:bCs/>
                <w:color w:val="auto"/>
                <w:sz w:val="24"/>
                <w:highlight w:val="none"/>
                <w:u w:val="none"/>
                <w:lang w:val="en-US" w:eastAsia="zh-CN"/>
              </w:rPr>
              <w:t>③</w:t>
            </w:r>
            <w:r>
              <w:rPr>
                <w:rFonts w:hint="default" w:ascii="Times New Roman" w:hAnsi="Times New Roman" w:eastAsia="宋体" w:cs="Times New Roman"/>
                <w:b/>
                <w:bCs/>
                <w:color w:val="auto"/>
                <w:sz w:val="24"/>
                <w:highlight w:val="none"/>
                <w:u w:val="none"/>
                <w:lang w:val="en-US" w:eastAsia="zh-CN"/>
              </w:rPr>
              <w:t>处理达标可行性分析</w:t>
            </w:r>
          </w:p>
          <w:p w14:paraId="6B6D877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本项目产生的废气具有小风量、低浓度的特点，且不含影响活性炭吸附性能的颗粒物及高沸点、易聚合化合物。根据</w:t>
            </w:r>
            <w:r>
              <w:rPr>
                <w:rFonts w:hint="eastAsia"/>
                <w:color w:val="auto"/>
                <w:lang w:val="en-US" w:eastAsia="zh-CN"/>
              </w:rPr>
              <w:t>《四川省挥发性有机物治理之活性炭使用管理常见问题工具书》</w:t>
            </w:r>
            <w:r>
              <w:rPr>
                <w:rFonts w:hint="default" w:ascii="Times New Roman" w:hAnsi="Times New Roman" w:eastAsia="宋体" w:cs="Times New Roman"/>
                <w:color w:val="auto"/>
                <w:sz w:val="24"/>
                <w:szCs w:val="24"/>
                <w:highlight w:val="none"/>
                <w:lang w:val="en-US" w:eastAsia="zh-CN"/>
              </w:rPr>
              <w:t>，“活性炭吸附”被明确列为治理挥发性有机物的可行技术。本项目采用的二级活性炭吸附工艺，通过两级串联提升了处理效率与稳定性，其技术选择符合上述技术规范的要求。该工艺利用活性炭巨大的比表面积和微孔结构吸附有机溶剂，能有效净化废气，并在投资成本、运行维护与合规性方面取得良好平衡。因此，本项目采用二级活性炭吸附处理工艺技术可行，符合污染防治可行技术指南要求。</w:t>
            </w:r>
          </w:p>
          <w:p w14:paraId="4321A437">
            <w:pPr>
              <w:spacing w:line="360" w:lineRule="auto"/>
              <w:ind w:firstLine="480" w:firstLineChars="200"/>
              <w:rPr>
                <w:rFonts w:hint="eastAsia"/>
                <w:color w:val="auto"/>
                <w:lang w:val="en-US" w:eastAsia="zh-CN"/>
              </w:rPr>
            </w:pPr>
            <w:r>
              <w:rPr>
                <w:rFonts w:hint="eastAsia"/>
                <w:color w:val="auto"/>
                <w:lang w:val="en-US" w:eastAsia="zh-CN"/>
              </w:rPr>
              <w:t>根据《四川省挥发性有机物治理之活性炭使用管理常见问题工具书》，结合本项目废气特点，建议选择颗粒活性炭（碘吸附值</w:t>
            </w:r>
            <w:r>
              <w:rPr>
                <w:rFonts w:hint="eastAsia"/>
                <w:color w:val="auto"/>
              </w:rPr>
              <w:t>≥</w:t>
            </w:r>
            <w:r>
              <w:rPr>
                <w:rFonts w:hint="eastAsia"/>
                <w:color w:val="auto"/>
                <w:lang w:val="en-US" w:eastAsia="zh-CN"/>
              </w:rPr>
              <w:t>800mg/g）、活性炭一次填充量500kg。</w:t>
            </w:r>
          </w:p>
          <w:p w14:paraId="7ACAA4EB">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u w:val="none"/>
                <w:lang w:val="en-US" w:eastAsia="zh-CN"/>
              </w:rPr>
            </w:pPr>
            <w:r>
              <w:rPr>
                <w:rFonts w:hint="eastAsia" w:eastAsia="宋体" w:cs="Times New Roman"/>
                <w:b/>
                <w:bCs/>
                <w:color w:val="auto"/>
                <w:sz w:val="24"/>
                <w:highlight w:val="none"/>
                <w:u w:val="none"/>
                <w:lang w:val="en-US" w:eastAsia="zh-CN"/>
              </w:rPr>
              <w:t>④</w:t>
            </w:r>
            <w:r>
              <w:rPr>
                <w:rFonts w:hint="eastAsia" w:ascii="Times New Roman" w:hAnsi="Times New Roman" w:eastAsia="宋体" w:cs="Times New Roman"/>
                <w:b/>
                <w:bCs/>
                <w:color w:val="auto"/>
                <w:sz w:val="24"/>
                <w:highlight w:val="none"/>
                <w:u w:val="none"/>
                <w:lang w:val="en-US" w:eastAsia="zh-CN"/>
              </w:rPr>
              <w:t>活性炭用量核算</w:t>
            </w:r>
          </w:p>
          <w:p w14:paraId="41B034E2">
            <w:pPr>
              <w:pStyle w:val="38"/>
              <w:ind w:firstLine="482"/>
              <w:rPr>
                <w:rFonts w:hint="eastAsia"/>
                <w:color w:val="auto"/>
                <w:lang w:val="en-US" w:eastAsia="zh-CN"/>
              </w:rPr>
            </w:pPr>
            <w:r>
              <w:rPr>
                <w:rFonts w:hint="eastAsia"/>
                <w:color w:val="auto"/>
                <w:lang w:val="en-US" w:eastAsia="zh-CN"/>
              </w:rPr>
              <w:t>根据《四川省挥发性有机物治理之活性炭使用管理常见问题工具书》中，具体活性炭更换周期可参考以下公式估算：</w:t>
            </w:r>
          </w:p>
          <w:p w14:paraId="13CA7846">
            <w:pPr>
              <w:pStyle w:val="3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T=m×s÷(c×10</w:t>
            </w:r>
            <w:r>
              <w:rPr>
                <w:rFonts w:hint="eastAsia"/>
                <w:color w:val="auto"/>
                <w:vertAlign w:val="superscript"/>
                <w:lang w:val="en-US" w:eastAsia="zh-CN"/>
              </w:rPr>
              <w:t>-6</w:t>
            </w:r>
            <w:r>
              <w:rPr>
                <w:rFonts w:hint="eastAsia"/>
                <w:color w:val="auto"/>
                <w:lang w:val="en-US" w:eastAsia="zh-CN"/>
              </w:rPr>
              <w:t>×Q×t)</w:t>
            </w:r>
          </w:p>
          <w:p w14:paraId="55FF2F40">
            <w:pPr>
              <w:pStyle w:val="38"/>
              <w:ind w:firstLine="482"/>
              <w:rPr>
                <w:rFonts w:hint="eastAsia"/>
                <w:color w:val="auto"/>
                <w:lang w:val="en-US" w:eastAsia="zh-CN"/>
              </w:rPr>
            </w:pPr>
            <w:r>
              <w:rPr>
                <w:rFonts w:hint="eastAsia"/>
                <w:color w:val="auto"/>
                <w:lang w:val="en-US" w:eastAsia="zh-CN"/>
              </w:rPr>
              <w:t>式中：</w:t>
            </w:r>
          </w:p>
          <w:p w14:paraId="11633453">
            <w:pPr>
              <w:pStyle w:val="38"/>
              <w:ind w:firstLine="482"/>
              <w:rPr>
                <w:rFonts w:hint="eastAsia"/>
                <w:color w:val="auto"/>
                <w:lang w:val="en-US" w:eastAsia="zh-CN"/>
              </w:rPr>
            </w:pPr>
            <w:r>
              <w:rPr>
                <w:rFonts w:hint="eastAsia"/>
                <w:color w:val="auto"/>
                <w:lang w:val="en-US" w:eastAsia="zh-CN"/>
              </w:rPr>
              <w:t>T—更换周期，天；</w:t>
            </w:r>
          </w:p>
          <w:p w14:paraId="043A1F81">
            <w:pPr>
              <w:pStyle w:val="38"/>
              <w:ind w:firstLine="482"/>
              <w:rPr>
                <w:rFonts w:hint="eastAsia"/>
                <w:color w:val="auto"/>
                <w:lang w:val="en-US" w:eastAsia="zh-CN"/>
              </w:rPr>
            </w:pPr>
            <w:r>
              <w:rPr>
                <w:rFonts w:hint="eastAsia"/>
                <w:color w:val="auto"/>
                <w:lang w:val="en-US" w:eastAsia="zh-CN"/>
              </w:rPr>
              <w:t>m—活性炭的用量，千克，取500kg；</w:t>
            </w:r>
          </w:p>
          <w:p w14:paraId="14CCB556">
            <w:pPr>
              <w:pStyle w:val="38"/>
              <w:ind w:firstLine="482"/>
              <w:rPr>
                <w:rFonts w:hint="eastAsia"/>
                <w:color w:val="auto"/>
                <w:lang w:val="en-US" w:eastAsia="zh-CN"/>
              </w:rPr>
            </w:pPr>
            <w:r>
              <w:rPr>
                <w:rFonts w:hint="eastAsia"/>
                <w:color w:val="auto"/>
                <w:lang w:val="en-US" w:eastAsia="zh-CN"/>
              </w:rPr>
              <w:t>s—动态吸附量，%，取值10%；</w:t>
            </w:r>
          </w:p>
          <w:p w14:paraId="4D9987EE">
            <w:pPr>
              <w:pStyle w:val="38"/>
              <w:ind w:firstLine="482"/>
              <w:rPr>
                <w:rFonts w:hint="default"/>
                <w:color w:val="auto"/>
                <w:highlight w:val="none"/>
                <w:vertAlign w:val="superscript"/>
                <w:lang w:val="en-US" w:eastAsia="zh-CN"/>
              </w:rPr>
            </w:pPr>
            <w:r>
              <w:rPr>
                <w:rFonts w:hint="eastAsia"/>
                <w:color w:val="auto"/>
                <w:lang w:val="en-US" w:eastAsia="zh-CN"/>
              </w:rPr>
              <w:t>c—活性炭削减的VOCs浓度，毫克/立方</w:t>
            </w:r>
            <w:r>
              <w:rPr>
                <w:rFonts w:hint="eastAsia"/>
                <w:color w:val="auto"/>
                <w:highlight w:val="none"/>
                <w:lang w:val="en-US" w:eastAsia="zh-CN"/>
              </w:rPr>
              <w:t>米，取值128.75mg/m</w:t>
            </w:r>
            <w:r>
              <w:rPr>
                <w:rFonts w:hint="eastAsia"/>
                <w:color w:val="auto"/>
                <w:highlight w:val="none"/>
                <w:vertAlign w:val="superscript"/>
                <w:lang w:val="en-US" w:eastAsia="zh-CN"/>
              </w:rPr>
              <w:t>3</w:t>
            </w:r>
          </w:p>
          <w:p w14:paraId="34087998">
            <w:pPr>
              <w:pStyle w:val="38"/>
              <w:ind w:firstLine="482"/>
              <w:rPr>
                <w:rFonts w:hint="eastAsia"/>
                <w:color w:val="auto"/>
                <w:lang w:val="en-US" w:eastAsia="zh-CN"/>
              </w:rPr>
            </w:pPr>
            <w:r>
              <w:rPr>
                <w:rFonts w:hint="eastAsia"/>
                <w:color w:val="auto"/>
                <w:lang w:val="en-US" w:eastAsia="zh-CN"/>
              </w:rPr>
              <w:t>Q—风量，立方米/小时，取值500m</w:t>
            </w:r>
            <w:r>
              <w:rPr>
                <w:rFonts w:hint="eastAsia"/>
                <w:color w:val="auto"/>
                <w:vertAlign w:val="superscript"/>
                <w:lang w:val="en-US" w:eastAsia="zh-CN"/>
              </w:rPr>
              <w:t>3</w:t>
            </w:r>
            <w:r>
              <w:rPr>
                <w:rFonts w:hint="eastAsia"/>
                <w:color w:val="auto"/>
                <w:lang w:val="en-US" w:eastAsia="zh-CN"/>
              </w:rPr>
              <w:t>/h；</w:t>
            </w:r>
          </w:p>
          <w:p w14:paraId="74D7E7C1">
            <w:pPr>
              <w:pStyle w:val="38"/>
              <w:ind w:firstLine="482"/>
              <w:rPr>
                <w:rFonts w:hint="eastAsia"/>
                <w:color w:val="auto"/>
                <w:highlight w:val="none"/>
                <w:lang w:val="en-US" w:eastAsia="zh-CN"/>
              </w:rPr>
            </w:pPr>
            <w:r>
              <w:rPr>
                <w:rFonts w:hint="eastAsia"/>
                <w:color w:val="auto"/>
                <w:lang w:val="en-US" w:eastAsia="zh-CN"/>
              </w:rPr>
              <w:t>t—运行时间，小时/天</w:t>
            </w:r>
            <w:r>
              <w:rPr>
                <w:rFonts w:hint="eastAsia"/>
                <w:color w:val="auto"/>
                <w:highlight w:val="none"/>
                <w:lang w:val="en-US" w:eastAsia="zh-CN"/>
              </w:rPr>
              <w:t>，4h/d。</w:t>
            </w:r>
          </w:p>
          <w:p w14:paraId="7DE0D62B">
            <w:pPr>
              <w:pStyle w:val="11"/>
              <w:jc w:val="both"/>
              <w:rPr>
                <w:rFonts w:hint="eastAsia"/>
                <w:color w:val="auto"/>
                <w:lang w:eastAsia="zh-CN"/>
              </w:rPr>
            </w:pPr>
            <w:r>
              <w:rPr>
                <w:rFonts w:hint="eastAsia"/>
                <w:color w:val="auto"/>
                <w:lang w:val="en-US" w:eastAsia="zh-CN"/>
              </w:rPr>
              <w:t>计算得到活性炭更换周期约195天（约6个月），活性炭更换频次按照现有管理要求6个月更换一次，满足技改实施后废气处理要求，</w:t>
            </w:r>
          </w:p>
          <w:p w14:paraId="78B521C2">
            <w:pPr>
              <w:pStyle w:val="38"/>
              <w:ind w:firstLine="482"/>
              <w:rPr>
                <w:b/>
                <w:bCs/>
                <w:color w:val="auto"/>
              </w:rPr>
            </w:pPr>
            <w:r>
              <w:rPr>
                <w:rFonts w:hint="eastAsia"/>
                <w:b/>
                <w:bCs/>
                <w:color w:val="auto"/>
              </w:rPr>
              <w:t>（</w:t>
            </w:r>
            <w:r>
              <w:rPr>
                <w:rFonts w:hint="eastAsia"/>
                <w:b/>
                <w:bCs/>
                <w:color w:val="auto"/>
                <w:lang w:val="en-US" w:eastAsia="zh-CN"/>
              </w:rPr>
              <w:t>3</w:t>
            </w:r>
            <w:r>
              <w:rPr>
                <w:rFonts w:hint="eastAsia"/>
                <w:b/>
                <w:bCs/>
                <w:color w:val="auto"/>
              </w:rPr>
              <w:t>）</w:t>
            </w:r>
            <w:r>
              <w:rPr>
                <w:b/>
                <w:bCs/>
                <w:color w:val="auto"/>
              </w:rPr>
              <w:t>废气排放情况汇总</w:t>
            </w:r>
            <w:r>
              <w:rPr>
                <w:rFonts w:hint="eastAsia"/>
                <w:b/>
                <w:bCs/>
                <w:color w:val="auto"/>
              </w:rPr>
              <w:t>技改后</w:t>
            </w:r>
          </w:p>
          <w:p w14:paraId="6C9100D1">
            <w:pPr>
              <w:pStyle w:val="38"/>
              <w:ind w:firstLine="480"/>
              <w:rPr>
                <w:rFonts w:hint="eastAsia"/>
                <w:color w:val="auto"/>
              </w:rPr>
            </w:pPr>
            <w:r>
              <w:rPr>
                <w:rFonts w:hint="eastAsia"/>
                <w:color w:val="auto"/>
                <w:lang w:val="en-US" w:eastAsia="zh-CN"/>
              </w:rPr>
              <w:t>项目技改前无废气排放。</w:t>
            </w:r>
            <w:r>
              <w:rPr>
                <w:rFonts w:hint="eastAsia"/>
                <w:color w:val="auto"/>
              </w:rPr>
              <w:t>本项目技改实施后，</w:t>
            </w:r>
            <w:r>
              <w:rPr>
                <w:rFonts w:hint="eastAsia"/>
                <w:color w:val="auto"/>
                <w:lang w:val="en-US" w:eastAsia="zh-CN"/>
              </w:rPr>
              <w:t>新增有机</w:t>
            </w:r>
            <w:r>
              <w:rPr>
                <w:color w:val="auto"/>
              </w:rPr>
              <w:t>废气有组织排放</w:t>
            </w:r>
            <w:r>
              <w:rPr>
                <w:rFonts w:hint="eastAsia"/>
                <w:color w:val="auto"/>
                <w:lang w:val="en-US" w:eastAsia="zh-CN"/>
              </w:rPr>
              <w:t>汇总</w:t>
            </w:r>
            <w:r>
              <w:rPr>
                <w:color w:val="auto"/>
              </w:rPr>
              <w:t>情况见表4-</w:t>
            </w:r>
            <w:r>
              <w:rPr>
                <w:rFonts w:hint="eastAsia"/>
                <w:color w:val="auto"/>
                <w:lang w:val="en-US" w:eastAsia="zh-CN"/>
              </w:rPr>
              <w:t>1</w:t>
            </w:r>
            <w:r>
              <w:rPr>
                <w:rFonts w:hint="eastAsia"/>
                <w:color w:val="auto"/>
              </w:rPr>
              <w:t>。</w:t>
            </w:r>
          </w:p>
          <w:p w14:paraId="0C643BCA">
            <w:pPr>
              <w:pStyle w:val="7"/>
              <w:bidi w:val="0"/>
              <w:rPr>
                <w:rFonts w:hint="eastAsia"/>
                <w:lang w:val="en-US" w:eastAsia="zh-CN"/>
              </w:rPr>
            </w:pPr>
            <w:r>
              <w:rPr>
                <w:rFonts w:hint="eastAsia"/>
              </w:rPr>
              <w:t>表4-</w:t>
            </w:r>
            <w:r>
              <w:rPr>
                <w:rFonts w:hint="eastAsia"/>
                <w:lang w:val="en-US" w:eastAsia="zh-CN"/>
              </w:rPr>
              <w:t>1</w:t>
            </w:r>
            <w:r>
              <w:rPr>
                <w:rFonts w:hint="eastAsia"/>
              </w:rPr>
              <w:t xml:space="preserve"> </w:t>
            </w:r>
            <w:r>
              <w:rPr>
                <w:rFonts w:hint="eastAsia"/>
                <w:lang w:val="en-US" w:eastAsia="zh-CN"/>
              </w:rPr>
              <w:t xml:space="preserve"> 项目有组织废气排放情况一览表</w:t>
            </w:r>
          </w:p>
          <w:tbl>
            <w:tblPr>
              <w:tblStyle w:val="30"/>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1"/>
              <w:gridCol w:w="599"/>
              <w:gridCol w:w="749"/>
              <w:gridCol w:w="825"/>
              <w:gridCol w:w="2035"/>
              <w:gridCol w:w="836"/>
              <w:gridCol w:w="588"/>
              <w:gridCol w:w="792"/>
              <w:gridCol w:w="1029"/>
              <w:gridCol w:w="916"/>
            </w:tblGrid>
            <w:tr w14:paraId="17487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272" w:type="pct"/>
                  <w:vMerge w:val="restart"/>
                  <w:tcBorders>
                    <w:tl2br w:val="nil"/>
                    <w:tr2bl w:val="nil"/>
                  </w:tcBorders>
                  <w:vAlign w:val="center"/>
                </w:tcPr>
                <w:p w14:paraId="1692D657">
                  <w:pPr>
                    <w:pStyle w:val="5"/>
                    <w:bidi w:val="0"/>
                    <w:rPr>
                      <w:b/>
                      <w:bCs/>
                    </w:rPr>
                  </w:pPr>
                  <w:r>
                    <w:rPr>
                      <w:b/>
                      <w:bCs/>
                    </w:rPr>
                    <w:t>工序名称</w:t>
                  </w:r>
                </w:p>
              </w:tc>
              <w:tc>
                <w:tcPr>
                  <w:tcW w:w="338" w:type="pct"/>
                  <w:vMerge w:val="restart"/>
                  <w:tcBorders>
                    <w:tl2br w:val="nil"/>
                    <w:tr2bl w:val="nil"/>
                  </w:tcBorders>
                  <w:vAlign w:val="center"/>
                </w:tcPr>
                <w:p w14:paraId="3E3BF189">
                  <w:pPr>
                    <w:pStyle w:val="5"/>
                    <w:bidi w:val="0"/>
                    <w:rPr>
                      <w:b/>
                      <w:bCs/>
                    </w:rPr>
                  </w:pPr>
                  <w:r>
                    <w:rPr>
                      <w:b/>
                      <w:bCs/>
                    </w:rPr>
                    <w:t>污染物</w:t>
                  </w:r>
                </w:p>
              </w:tc>
              <w:tc>
                <w:tcPr>
                  <w:tcW w:w="423" w:type="pct"/>
                  <w:vMerge w:val="restart"/>
                  <w:tcBorders>
                    <w:tl2br w:val="nil"/>
                    <w:tr2bl w:val="nil"/>
                  </w:tcBorders>
                  <w:vAlign w:val="center"/>
                </w:tcPr>
                <w:p w14:paraId="1B4D2BBD">
                  <w:pPr>
                    <w:pStyle w:val="5"/>
                    <w:bidi w:val="0"/>
                    <w:rPr>
                      <w:b/>
                      <w:bCs/>
                    </w:rPr>
                  </w:pPr>
                  <w:r>
                    <w:rPr>
                      <w:b/>
                      <w:bCs/>
                    </w:rPr>
                    <w:t>产生量（</w:t>
                  </w:r>
                  <w:r>
                    <w:rPr>
                      <w:rFonts w:hint="eastAsia"/>
                      <w:b/>
                      <w:bCs/>
                    </w:rPr>
                    <w:t>kg</w:t>
                  </w:r>
                  <w:r>
                    <w:rPr>
                      <w:b/>
                      <w:bCs/>
                    </w:rPr>
                    <w:t>/a）</w:t>
                  </w:r>
                </w:p>
              </w:tc>
              <w:tc>
                <w:tcPr>
                  <w:tcW w:w="466" w:type="pct"/>
                  <w:vMerge w:val="restart"/>
                  <w:tcBorders>
                    <w:tl2br w:val="nil"/>
                    <w:tr2bl w:val="nil"/>
                  </w:tcBorders>
                  <w:vAlign w:val="center"/>
                </w:tcPr>
                <w:p w14:paraId="3C44B131">
                  <w:pPr>
                    <w:pStyle w:val="5"/>
                    <w:bidi w:val="0"/>
                    <w:rPr>
                      <w:b/>
                      <w:bCs/>
                    </w:rPr>
                  </w:pPr>
                  <w:r>
                    <w:rPr>
                      <w:b/>
                      <w:bCs/>
                    </w:rPr>
                    <w:t>产生</w:t>
                  </w:r>
                </w:p>
                <w:p w14:paraId="73AB9192">
                  <w:pPr>
                    <w:pStyle w:val="5"/>
                    <w:bidi w:val="0"/>
                    <w:rPr>
                      <w:b/>
                      <w:bCs/>
                    </w:rPr>
                  </w:pPr>
                  <w:r>
                    <w:rPr>
                      <w:b/>
                      <w:bCs/>
                    </w:rPr>
                    <w:t>速率</w:t>
                  </w:r>
                </w:p>
                <w:p w14:paraId="5BDDCE34">
                  <w:pPr>
                    <w:pStyle w:val="5"/>
                    <w:bidi w:val="0"/>
                    <w:rPr>
                      <w:b/>
                      <w:bCs/>
                    </w:rPr>
                  </w:pPr>
                  <w:r>
                    <w:rPr>
                      <w:b/>
                      <w:bCs/>
                    </w:rPr>
                    <w:t>（kg/h）</w:t>
                  </w:r>
                </w:p>
              </w:tc>
              <w:tc>
                <w:tcPr>
                  <w:tcW w:w="1149" w:type="pct"/>
                  <w:vMerge w:val="restart"/>
                  <w:tcBorders>
                    <w:tl2br w:val="nil"/>
                    <w:tr2bl w:val="nil"/>
                  </w:tcBorders>
                  <w:vAlign w:val="center"/>
                </w:tcPr>
                <w:p w14:paraId="1D7D9ADB">
                  <w:pPr>
                    <w:pStyle w:val="5"/>
                    <w:bidi w:val="0"/>
                    <w:rPr>
                      <w:b/>
                      <w:bCs/>
                    </w:rPr>
                  </w:pPr>
                  <w:r>
                    <w:rPr>
                      <w:b/>
                      <w:bCs/>
                    </w:rPr>
                    <w:t>治理措施</w:t>
                  </w:r>
                </w:p>
              </w:tc>
              <w:tc>
                <w:tcPr>
                  <w:tcW w:w="472" w:type="pct"/>
                  <w:vMerge w:val="restart"/>
                  <w:tcBorders>
                    <w:tl2br w:val="nil"/>
                    <w:tr2bl w:val="nil"/>
                  </w:tcBorders>
                  <w:vAlign w:val="center"/>
                </w:tcPr>
                <w:p w14:paraId="21F89B02">
                  <w:pPr>
                    <w:pStyle w:val="5"/>
                    <w:bidi w:val="0"/>
                    <w:rPr>
                      <w:b/>
                      <w:bCs/>
                    </w:rPr>
                  </w:pPr>
                  <w:r>
                    <w:rPr>
                      <w:rFonts w:hint="eastAsia"/>
                      <w:b/>
                      <w:bCs/>
                    </w:rPr>
                    <w:t>排气筒编号</w:t>
                  </w:r>
                </w:p>
              </w:tc>
              <w:tc>
                <w:tcPr>
                  <w:tcW w:w="332" w:type="pct"/>
                  <w:vMerge w:val="restart"/>
                  <w:tcBorders>
                    <w:tl2br w:val="nil"/>
                    <w:tr2bl w:val="nil"/>
                  </w:tcBorders>
                  <w:vAlign w:val="center"/>
                </w:tcPr>
                <w:p w14:paraId="239B0A47">
                  <w:pPr>
                    <w:pStyle w:val="5"/>
                    <w:bidi w:val="0"/>
                    <w:rPr>
                      <w:b/>
                      <w:bCs/>
                    </w:rPr>
                  </w:pPr>
                  <w:r>
                    <w:rPr>
                      <w:b/>
                      <w:bCs/>
                    </w:rPr>
                    <w:t>是否排污许可可行技术</w:t>
                  </w:r>
                </w:p>
              </w:tc>
              <w:tc>
                <w:tcPr>
                  <w:tcW w:w="1545" w:type="pct"/>
                  <w:gridSpan w:val="3"/>
                  <w:tcBorders>
                    <w:tl2br w:val="nil"/>
                    <w:tr2bl w:val="nil"/>
                  </w:tcBorders>
                  <w:vAlign w:val="center"/>
                </w:tcPr>
                <w:p w14:paraId="0991A490">
                  <w:pPr>
                    <w:pStyle w:val="5"/>
                    <w:bidi w:val="0"/>
                    <w:rPr>
                      <w:rFonts w:hint="default"/>
                      <w:b/>
                      <w:bCs/>
                      <w:lang w:val="en-US" w:eastAsia="zh-CN"/>
                    </w:rPr>
                  </w:pPr>
                  <w:r>
                    <w:rPr>
                      <w:rFonts w:hint="eastAsia"/>
                      <w:b/>
                      <w:bCs/>
                      <w:lang w:val="en-US" w:eastAsia="zh-CN"/>
                    </w:rPr>
                    <w:t>新增有组织废气</w:t>
                  </w:r>
                </w:p>
              </w:tc>
            </w:tr>
            <w:tr w14:paraId="755C6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272" w:type="pct"/>
                  <w:vMerge w:val="continue"/>
                  <w:tcBorders>
                    <w:tl2br w:val="nil"/>
                    <w:tr2bl w:val="nil"/>
                  </w:tcBorders>
                  <w:vAlign w:val="center"/>
                </w:tcPr>
                <w:p w14:paraId="68005430">
                  <w:pPr>
                    <w:pStyle w:val="5"/>
                    <w:bidi w:val="0"/>
                    <w:rPr>
                      <w:b/>
                      <w:bCs/>
                    </w:rPr>
                  </w:pPr>
                </w:p>
              </w:tc>
              <w:tc>
                <w:tcPr>
                  <w:tcW w:w="338" w:type="pct"/>
                  <w:vMerge w:val="continue"/>
                  <w:tcBorders>
                    <w:tl2br w:val="nil"/>
                    <w:tr2bl w:val="nil"/>
                  </w:tcBorders>
                  <w:vAlign w:val="center"/>
                </w:tcPr>
                <w:p w14:paraId="6C76AFF7">
                  <w:pPr>
                    <w:pStyle w:val="5"/>
                    <w:bidi w:val="0"/>
                    <w:rPr>
                      <w:b/>
                      <w:bCs/>
                    </w:rPr>
                  </w:pPr>
                </w:p>
              </w:tc>
              <w:tc>
                <w:tcPr>
                  <w:tcW w:w="423" w:type="pct"/>
                  <w:vMerge w:val="continue"/>
                  <w:tcBorders>
                    <w:tl2br w:val="nil"/>
                    <w:tr2bl w:val="nil"/>
                  </w:tcBorders>
                  <w:vAlign w:val="center"/>
                </w:tcPr>
                <w:p w14:paraId="0CD373B1">
                  <w:pPr>
                    <w:pStyle w:val="5"/>
                    <w:bidi w:val="0"/>
                    <w:rPr>
                      <w:b/>
                      <w:bCs/>
                    </w:rPr>
                  </w:pPr>
                </w:p>
              </w:tc>
              <w:tc>
                <w:tcPr>
                  <w:tcW w:w="466" w:type="pct"/>
                  <w:vMerge w:val="continue"/>
                  <w:tcBorders>
                    <w:tl2br w:val="nil"/>
                    <w:tr2bl w:val="nil"/>
                  </w:tcBorders>
                  <w:vAlign w:val="center"/>
                </w:tcPr>
                <w:p w14:paraId="667060AA">
                  <w:pPr>
                    <w:pStyle w:val="5"/>
                    <w:bidi w:val="0"/>
                    <w:rPr>
                      <w:b/>
                      <w:bCs/>
                    </w:rPr>
                  </w:pPr>
                </w:p>
              </w:tc>
              <w:tc>
                <w:tcPr>
                  <w:tcW w:w="1149" w:type="pct"/>
                  <w:vMerge w:val="continue"/>
                  <w:tcBorders>
                    <w:tl2br w:val="nil"/>
                    <w:tr2bl w:val="nil"/>
                  </w:tcBorders>
                  <w:vAlign w:val="center"/>
                </w:tcPr>
                <w:p w14:paraId="48E8C9D0">
                  <w:pPr>
                    <w:pStyle w:val="5"/>
                    <w:bidi w:val="0"/>
                    <w:rPr>
                      <w:b/>
                      <w:bCs/>
                    </w:rPr>
                  </w:pPr>
                </w:p>
              </w:tc>
              <w:tc>
                <w:tcPr>
                  <w:tcW w:w="472" w:type="pct"/>
                  <w:vMerge w:val="continue"/>
                  <w:tcBorders>
                    <w:tl2br w:val="nil"/>
                    <w:tr2bl w:val="nil"/>
                  </w:tcBorders>
                  <w:vAlign w:val="center"/>
                </w:tcPr>
                <w:p w14:paraId="6076BF45">
                  <w:pPr>
                    <w:pStyle w:val="5"/>
                    <w:bidi w:val="0"/>
                    <w:rPr>
                      <w:b/>
                      <w:bCs/>
                    </w:rPr>
                  </w:pPr>
                </w:p>
              </w:tc>
              <w:tc>
                <w:tcPr>
                  <w:tcW w:w="332" w:type="pct"/>
                  <w:vMerge w:val="continue"/>
                  <w:tcBorders>
                    <w:tl2br w:val="nil"/>
                    <w:tr2bl w:val="nil"/>
                  </w:tcBorders>
                  <w:vAlign w:val="center"/>
                </w:tcPr>
                <w:p w14:paraId="3569C1FC">
                  <w:pPr>
                    <w:pStyle w:val="5"/>
                    <w:bidi w:val="0"/>
                    <w:rPr>
                      <w:b/>
                      <w:bCs/>
                    </w:rPr>
                  </w:pPr>
                </w:p>
              </w:tc>
              <w:tc>
                <w:tcPr>
                  <w:tcW w:w="447" w:type="pct"/>
                  <w:tcBorders>
                    <w:right w:val="single" w:color="auto" w:sz="4" w:space="0"/>
                    <w:tl2br w:val="nil"/>
                    <w:tr2bl w:val="nil"/>
                  </w:tcBorders>
                  <w:vAlign w:val="center"/>
                </w:tcPr>
                <w:p w14:paraId="4F78B830">
                  <w:pPr>
                    <w:pStyle w:val="5"/>
                    <w:bidi w:val="0"/>
                    <w:rPr>
                      <w:rFonts w:hint="eastAsia"/>
                      <w:b/>
                      <w:bCs/>
                    </w:rPr>
                  </w:pPr>
                  <w:r>
                    <w:rPr>
                      <w:rFonts w:hint="eastAsia"/>
                      <w:b/>
                      <w:bCs/>
                    </w:rPr>
                    <w:t>排放量</w:t>
                  </w:r>
                </w:p>
                <w:p w14:paraId="0EB55CCA">
                  <w:pPr>
                    <w:pStyle w:val="5"/>
                    <w:bidi w:val="0"/>
                    <w:rPr>
                      <w:b/>
                      <w:bCs/>
                    </w:rPr>
                  </w:pPr>
                  <w:r>
                    <w:rPr>
                      <w:rFonts w:hint="eastAsia"/>
                      <w:b/>
                      <w:bCs/>
                    </w:rPr>
                    <w:t>（kg/a）</w:t>
                  </w:r>
                </w:p>
              </w:tc>
              <w:tc>
                <w:tcPr>
                  <w:tcW w:w="581" w:type="pct"/>
                  <w:tcBorders>
                    <w:tl2br w:val="nil"/>
                    <w:tr2bl w:val="nil"/>
                  </w:tcBorders>
                  <w:vAlign w:val="center"/>
                </w:tcPr>
                <w:p w14:paraId="5C16D9BE">
                  <w:pPr>
                    <w:pStyle w:val="5"/>
                    <w:bidi w:val="0"/>
                    <w:rPr>
                      <w:rFonts w:hint="eastAsia"/>
                      <w:b/>
                      <w:bCs/>
                      <w:lang w:val="en-US" w:eastAsia="zh-CN"/>
                    </w:rPr>
                  </w:pPr>
                  <w:r>
                    <w:rPr>
                      <w:rFonts w:hint="eastAsia"/>
                      <w:b/>
                      <w:bCs/>
                      <w:lang w:val="en-US" w:eastAsia="zh-CN"/>
                    </w:rPr>
                    <w:t>排放速率</w:t>
                  </w:r>
                </w:p>
                <w:p w14:paraId="2FF7A185">
                  <w:pPr>
                    <w:pStyle w:val="5"/>
                    <w:bidi w:val="0"/>
                    <w:rPr>
                      <w:b/>
                      <w:bCs/>
                    </w:rPr>
                  </w:pPr>
                  <w:r>
                    <w:rPr>
                      <w:rFonts w:hint="eastAsia"/>
                      <w:b/>
                      <w:bCs/>
                      <w:lang w:val="en-US" w:eastAsia="zh-CN"/>
                    </w:rPr>
                    <w:t>（</w:t>
                  </w:r>
                  <w:r>
                    <w:rPr>
                      <w:b/>
                      <w:bCs/>
                    </w:rPr>
                    <w:t>kg/h</w:t>
                  </w:r>
                  <w:r>
                    <w:rPr>
                      <w:rFonts w:hint="eastAsia"/>
                      <w:b/>
                      <w:bCs/>
                      <w:lang w:val="en-US" w:eastAsia="zh-CN"/>
                    </w:rPr>
                    <w:t>）</w:t>
                  </w:r>
                </w:p>
              </w:tc>
              <w:tc>
                <w:tcPr>
                  <w:tcW w:w="516" w:type="pct"/>
                  <w:tcBorders>
                    <w:tl2br w:val="nil"/>
                    <w:tr2bl w:val="nil"/>
                  </w:tcBorders>
                  <w:vAlign w:val="center"/>
                </w:tcPr>
                <w:p w14:paraId="74048B83">
                  <w:pPr>
                    <w:pStyle w:val="5"/>
                    <w:bidi w:val="0"/>
                    <w:rPr>
                      <w:b/>
                      <w:bCs/>
                    </w:rPr>
                  </w:pPr>
                  <w:r>
                    <w:rPr>
                      <w:rFonts w:hint="eastAsia"/>
                      <w:b/>
                      <w:bCs/>
                    </w:rPr>
                    <w:t>最大</w:t>
                  </w:r>
                  <w:r>
                    <w:rPr>
                      <w:b/>
                      <w:bCs/>
                    </w:rPr>
                    <w:t>排放浓度</w:t>
                  </w:r>
                </w:p>
                <w:p w14:paraId="59FA73A1">
                  <w:pPr>
                    <w:pStyle w:val="5"/>
                    <w:bidi w:val="0"/>
                    <w:rPr>
                      <w:rFonts w:hint="default"/>
                      <w:b/>
                      <w:bCs/>
                      <w:lang w:val="en-US" w:eastAsia="zh-CN"/>
                    </w:rPr>
                  </w:pPr>
                  <w:r>
                    <w:rPr>
                      <w:b/>
                      <w:bCs/>
                    </w:rPr>
                    <w:t>（mg/m³）</w:t>
                  </w:r>
                </w:p>
              </w:tc>
            </w:tr>
            <w:tr w14:paraId="6D3B7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8" w:hRule="atLeast"/>
              </w:trPr>
              <w:tc>
                <w:tcPr>
                  <w:tcW w:w="272" w:type="pct"/>
                  <w:tcBorders>
                    <w:tl2br w:val="nil"/>
                    <w:tr2bl w:val="nil"/>
                  </w:tcBorders>
                  <w:vAlign w:val="center"/>
                </w:tcPr>
                <w:p w14:paraId="1F1ECF60">
                  <w:pPr>
                    <w:pStyle w:val="5"/>
                    <w:bidi w:val="0"/>
                    <w:rPr>
                      <w:rFonts w:hint="eastAsia" w:eastAsia="宋体"/>
                      <w:lang w:eastAsia="zh-CN"/>
                    </w:rPr>
                  </w:pPr>
                  <w:r>
                    <w:rPr>
                      <w:rFonts w:hint="eastAsia"/>
                      <w:lang w:val="en-US" w:eastAsia="zh-CN"/>
                    </w:rPr>
                    <w:t>固化</w:t>
                  </w:r>
                </w:p>
              </w:tc>
              <w:tc>
                <w:tcPr>
                  <w:tcW w:w="338" w:type="pct"/>
                  <w:tcBorders>
                    <w:tl2br w:val="nil"/>
                    <w:tr2bl w:val="nil"/>
                  </w:tcBorders>
                  <w:vAlign w:val="center"/>
                </w:tcPr>
                <w:p w14:paraId="46F1037B">
                  <w:pPr>
                    <w:pStyle w:val="5"/>
                    <w:bidi w:val="0"/>
                  </w:pPr>
                  <w:r>
                    <w:rPr>
                      <w:rFonts w:hint="eastAsia"/>
                    </w:rPr>
                    <w:t>VOCs</w:t>
                  </w:r>
                </w:p>
              </w:tc>
              <w:tc>
                <w:tcPr>
                  <w:tcW w:w="423" w:type="pct"/>
                  <w:tcBorders>
                    <w:tl2br w:val="nil"/>
                    <w:tr2bl w:val="nil"/>
                  </w:tcBorders>
                  <w:vAlign w:val="center"/>
                </w:tcPr>
                <w:p w14:paraId="1DA878D9">
                  <w:pPr>
                    <w:pStyle w:val="5"/>
                    <w:bidi w:val="0"/>
                    <w:rPr>
                      <w:rFonts w:hint="default" w:eastAsia="宋体"/>
                      <w:lang w:val="en-US" w:eastAsia="zh-CN"/>
                    </w:rPr>
                  </w:pPr>
                  <w:r>
                    <w:rPr>
                      <w:rFonts w:hint="eastAsia"/>
                      <w:lang w:val="en-US" w:eastAsia="zh-CN"/>
                    </w:rPr>
                    <w:t>82.440</w:t>
                  </w:r>
                </w:p>
              </w:tc>
              <w:tc>
                <w:tcPr>
                  <w:tcW w:w="466" w:type="pct"/>
                  <w:tcBorders>
                    <w:tl2br w:val="nil"/>
                    <w:tr2bl w:val="nil"/>
                  </w:tcBorders>
                  <w:vAlign w:val="center"/>
                </w:tcPr>
                <w:p w14:paraId="5E98308F">
                  <w:pPr>
                    <w:pStyle w:val="5"/>
                    <w:bidi w:val="0"/>
                    <w:rPr>
                      <w:rFonts w:hint="eastAsia" w:eastAsia="宋体"/>
                      <w:lang w:val="en-US" w:eastAsia="zh-CN"/>
                    </w:rPr>
                  </w:pPr>
                  <w:r>
                    <w:rPr>
                      <w:rFonts w:hint="eastAsia"/>
                      <w:lang w:val="en-US" w:eastAsia="zh-CN"/>
                    </w:rPr>
                    <w:t>0.0950</w:t>
                  </w:r>
                </w:p>
              </w:tc>
              <w:tc>
                <w:tcPr>
                  <w:tcW w:w="1149" w:type="pct"/>
                  <w:tcBorders>
                    <w:tl2br w:val="nil"/>
                    <w:tr2bl w:val="nil"/>
                  </w:tcBorders>
                  <w:vAlign w:val="center"/>
                </w:tcPr>
                <w:p w14:paraId="78996119">
                  <w:pPr>
                    <w:pStyle w:val="5"/>
                    <w:bidi w:val="0"/>
                  </w:pPr>
                  <w:r>
                    <w:t>新增1套密闭管道收集系统（设计风量</w:t>
                  </w:r>
                  <w:r>
                    <w:rPr>
                      <w:rFonts w:hint="eastAsia"/>
                      <w:lang w:val="en-US" w:eastAsia="zh-CN"/>
                    </w:rPr>
                    <w:t>500</w:t>
                  </w:r>
                  <w:r>
                    <w:t>m³/h</w:t>
                  </w:r>
                  <w:r>
                    <w:rPr>
                      <w:rFonts w:hint="eastAsia"/>
                      <w:lang w:eastAsia="zh-CN"/>
                    </w:rPr>
                    <w:t>，</w:t>
                  </w:r>
                  <w:r>
                    <w:t>收集效率90%），新建二级活性炭装置（设计风量</w:t>
                  </w:r>
                  <w:r>
                    <w:rPr>
                      <w:rFonts w:hint="eastAsia"/>
                      <w:lang w:val="en-US" w:eastAsia="zh-CN"/>
                    </w:rPr>
                    <w:t>500</w:t>
                  </w:r>
                  <w:r>
                    <w:t>m</w:t>
                  </w:r>
                  <w:r>
                    <w:rPr>
                      <w:rFonts w:hint="eastAsia"/>
                      <w:vertAlign w:val="superscript"/>
                      <w:lang w:val="en-US" w:eastAsia="zh-CN"/>
                    </w:rPr>
                    <w:t>3</w:t>
                  </w:r>
                  <w:r>
                    <w:t>/h，处理效率</w:t>
                  </w:r>
                  <w:r>
                    <w:rPr>
                      <w:rFonts w:hint="eastAsia"/>
                      <w:lang w:val="en-US" w:eastAsia="zh-CN"/>
                    </w:rPr>
                    <w:t>75</w:t>
                  </w:r>
                  <w:r>
                    <w:t>%）处理后，由1根</w:t>
                  </w:r>
                  <w:r>
                    <w:rPr>
                      <w:rFonts w:hint="eastAsia"/>
                      <w:lang w:val="en-US" w:eastAsia="zh-CN"/>
                    </w:rPr>
                    <w:t>25</w:t>
                  </w:r>
                  <w:r>
                    <w:t>m高排气筒（DA00</w:t>
                  </w:r>
                  <w:r>
                    <w:rPr>
                      <w:rFonts w:hint="eastAsia"/>
                      <w:lang w:val="en-US" w:eastAsia="zh-CN"/>
                    </w:rPr>
                    <w:t>1</w:t>
                  </w:r>
                  <w:r>
                    <w:t>）排放。</w:t>
                  </w:r>
                </w:p>
              </w:tc>
              <w:tc>
                <w:tcPr>
                  <w:tcW w:w="472" w:type="pct"/>
                  <w:tcBorders>
                    <w:tl2br w:val="nil"/>
                    <w:tr2bl w:val="nil"/>
                  </w:tcBorders>
                  <w:vAlign w:val="center"/>
                </w:tcPr>
                <w:p w14:paraId="50139100">
                  <w:pPr>
                    <w:pStyle w:val="5"/>
                    <w:bidi w:val="0"/>
                    <w:rPr>
                      <w:rFonts w:hint="eastAsia" w:eastAsia="宋体"/>
                      <w:lang w:eastAsia="zh-CN"/>
                    </w:rPr>
                  </w:pPr>
                  <w:r>
                    <w:rPr>
                      <w:rFonts w:hint="eastAsia"/>
                    </w:rPr>
                    <w:t>DA00</w:t>
                  </w:r>
                  <w:r>
                    <w:rPr>
                      <w:rFonts w:hint="eastAsia"/>
                      <w:lang w:val="en-US" w:eastAsia="zh-CN"/>
                    </w:rPr>
                    <w:t>1</w:t>
                  </w:r>
                </w:p>
              </w:tc>
              <w:tc>
                <w:tcPr>
                  <w:tcW w:w="332" w:type="pct"/>
                  <w:tcBorders>
                    <w:tl2br w:val="nil"/>
                    <w:tr2bl w:val="nil"/>
                  </w:tcBorders>
                  <w:vAlign w:val="center"/>
                </w:tcPr>
                <w:p w14:paraId="5889316C">
                  <w:pPr>
                    <w:pStyle w:val="5"/>
                    <w:bidi w:val="0"/>
                    <w:jc w:val="center"/>
                    <w:rPr>
                      <w:rFonts w:hint="default" w:eastAsia="宋体"/>
                      <w:lang w:val="en-US" w:eastAsia="zh-CN"/>
                    </w:rPr>
                  </w:pPr>
                  <w:r>
                    <w:rPr>
                      <w:rFonts w:hint="eastAsia"/>
                      <w:lang w:val="en-US" w:eastAsia="zh-CN"/>
                    </w:rPr>
                    <w:t>是</w:t>
                  </w:r>
                </w:p>
              </w:tc>
              <w:tc>
                <w:tcPr>
                  <w:tcW w:w="447" w:type="pct"/>
                  <w:tcBorders>
                    <w:tl2br w:val="nil"/>
                    <w:tr2bl w:val="nil"/>
                  </w:tcBorders>
                  <w:shd w:val="clear" w:color="auto" w:fill="auto"/>
                  <w:vAlign w:val="center"/>
                </w:tcPr>
                <w:p w14:paraId="32641155">
                  <w:pPr>
                    <w:pStyle w:val="5"/>
                    <w:bidi w:val="0"/>
                    <w:rPr>
                      <w:rFonts w:hint="default"/>
                      <w:lang w:val="en-US" w:eastAsia="zh-CN"/>
                    </w:rPr>
                  </w:pPr>
                  <w:r>
                    <w:rPr>
                      <w:rFonts w:hint="eastAsia"/>
                      <w:lang w:val="en-US" w:eastAsia="zh-CN"/>
                    </w:rPr>
                    <w:t>20.6100</w:t>
                  </w:r>
                </w:p>
              </w:tc>
              <w:tc>
                <w:tcPr>
                  <w:tcW w:w="581" w:type="pct"/>
                  <w:tcBorders>
                    <w:tl2br w:val="nil"/>
                    <w:tr2bl w:val="nil"/>
                  </w:tcBorders>
                  <w:shd w:val="clear" w:color="auto" w:fill="auto"/>
                  <w:vAlign w:val="center"/>
                </w:tcPr>
                <w:p w14:paraId="4C99B547">
                  <w:pPr>
                    <w:pStyle w:val="5"/>
                    <w:bidi w:val="0"/>
                    <w:rPr>
                      <w:rFonts w:hint="default"/>
                      <w:lang w:val="en-US" w:eastAsia="zh-CN"/>
                    </w:rPr>
                  </w:pPr>
                  <w:r>
                    <w:rPr>
                      <w:rFonts w:hint="eastAsia"/>
                      <w:lang w:val="en-US" w:eastAsia="zh-CN"/>
                    </w:rPr>
                    <w:t>0.0215</w:t>
                  </w:r>
                </w:p>
              </w:tc>
              <w:tc>
                <w:tcPr>
                  <w:tcW w:w="516" w:type="pct"/>
                  <w:tcBorders>
                    <w:tl2br w:val="nil"/>
                    <w:tr2bl w:val="nil"/>
                  </w:tcBorders>
                  <w:shd w:val="clear" w:color="auto" w:fill="auto"/>
                  <w:vAlign w:val="center"/>
                </w:tcPr>
                <w:p w14:paraId="1A1FCE98">
                  <w:pPr>
                    <w:pStyle w:val="5"/>
                    <w:bidi w:val="0"/>
                    <w:rPr>
                      <w:rFonts w:hint="default"/>
                      <w:lang w:val="en-US" w:eastAsia="zh-CN"/>
                    </w:rPr>
                  </w:pPr>
                  <w:r>
                    <w:rPr>
                      <w:rFonts w:hint="eastAsia"/>
                      <w:highlight w:val="none"/>
                      <w:lang w:val="en-US" w:eastAsia="zh-CN"/>
                    </w:rPr>
                    <w:t>42.9400</w:t>
                  </w:r>
                </w:p>
              </w:tc>
            </w:tr>
          </w:tbl>
          <w:p w14:paraId="190898F6">
            <w:pPr>
              <w:pStyle w:val="38"/>
              <w:ind w:firstLine="480"/>
              <w:rPr>
                <w:rFonts w:hint="default"/>
                <w:color w:val="auto"/>
                <w:lang w:val="en-US"/>
              </w:rPr>
            </w:pPr>
            <w:r>
              <w:rPr>
                <w:rFonts w:hint="eastAsia"/>
                <w:color w:val="auto"/>
                <w:lang w:val="en-US" w:eastAsia="zh-CN"/>
              </w:rPr>
              <w:t>技改实施后，项目新增有机</w:t>
            </w:r>
            <w:r>
              <w:rPr>
                <w:color w:val="auto"/>
              </w:rPr>
              <w:t>废气无组织排放情况见表4-</w:t>
            </w:r>
            <w:r>
              <w:rPr>
                <w:rFonts w:hint="eastAsia"/>
                <w:color w:val="auto"/>
                <w:lang w:val="en-US" w:eastAsia="zh-CN"/>
              </w:rPr>
              <w:t>2。</w:t>
            </w:r>
          </w:p>
          <w:p w14:paraId="25FE8A1E">
            <w:pPr>
              <w:pStyle w:val="7"/>
              <w:ind w:firstLineChars="0"/>
              <w:jc w:val="center"/>
            </w:pPr>
            <w:r>
              <w:rPr>
                <w:rFonts w:hint="eastAsia"/>
              </w:rPr>
              <w:t>表4-</w:t>
            </w:r>
            <w:r>
              <w:rPr>
                <w:rFonts w:hint="eastAsia"/>
                <w:lang w:val="en-US" w:eastAsia="zh-CN"/>
              </w:rPr>
              <w:t>2</w:t>
            </w:r>
            <w:r>
              <w:rPr>
                <w:rFonts w:hint="eastAsia"/>
              </w:rPr>
              <w:t xml:space="preserve">  本项目无组织废气排放情况</w:t>
            </w:r>
          </w:p>
          <w:tbl>
            <w:tblPr>
              <w:tblStyle w:val="30"/>
              <w:tblW w:w="4997" w:type="pct"/>
              <w:jc w:val="center"/>
              <w:tblBorders>
                <w:top w:val="single" w:color="000000" w:sz="8" w:space="0"/>
                <w:left w:val="none" w:color="auto" w:sz="0" w:space="0"/>
                <w:bottom w:val="single" w:color="auto" w:sz="4"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1678"/>
              <w:gridCol w:w="1363"/>
              <w:gridCol w:w="1955"/>
              <w:gridCol w:w="1711"/>
              <w:gridCol w:w="2143"/>
            </w:tblGrid>
            <w:tr w14:paraId="1C06C68C">
              <w:tblPrEx>
                <w:tblBorders>
                  <w:top w:val="single" w:color="000000" w:sz="8" w:space="0"/>
                  <w:left w:val="none" w:color="auto" w:sz="0" w:space="0"/>
                  <w:bottom w:val="single" w:color="auto"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948" w:type="pct"/>
                  <w:tcBorders>
                    <w:tl2br w:val="nil"/>
                    <w:tr2bl w:val="nil"/>
                  </w:tcBorders>
                  <w:vAlign w:val="center"/>
                </w:tcPr>
                <w:p w14:paraId="3D748685">
                  <w:pPr>
                    <w:pStyle w:val="5"/>
                    <w:bidi w:val="0"/>
                    <w:rPr>
                      <w:b/>
                      <w:bCs/>
                    </w:rPr>
                  </w:pPr>
                  <w:r>
                    <w:rPr>
                      <w:b/>
                      <w:bCs/>
                    </w:rPr>
                    <w:t>产生源</w:t>
                  </w:r>
                </w:p>
              </w:tc>
              <w:tc>
                <w:tcPr>
                  <w:tcW w:w="770" w:type="pct"/>
                  <w:tcBorders>
                    <w:tl2br w:val="nil"/>
                    <w:tr2bl w:val="nil"/>
                  </w:tcBorders>
                  <w:vAlign w:val="center"/>
                </w:tcPr>
                <w:p w14:paraId="33E8568D">
                  <w:pPr>
                    <w:pStyle w:val="5"/>
                    <w:bidi w:val="0"/>
                    <w:rPr>
                      <w:b/>
                      <w:bCs/>
                    </w:rPr>
                  </w:pPr>
                  <w:r>
                    <w:rPr>
                      <w:b/>
                      <w:bCs/>
                    </w:rPr>
                    <w:t>污染物名称</w:t>
                  </w:r>
                </w:p>
              </w:tc>
              <w:tc>
                <w:tcPr>
                  <w:tcW w:w="1104" w:type="pct"/>
                  <w:tcBorders>
                    <w:tl2br w:val="nil"/>
                    <w:tr2bl w:val="nil"/>
                  </w:tcBorders>
                  <w:vAlign w:val="center"/>
                </w:tcPr>
                <w:p w14:paraId="44F7CBB5">
                  <w:pPr>
                    <w:pStyle w:val="5"/>
                    <w:bidi w:val="0"/>
                    <w:rPr>
                      <w:b/>
                      <w:bCs/>
                    </w:rPr>
                  </w:pPr>
                  <w:r>
                    <w:rPr>
                      <w:rFonts w:hint="eastAsia"/>
                      <w:b/>
                      <w:bCs/>
                    </w:rPr>
                    <w:t>新增</w:t>
                  </w:r>
                  <w:r>
                    <w:rPr>
                      <w:b/>
                      <w:bCs/>
                    </w:rPr>
                    <w:t>排放量（</w:t>
                  </w:r>
                  <w:r>
                    <w:rPr>
                      <w:rFonts w:hint="eastAsia"/>
                      <w:b/>
                      <w:bCs/>
                    </w:rPr>
                    <w:t>t</w:t>
                  </w:r>
                  <w:r>
                    <w:rPr>
                      <w:b/>
                      <w:bCs/>
                    </w:rPr>
                    <w:t>/a）</w:t>
                  </w:r>
                </w:p>
              </w:tc>
              <w:tc>
                <w:tcPr>
                  <w:tcW w:w="966" w:type="pct"/>
                  <w:tcBorders>
                    <w:tl2br w:val="nil"/>
                    <w:tr2bl w:val="nil"/>
                  </w:tcBorders>
                  <w:vAlign w:val="center"/>
                </w:tcPr>
                <w:p w14:paraId="524502A3">
                  <w:pPr>
                    <w:pStyle w:val="5"/>
                    <w:bidi w:val="0"/>
                    <w:rPr>
                      <w:b/>
                      <w:bCs/>
                    </w:rPr>
                  </w:pPr>
                  <w:r>
                    <w:rPr>
                      <w:b/>
                      <w:bCs/>
                    </w:rPr>
                    <w:t>排放时间（h/d）</w:t>
                  </w:r>
                </w:p>
              </w:tc>
              <w:tc>
                <w:tcPr>
                  <w:tcW w:w="1210" w:type="pct"/>
                  <w:tcBorders>
                    <w:tl2br w:val="nil"/>
                    <w:tr2bl w:val="nil"/>
                  </w:tcBorders>
                  <w:vAlign w:val="center"/>
                </w:tcPr>
                <w:p w14:paraId="50CD6ECC">
                  <w:pPr>
                    <w:pStyle w:val="5"/>
                    <w:bidi w:val="0"/>
                    <w:rPr>
                      <w:b/>
                      <w:bCs/>
                    </w:rPr>
                  </w:pPr>
                  <w:r>
                    <w:rPr>
                      <w:rFonts w:hint="eastAsia"/>
                      <w:b/>
                      <w:bCs/>
                    </w:rPr>
                    <w:t>最大</w:t>
                  </w:r>
                  <w:r>
                    <w:rPr>
                      <w:b/>
                      <w:bCs/>
                    </w:rPr>
                    <w:t>排放速率（</w:t>
                  </w:r>
                  <w:r>
                    <w:rPr>
                      <w:rFonts w:hint="eastAsia"/>
                      <w:b/>
                      <w:bCs/>
                    </w:rPr>
                    <w:t>k</w:t>
                  </w:r>
                  <w:r>
                    <w:rPr>
                      <w:b/>
                      <w:bCs/>
                    </w:rPr>
                    <w:t>g/h）</w:t>
                  </w:r>
                </w:p>
              </w:tc>
            </w:tr>
            <w:tr w14:paraId="3EC77871">
              <w:tblPrEx>
                <w:tblBorders>
                  <w:top w:val="single" w:color="000000" w:sz="8" w:space="0"/>
                  <w:left w:val="none" w:color="auto" w:sz="0" w:space="0"/>
                  <w:bottom w:val="single" w:color="auto"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948" w:type="pct"/>
                  <w:tcBorders>
                    <w:tl2br w:val="nil"/>
                    <w:tr2bl w:val="nil"/>
                  </w:tcBorders>
                  <w:shd w:val="clear" w:color="auto" w:fill="auto"/>
                  <w:vAlign w:val="center"/>
                </w:tcPr>
                <w:p w14:paraId="1EE2A5FD">
                  <w:pPr>
                    <w:pStyle w:val="5"/>
                    <w:bidi w:val="0"/>
                    <w:jc w:val="center"/>
                    <w:rPr>
                      <w:rFonts w:hint="default" w:eastAsia="宋体"/>
                      <w:lang w:val="en-US" w:eastAsia="zh-CN"/>
                    </w:rPr>
                  </w:pPr>
                  <w:r>
                    <w:rPr>
                      <w:rFonts w:hint="eastAsia"/>
                      <w:lang w:val="en-US" w:eastAsia="zh-CN"/>
                    </w:rPr>
                    <w:t>固化工序</w:t>
                  </w:r>
                </w:p>
              </w:tc>
              <w:tc>
                <w:tcPr>
                  <w:tcW w:w="770" w:type="pct"/>
                  <w:tcBorders>
                    <w:tl2br w:val="nil"/>
                    <w:tr2bl w:val="nil"/>
                  </w:tcBorders>
                  <w:vAlign w:val="center"/>
                </w:tcPr>
                <w:p w14:paraId="768F5853">
                  <w:pPr>
                    <w:pStyle w:val="5"/>
                    <w:bidi w:val="0"/>
                  </w:pPr>
                  <w:r>
                    <w:rPr>
                      <w:rFonts w:hint="eastAsia"/>
                    </w:rPr>
                    <w:t>VOCs</w:t>
                  </w:r>
                </w:p>
              </w:tc>
              <w:tc>
                <w:tcPr>
                  <w:tcW w:w="1104" w:type="pct"/>
                  <w:tcBorders>
                    <w:tl2br w:val="nil"/>
                    <w:tr2bl w:val="nil"/>
                  </w:tcBorders>
                  <w:vAlign w:val="center"/>
                </w:tcPr>
                <w:p w14:paraId="3DD58346">
                  <w:pPr>
                    <w:pStyle w:val="5"/>
                    <w:bidi w:val="0"/>
                    <w:rPr>
                      <w:rFonts w:hint="default" w:eastAsia="宋体"/>
                      <w:lang w:val="en-US" w:eastAsia="zh-CN"/>
                    </w:rPr>
                  </w:pPr>
                  <w:r>
                    <w:rPr>
                      <w:rFonts w:hint="eastAsia"/>
                      <w:lang w:val="en-US" w:eastAsia="zh-CN"/>
                    </w:rPr>
                    <w:t>0.00916</w:t>
                  </w:r>
                </w:p>
              </w:tc>
              <w:tc>
                <w:tcPr>
                  <w:tcW w:w="966" w:type="pct"/>
                  <w:tcBorders>
                    <w:tl2br w:val="nil"/>
                    <w:tr2bl w:val="nil"/>
                  </w:tcBorders>
                  <w:vAlign w:val="center"/>
                </w:tcPr>
                <w:p w14:paraId="6B0432CF">
                  <w:pPr>
                    <w:pStyle w:val="5"/>
                    <w:bidi w:val="0"/>
                    <w:rPr>
                      <w:rFonts w:hint="eastAsia" w:eastAsia="宋体"/>
                      <w:lang w:eastAsia="zh-CN"/>
                    </w:rPr>
                  </w:pPr>
                  <w:r>
                    <w:rPr>
                      <w:rFonts w:hint="eastAsia"/>
                      <w:lang w:val="en-US" w:eastAsia="zh-CN"/>
                    </w:rPr>
                    <w:t>4</w:t>
                  </w:r>
                </w:p>
              </w:tc>
              <w:tc>
                <w:tcPr>
                  <w:tcW w:w="1210" w:type="pct"/>
                  <w:tcBorders>
                    <w:tl2br w:val="nil"/>
                    <w:tr2bl w:val="nil"/>
                  </w:tcBorders>
                  <w:vAlign w:val="center"/>
                </w:tcPr>
                <w:p w14:paraId="21FAAEDF">
                  <w:pPr>
                    <w:pStyle w:val="5"/>
                    <w:bidi w:val="0"/>
                    <w:rPr>
                      <w:rFonts w:hint="default"/>
                      <w:lang w:val="en-US"/>
                    </w:rPr>
                  </w:pPr>
                  <w:r>
                    <w:rPr>
                      <w:rFonts w:hint="eastAsia"/>
                      <w:lang w:val="en-US" w:eastAsia="zh-CN"/>
                    </w:rPr>
                    <w:t>0.0095</w:t>
                  </w:r>
                </w:p>
              </w:tc>
            </w:tr>
          </w:tbl>
          <w:p w14:paraId="6C479664">
            <w:pPr>
              <w:pStyle w:val="38"/>
              <w:ind w:firstLine="480"/>
              <w:rPr>
                <w:rFonts w:hint="default"/>
                <w:color w:val="auto"/>
                <w:lang w:val="en-US" w:eastAsia="zh-CN"/>
              </w:rPr>
            </w:pPr>
            <w:r>
              <w:rPr>
                <w:rFonts w:hint="eastAsia"/>
                <w:color w:val="auto"/>
                <w:lang w:val="en-US" w:eastAsia="zh-CN"/>
              </w:rPr>
              <w:t>技改实施前，原有项目不涉及废气排放。因此，以新带老削减量为0。</w:t>
            </w:r>
          </w:p>
          <w:p w14:paraId="0F76BEAD">
            <w:pPr>
              <w:pStyle w:val="7"/>
              <w:bidi w:val="0"/>
              <w:rPr>
                <w:rFonts w:hint="eastAsia"/>
                <w:lang w:val="en-US" w:eastAsia="zh-CN"/>
              </w:rPr>
            </w:pPr>
            <w:r>
              <w:rPr>
                <w:rFonts w:hint="eastAsia"/>
                <w:lang w:val="en-US" w:eastAsia="zh-CN"/>
              </w:rPr>
              <w:t>表4-3  本项目建成后全厂废气排放“三本账”统计表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556"/>
              <w:gridCol w:w="739"/>
              <w:gridCol w:w="900"/>
              <w:gridCol w:w="1136"/>
              <w:gridCol w:w="964"/>
              <w:gridCol w:w="996"/>
              <w:gridCol w:w="1061"/>
              <w:gridCol w:w="1373"/>
              <w:gridCol w:w="1125"/>
            </w:tblGrid>
            <w:tr w14:paraId="31D96C1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314" w:type="pct"/>
                  <w:vAlign w:val="center"/>
                </w:tcPr>
                <w:p w14:paraId="2EA40430">
                  <w:pPr>
                    <w:pStyle w:val="5"/>
                    <w:bidi w:val="0"/>
                    <w:rPr>
                      <w:b/>
                      <w:bCs/>
                    </w:rPr>
                  </w:pPr>
                  <w:r>
                    <w:rPr>
                      <w:b/>
                      <w:bCs/>
                    </w:rPr>
                    <w:t>污染类别</w:t>
                  </w:r>
                </w:p>
              </w:tc>
              <w:tc>
                <w:tcPr>
                  <w:tcW w:w="417" w:type="pct"/>
                  <w:vAlign w:val="center"/>
                </w:tcPr>
                <w:p w14:paraId="6BC0BE5E">
                  <w:pPr>
                    <w:pStyle w:val="5"/>
                    <w:bidi w:val="0"/>
                    <w:rPr>
                      <w:b/>
                      <w:bCs/>
                    </w:rPr>
                  </w:pPr>
                  <w:r>
                    <w:rPr>
                      <w:b/>
                      <w:bCs/>
                    </w:rPr>
                    <w:t>污染物</w:t>
                  </w:r>
                </w:p>
              </w:tc>
              <w:tc>
                <w:tcPr>
                  <w:tcW w:w="508" w:type="pct"/>
                  <w:vAlign w:val="center"/>
                </w:tcPr>
                <w:p w14:paraId="747AD6B9">
                  <w:pPr>
                    <w:pStyle w:val="5"/>
                    <w:bidi w:val="0"/>
                    <w:rPr>
                      <w:b/>
                      <w:bCs/>
                    </w:rPr>
                  </w:pPr>
                  <w:r>
                    <w:rPr>
                      <w:b/>
                      <w:bCs/>
                    </w:rPr>
                    <w:t>企业现状排放量</w:t>
                  </w:r>
                </w:p>
                <w:p w14:paraId="16D5EA25">
                  <w:pPr>
                    <w:pStyle w:val="5"/>
                    <w:bidi w:val="0"/>
                    <w:rPr>
                      <w:b/>
                      <w:bCs/>
                    </w:rPr>
                  </w:pPr>
                  <w:r>
                    <w:rPr>
                      <w:b/>
                      <w:bCs/>
                    </w:rPr>
                    <w:t>（t/a）</w:t>
                  </w:r>
                </w:p>
              </w:tc>
              <w:tc>
                <w:tcPr>
                  <w:tcW w:w="641" w:type="pct"/>
                  <w:vAlign w:val="center"/>
                </w:tcPr>
                <w:p w14:paraId="39150FEF">
                  <w:pPr>
                    <w:pStyle w:val="5"/>
                    <w:bidi w:val="0"/>
                    <w:rPr>
                      <w:rFonts w:hint="default"/>
                      <w:b/>
                      <w:bCs/>
                      <w:lang w:val="en-US" w:eastAsia="zh-CN"/>
                    </w:rPr>
                  </w:pPr>
                  <w:r>
                    <w:rPr>
                      <w:rFonts w:hint="eastAsia"/>
                      <w:b/>
                      <w:bCs/>
                      <w:lang w:val="en-US" w:eastAsia="zh-CN"/>
                    </w:rPr>
                    <w:t>企业排污许可申请总量（t/a）</w:t>
                  </w:r>
                </w:p>
              </w:tc>
              <w:tc>
                <w:tcPr>
                  <w:tcW w:w="544" w:type="pct"/>
                  <w:vAlign w:val="center"/>
                </w:tcPr>
                <w:p w14:paraId="150AB763">
                  <w:pPr>
                    <w:pStyle w:val="5"/>
                    <w:bidi w:val="0"/>
                    <w:rPr>
                      <w:b/>
                      <w:bCs/>
                    </w:rPr>
                  </w:pPr>
                  <w:r>
                    <w:rPr>
                      <w:b/>
                      <w:bCs/>
                    </w:rPr>
                    <w:t>在建项目排放量</w:t>
                  </w:r>
                </w:p>
                <w:p w14:paraId="7A19104E">
                  <w:pPr>
                    <w:pStyle w:val="5"/>
                    <w:bidi w:val="0"/>
                    <w:rPr>
                      <w:b/>
                      <w:bCs/>
                    </w:rPr>
                  </w:pPr>
                  <w:r>
                    <w:rPr>
                      <w:b/>
                      <w:bCs/>
                    </w:rPr>
                    <w:t>（t/a）</w:t>
                  </w:r>
                </w:p>
              </w:tc>
              <w:tc>
                <w:tcPr>
                  <w:tcW w:w="562" w:type="pct"/>
                  <w:vAlign w:val="center"/>
                </w:tcPr>
                <w:p w14:paraId="0D7BB18E">
                  <w:pPr>
                    <w:pStyle w:val="5"/>
                    <w:bidi w:val="0"/>
                    <w:rPr>
                      <w:b/>
                      <w:bCs/>
                    </w:rPr>
                  </w:pPr>
                  <w:r>
                    <w:rPr>
                      <w:b/>
                      <w:bCs/>
                    </w:rPr>
                    <w:t>“以新带老”消减量（t/a）</w:t>
                  </w:r>
                </w:p>
              </w:tc>
              <w:tc>
                <w:tcPr>
                  <w:tcW w:w="599" w:type="pct"/>
                  <w:vAlign w:val="center"/>
                </w:tcPr>
                <w:p w14:paraId="6086CCD1">
                  <w:pPr>
                    <w:pStyle w:val="5"/>
                    <w:bidi w:val="0"/>
                    <w:rPr>
                      <w:b/>
                      <w:bCs/>
                    </w:rPr>
                  </w:pPr>
                  <w:r>
                    <w:rPr>
                      <w:b/>
                      <w:bCs/>
                    </w:rPr>
                    <w:t>本项目新增排放量（t/a）</w:t>
                  </w:r>
                </w:p>
              </w:tc>
              <w:tc>
                <w:tcPr>
                  <w:tcW w:w="775" w:type="pct"/>
                  <w:vAlign w:val="center"/>
                </w:tcPr>
                <w:p w14:paraId="101C53AB">
                  <w:pPr>
                    <w:pStyle w:val="5"/>
                    <w:bidi w:val="0"/>
                    <w:rPr>
                      <w:b/>
                      <w:bCs/>
                    </w:rPr>
                  </w:pPr>
                  <w:r>
                    <w:rPr>
                      <w:b/>
                      <w:bCs/>
                    </w:rPr>
                    <w:t>本项目建成后全厂排放量</w:t>
                  </w:r>
                </w:p>
                <w:p w14:paraId="1440C1EB">
                  <w:pPr>
                    <w:pStyle w:val="5"/>
                    <w:bidi w:val="0"/>
                    <w:rPr>
                      <w:b/>
                      <w:bCs/>
                    </w:rPr>
                  </w:pPr>
                  <w:r>
                    <w:rPr>
                      <w:b/>
                      <w:bCs/>
                    </w:rPr>
                    <w:t>（t/a）</w:t>
                  </w:r>
                </w:p>
              </w:tc>
              <w:tc>
                <w:tcPr>
                  <w:tcW w:w="635" w:type="pct"/>
                  <w:vAlign w:val="center"/>
                </w:tcPr>
                <w:p w14:paraId="49A85E0F">
                  <w:pPr>
                    <w:pStyle w:val="5"/>
                    <w:bidi w:val="0"/>
                    <w:rPr>
                      <w:b/>
                      <w:bCs/>
                    </w:rPr>
                  </w:pPr>
                  <w:r>
                    <w:rPr>
                      <w:b/>
                      <w:bCs/>
                    </w:rPr>
                    <w:t>排放增减量</w:t>
                  </w:r>
                </w:p>
                <w:p w14:paraId="587D3F91">
                  <w:pPr>
                    <w:pStyle w:val="5"/>
                    <w:bidi w:val="0"/>
                    <w:rPr>
                      <w:b/>
                      <w:bCs/>
                    </w:rPr>
                  </w:pPr>
                  <w:r>
                    <w:rPr>
                      <w:b/>
                      <w:bCs/>
                    </w:rPr>
                    <w:t>（t/a）</w:t>
                  </w:r>
                </w:p>
              </w:tc>
            </w:tr>
            <w:tr w14:paraId="218EB10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314" w:type="pct"/>
                  <w:vAlign w:val="center"/>
                </w:tcPr>
                <w:p w14:paraId="6E9AA3FA">
                  <w:pPr>
                    <w:pStyle w:val="5"/>
                    <w:bidi w:val="0"/>
                  </w:pPr>
                  <w:r>
                    <w:t>废气</w:t>
                  </w:r>
                </w:p>
              </w:tc>
              <w:tc>
                <w:tcPr>
                  <w:tcW w:w="417" w:type="pct"/>
                  <w:vAlign w:val="center"/>
                </w:tcPr>
                <w:p w14:paraId="2C46EA48">
                  <w:pPr>
                    <w:pStyle w:val="5"/>
                    <w:bidi w:val="0"/>
                  </w:pPr>
                  <w:r>
                    <w:t>VOCs</w:t>
                  </w:r>
                </w:p>
              </w:tc>
              <w:tc>
                <w:tcPr>
                  <w:tcW w:w="508" w:type="pct"/>
                  <w:vAlign w:val="center"/>
                </w:tcPr>
                <w:p w14:paraId="2E68ACC8">
                  <w:pPr>
                    <w:pStyle w:val="5"/>
                    <w:bidi w:val="0"/>
                  </w:pPr>
                  <w:r>
                    <w:rPr>
                      <w:rFonts w:hint="eastAsia"/>
                      <w:lang w:val="en-US" w:eastAsia="zh-CN"/>
                    </w:rPr>
                    <w:t>0</w:t>
                  </w:r>
                </w:p>
              </w:tc>
              <w:tc>
                <w:tcPr>
                  <w:tcW w:w="641" w:type="pct"/>
                  <w:vAlign w:val="center"/>
                </w:tcPr>
                <w:p w14:paraId="0294E668">
                  <w:pPr>
                    <w:pStyle w:val="5"/>
                    <w:bidi w:val="0"/>
                    <w:rPr>
                      <w:rFonts w:hint="eastAsia" w:eastAsia="宋体"/>
                      <w:lang w:eastAsia="zh-CN"/>
                    </w:rPr>
                  </w:pPr>
                  <w:r>
                    <w:rPr>
                      <w:rFonts w:hint="eastAsia"/>
                      <w:lang w:val="en-US" w:eastAsia="zh-CN"/>
                    </w:rPr>
                    <w:t>/</w:t>
                  </w:r>
                </w:p>
              </w:tc>
              <w:tc>
                <w:tcPr>
                  <w:tcW w:w="544" w:type="pct"/>
                  <w:vAlign w:val="center"/>
                </w:tcPr>
                <w:p w14:paraId="3857826C">
                  <w:pPr>
                    <w:pStyle w:val="5"/>
                    <w:bidi w:val="0"/>
                    <w:rPr>
                      <w:rFonts w:hint="eastAsia" w:eastAsia="宋体"/>
                      <w:lang w:eastAsia="zh-CN"/>
                    </w:rPr>
                  </w:pPr>
                  <w:r>
                    <w:rPr>
                      <w:rFonts w:hint="eastAsia"/>
                      <w:lang w:val="en-US" w:eastAsia="zh-CN"/>
                    </w:rPr>
                    <w:t>0</w:t>
                  </w:r>
                </w:p>
              </w:tc>
              <w:tc>
                <w:tcPr>
                  <w:tcW w:w="562" w:type="pct"/>
                  <w:vAlign w:val="center"/>
                </w:tcPr>
                <w:p w14:paraId="7679691E">
                  <w:pPr>
                    <w:pStyle w:val="5"/>
                    <w:bidi w:val="0"/>
                    <w:rPr>
                      <w:rFonts w:hint="eastAsia"/>
                      <w:lang w:eastAsia="zh-CN"/>
                    </w:rPr>
                  </w:pPr>
                  <w:r>
                    <w:rPr>
                      <w:rFonts w:hint="eastAsia"/>
                      <w:lang w:val="en-US" w:eastAsia="zh-CN"/>
                    </w:rPr>
                    <w:t>0</w:t>
                  </w:r>
                </w:p>
              </w:tc>
              <w:tc>
                <w:tcPr>
                  <w:tcW w:w="599" w:type="pct"/>
                  <w:vAlign w:val="center"/>
                </w:tcPr>
                <w:p w14:paraId="29AE0F5F">
                  <w:pPr>
                    <w:pStyle w:val="5"/>
                    <w:bidi w:val="0"/>
                    <w:rPr>
                      <w:rFonts w:hint="default"/>
                      <w:lang w:val="en-US" w:eastAsia="zh-CN"/>
                    </w:rPr>
                  </w:pPr>
                  <w:r>
                    <w:rPr>
                      <w:rFonts w:hint="eastAsia"/>
                      <w:lang w:val="en-US" w:eastAsia="zh-CN"/>
                    </w:rPr>
                    <w:t>0.0298</w:t>
                  </w:r>
                </w:p>
              </w:tc>
              <w:tc>
                <w:tcPr>
                  <w:tcW w:w="775" w:type="pct"/>
                  <w:vAlign w:val="center"/>
                </w:tcPr>
                <w:p w14:paraId="1FA3B950">
                  <w:pPr>
                    <w:pStyle w:val="5"/>
                    <w:bidi w:val="0"/>
                    <w:rPr>
                      <w:rFonts w:hint="default"/>
                      <w:lang w:val="en-US" w:eastAsia="zh-CN"/>
                    </w:rPr>
                  </w:pPr>
                  <w:r>
                    <w:rPr>
                      <w:rFonts w:hint="eastAsia"/>
                      <w:lang w:val="en-US" w:eastAsia="zh-CN"/>
                    </w:rPr>
                    <w:t>0.0298</w:t>
                  </w:r>
                </w:p>
              </w:tc>
              <w:tc>
                <w:tcPr>
                  <w:tcW w:w="635" w:type="pct"/>
                  <w:vAlign w:val="center"/>
                </w:tcPr>
                <w:p w14:paraId="1500541B">
                  <w:pPr>
                    <w:pStyle w:val="5"/>
                    <w:bidi w:val="0"/>
                    <w:rPr>
                      <w:rFonts w:hint="default"/>
                      <w:lang w:val="en-US" w:eastAsia="zh-CN"/>
                    </w:rPr>
                  </w:pPr>
                  <w:r>
                    <w:rPr>
                      <w:rFonts w:hint="eastAsia"/>
                      <w:lang w:val="en-US" w:eastAsia="zh-CN"/>
                    </w:rPr>
                    <w:t>+0.0298</w:t>
                  </w:r>
                </w:p>
              </w:tc>
            </w:tr>
          </w:tbl>
          <w:p w14:paraId="28B699D3">
            <w:pPr>
              <w:pStyle w:val="38"/>
              <w:ind w:firstLine="480"/>
              <w:rPr>
                <w:rFonts w:hint="eastAsia"/>
                <w:color w:val="auto"/>
                <w:lang w:eastAsia="zh-CN"/>
              </w:rPr>
            </w:pPr>
            <w:r>
              <w:rPr>
                <w:rFonts w:hint="eastAsia"/>
                <w:color w:val="auto"/>
                <w:lang w:val="en-US" w:eastAsia="zh-CN"/>
              </w:rPr>
              <w:t>综上</w:t>
            </w:r>
            <w:r>
              <w:rPr>
                <w:rFonts w:hint="eastAsia"/>
                <w:color w:val="auto"/>
              </w:rPr>
              <w:t>，本项目技改实施后，</w:t>
            </w:r>
            <w:r>
              <w:rPr>
                <w:color w:val="auto"/>
                <w:highlight w:val="none"/>
              </w:rPr>
              <w:t>VOCs</w:t>
            </w:r>
            <w:r>
              <w:rPr>
                <w:rFonts w:hint="eastAsia"/>
                <w:color w:val="auto"/>
              </w:rPr>
              <w:t>有组织废气排放量增加为</w:t>
            </w:r>
            <w:r>
              <w:rPr>
                <w:rFonts w:hint="eastAsia"/>
                <w:color w:val="auto"/>
                <w:lang w:val="en-US" w:eastAsia="zh-CN"/>
              </w:rPr>
              <w:t>20.61</w:t>
            </w:r>
            <w:r>
              <w:rPr>
                <w:rFonts w:hint="eastAsia"/>
                <w:color w:val="auto"/>
              </w:rPr>
              <w:t>kg/a，最大排放速率为</w:t>
            </w:r>
            <w:r>
              <w:rPr>
                <w:rFonts w:hint="eastAsia"/>
                <w:color w:val="auto"/>
                <w:lang w:val="en-US" w:eastAsia="zh-CN"/>
              </w:rPr>
              <w:t>0.0215</w:t>
            </w:r>
            <w:r>
              <w:rPr>
                <w:rFonts w:hint="eastAsia"/>
                <w:color w:val="auto"/>
              </w:rPr>
              <w:t>kg/h，最大排放浓度为</w:t>
            </w:r>
            <w:r>
              <w:rPr>
                <w:rFonts w:hint="eastAsia"/>
                <w:color w:val="auto"/>
                <w:highlight w:val="none"/>
                <w:lang w:val="en-US" w:eastAsia="zh-CN"/>
              </w:rPr>
              <w:t>42.94</w:t>
            </w:r>
            <w:r>
              <w:rPr>
                <w:rFonts w:hint="eastAsia"/>
                <w:color w:val="auto"/>
                <w:highlight w:val="none"/>
              </w:rPr>
              <w:t>mg/m</w:t>
            </w:r>
            <w:r>
              <w:rPr>
                <w:rFonts w:hint="eastAsia"/>
                <w:color w:val="auto"/>
                <w:highlight w:val="none"/>
                <w:vertAlign w:val="superscript"/>
              </w:rPr>
              <w:t>3</w:t>
            </w:r>
            <w:r>
              <w:rPr>
                <w:rFonts w:hint="eastAsia"/>
                <w:color w:val="auto"/>
                <w:lang w:eastAsia="zh-CN"/>
              </w:rPr>
              <w:t>，</w:t>
            </w:r>
            <w:r>
              <w:rPr>
                <w:rFonts w:hint="eastAsia"/>
                <w:color w:val="auto"/>
                <w:lang w:val="en-US" w:eastAsia="zh-CN"/>
              </w:rPr>
              <w:t>满足</w:t>
            </w:r>
            <w:r>
              <w:rPr>
                <w:color w:val="auto"/>
              </w:rPr>
              <w:t>《四川省固定污染源大气挥发性有机物排放标准》（DB51-2377-2017）</w:t>
            </w:r>
            <w:r>
              <w:rPr>
                <w:rFonts w:hint="eastAsia"/>
                <w:color w:val="auto"/>
                <w:lang w:val="en-US" w:eastAsia="zh-CN"/>
              </w:rPr>
              <w:t>中排放限值要求</w:t>
            </w:r>
            <w:r>
              <w:rPr>
                <w:rFonts w:hint="eastAsia"/>
                <w:color w:val="auto"/>
                <w:lang w:eastAsia="zh-CN"/>
              </w:rPr>
              <w:t>。</w:t>
            </w:r>
          </w:p>
          <w:p w14:paraId="1002F704">
            <w:pPr>
              <w:pStyle w:val="38"/>
              <w:ind w:firstLine="480"/>
              <w:rPr>
                <w:color w:val="auto"/>
              </w:rPr>
            </w:pPr>
            <w:r>
              <w:rPr>
                <w:rFonts w:hint="eastAsia"/>
                <w:color w:val="auto"/>
              </w:rPr>
              <w:t>本项目未被</w:t>
            </w:r>
            <w:r>
              <w:rPr>
                <w:rFonts w:hint="eastAsia"/>
                <w:color w:val="auto"/>
                <w:lang w:val="en-US" w:eastAsia="zh-CN"/>
              </w:rPr>
              <w:t>捕集</w:t>
            </w:r>
            <w:r>
              <w:rPr>
                <w:rFonts w:hint="eastAsia"/>
                <w:color w:val="auto"/>
              </w:rPr>
              <w:t>的废气以无组织形式排放，VOCs无组织排放满足</w:t>
            </w:r>
            <w:r>
              <w:rPr>
                <w:color w:val="auto"/>
              </w:rPr>
              <w:t>《四川省固定污染源大气挥发性有机物排放标准》（DB51-2377-2017）中表5中无组织</w:t>
            </w:r>
            <w:r>
              <w:rPr>
                <w:bCs/>
                <w:color w:val="auto"/>
                <w:szCs w:val="21"/>
              </w:rPr>
              <w:t>排放监控浓度限值</w:t>
            </w:r>
            <w:r>
              <w:rPr>
                <w:rFonts w:hint="eastAsia"/>
                <w:bCs/>
                <w:color w:val="auto"/>
                <w:szCs w:val="21"/>
              </w:rPr>
              <w:t>以及</w:t>
            </w:r>
            <w:r>
              <w:rPr>
                <w:color w:val="auto"/>
              </w:rPr>
              <w:t>《挥发性有机物无组织排放控制标准》（GB37822-2019）</w:t>
            </w:r>
            <w:r>
              <w:rPr>
                <w:rFonts w:hint="eastAsia"/>
                <w:color w:val="auto"/>
              </w:rPr>
              <w:t>的</w:t>
            </w:r>
            <w:r>
              <w:rPr>
                <w:color w:val="auto"/>
              </w:rPr>
              <w:t>要求</w:t>
            </w:r>
            <w:r>
              <w:rPr>
                <w:rFonts w:hint="eastAsia"/>
                <w:color w:val="auto"/>
              </w:rPr>
              <w:t>。</w:t>
            </w:r>
          </w:p>
          <w:p w14:paraId="5CCB048E">
            <w:pPr>
              <w:pStyle w:val="38"/>
              <w:ind w:firstLine="482"/>
              <w:rPr>
                <w:b/>
                <w:bCs/>
                <w:color w:val="auto"/>
              </w:rPr>
            </w:pPr>
            <w:r>
              <w:rPr>
                <w:b/>
                <w:bCs/>
                <w:color w:val="auto"/>
              </w:rPr>
              <w:t>（</w:t>
            </w:r>
            <w:r>
              <w:rPr>
                <w:rFonts w:hint="eastAsia"/>
                <w:b/>
                <w:bCs/>
                <w:color w:val="auto"/>
                <w:lang w:val="en-US" w:eastAsia="zh-CN"/>
              </w:rPr>
              <w:t>4</w:t>
            </w:r>
            <w:r>
              <w:rPr>
                <w:b/>
                <w:bCs/>
                <w:color w:val="auto"/>
              </w:rPr>
              <w:t>）非正常工况污染物排放量核算</w:t>
            </w:r>
          </w:p>
          <w:p w14:paraId="43C6B0EE">
            <w:pPr>
              <w:tabs>
                <w:tab w:val="left" w:pos="6966"/>
              </w:tabs>
              <w:ind w:firstLine="480" w:firstLineChars="200"/>
              <w:rPr>
                <w:color w:val="auto"/>
              </w:rPr>
            </w:pPr>
            <w:r>
              <w:rPr>
                <w:rFonts w:hint="default" w:ascii="Times New Roman" w:hAnsi="Times New Roman" w:eastAsia="宋体" w:cs="Times New Roman"/>
                <w:color w:val="auto"/>
                <w:sz w:val="24"/>
                <w:szCs w:val="28"/>
                <w:highlight w:val="none"/>
              </w:rPr>
              <w:t>本项目非正常排放情况为废气处理设施故障导致废气处理效率达不到设计要求的情况。废气处理设施发生故障的因素很多，比如活性炭</w:t>
            </w:r>
            <w:r>
              <w:rPr>
                <w:rFonts w:hint="default" w:ascii="Times New Roman" w:hAnsi="Times New Roman" w:eastAsia="宋体" w:cs="Times New Roman"/>
                <w:color w:val="auto"/>
                <w:sz w:val="24"/>
                <w:szCs w:val="28"/>
                <w:highlight w:val="none"/>
                <w:lang w:val="en-US" w:eastAsia="zh-CN"/>
              </w:rPr>
              <w:t>吸附效率变低</w:t>
            </w:r>
            <w:r>
              <w:rPr>
                <w:rFonts w:hint="default" w:ascii="Times New Roman" w:hAnsi="Times New Roman" w:eastAsia="宋体" w:cs="Times New Roman"/>
                <w:color w:val="auto"/>
                <w:sz w:val="24"/>
                <w:szCs w:val="28"/>
                <w:highlight w:val="none"/>
              </w:rPr>
              <w:t>、风机故障等，本项目考虑废气处理装置故障不利情况即废气治理效率降为40%。项目发现非正常排放情况需要立即停产检修，非正常情况持续时间一般30分钟，年发生频次为2次</w:t>
            </w:r>
            <w:r>
              <w:rPr>
                <w:rFonts w:hint="eastAsia" w:ascii="Times New Roman" w:hAnsi="Times New Roman" w:cs="Times New Roman"/>
                <w:color w:val="auto"/>
                <w:sz w:val="24"/>
                <w:szCs w:val="28"/>
                <w:highlight w:val="none"/>
                <w:lang w:eastAsia="zh-CN"/>
              </w:rPr>
              <w:t>。</w:t>
            </w:r>
            <w:r>
              <w:rPr>
                <w:color w:val="auto"/>
              </w:rPr>
              <w:t>本项目非正常工况下废气排放见表</w:t>
            </w:r>
            <w:r>
              <w:rPr>
                <w:rFonts w:hint="eastAsia"/>
                <w:color w:val="auto"/>
              </w:rPr>
              <w:t>4-</w:t>
            </w:r>
            <w:r>
              <w:rPr>
                <w:rFonts w:hint="eastAsia"/>
                <w:color w:val="auto"/>
                <w:lang w:val="en-US" w:eastAsia="zh-CN"/>
              </w:rPr>
              <w:t>4</w:t>
            </w:r>
            <w:r>
              <w:rPr>
                <w:color w:val="auto"/>
              </w:rPr>
              <w:t>。</w:t>
            </w:r>
          </w:p>
          <w:p w14:paraId="5878E43D">
            <w:pPr>
              <w:pStyle w:val="7"/>
              <w:bidi w:val="0"/>
            </w:pPr>
            <w:r>
              <w:rPr>
                <w:rFonts w:hint="eastAsia"/>
              </w:rPr>
              <w:t>表4-</w:t>
            </w:r>
            <w:r>
              <w:rPr>
                <w:rFonts w:hint="eastAsia"/>
                <w:lang w:val="en-US" w:eastAsia="zh-CN"/>
              </w:rPr>
              <w:t>4</w:t>
            </w:r>
            <w:r>
              <w:rPr>
                <w:rFonts w:hint="eastAsia"/>
              </w:rPr>
              <w:t xml:space="preserve">  非正常工况下本项目废气排放情况表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9"/>
              <w:gridCol w:w="1913"/>
              <w:gridCol w:w="1532"/>
              <w:gridCol w:w="1222"/>
              <w:gridCol w:w="1403"/>
              <w:gridCol w:w="879"/>
              <w:gridCol w:w="1076"/>
            </w:tblGrid>
            <w:tr w14:paraId="31E3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7" w:hRule="atLeast"/>
              </w:trPr>
              <w:tc>
                <w:tcPr>
                  <w:tcW w:w="789" w:type="dxa"/>
                  <w:tcBorders>
                    <w:top w:val="single" w:color="auto" w:sz="12" w:space="0"/>
                    <w:left w:val="nil"/>
                  </w:tcBorders>
                  <w:vAlign w:val="center"/>
                </w:tcPr>
                <w:p w14:paraId="3C451FAF">
                  <w:pPr>
                    <w:pStyle w:val="5"/>
                    <w:bidi w:val="0"/>
                    <w:rPr>
                      <w:b/>
                      <w:bCs/>
                    </w:rPr>
                  </w:pPr>
                  <w:r>
                    <w:rPr>
                      <w:b/>
                      <w:bCs/>
                    </w:rPr>
                    <w:t>污染物名称</w:t>
                  </w:r>
                </w:p>
              </w:tc>
              <w:tc>
                <w:tcPr>
                  <w:tcW w:w="1913" w:type="dxa"/>
                  <w:tcBorders>
                    <w:top w:val="single" w:color="auto" w:sz="12" w:space="0"/>
                  </w:tcBorders>
                  <w:vAlign w:val="center"/>
                </w:tcPr>
                <w:p w14:paraId="16728234">
                  <w:pPr>
                    <w:pStyle w:val="5"/>
                    <w:bidi w:val="0"/>
                    <w:rPr>
                      <w:b/>
                      <w:bCs/>
                    </w:rPr>
                  </w:pPr>
                  <w:r>
                    <w:rPr>
                      <w:b/>
                      <w:bCs/>
                    </w:rPr>
                    <w:t>非正常排放原因</w:t>
                  </w:r>
                </w:p>
              </w:tc>
              <w:tc>
                <w:tcPr>
                  <w:tcW w:w="1532" w:type="dxa"/>
                  <w:tcBorders>
                    <w:top w:val="single" w:color="auto" w:sz="12" w:space="0"/>
                  </w:tcBorders>
                  <w:vAlign w:val="center"/>
                </w:tcPr>
                <w:p w14:paraId="0743AA35">
                  <w:pPr>
                    <w:pStyle w:val="5"/>
                    <w:bidi w:val="0"/>
                    <w:rPr>
                      <w:b/>
                      <w:bCs/>
                    </w:rPr>
                  </w:pPr>
                  <w:r>
                    <w:rPr>
                      <w:b/>
                      <w:bCs/>
                    </w:rPr>
                    <w:t>非正常排放最大产生速率</w:t>
                  </w:r>
                </w:p>
                <w:p w14:paraId="38D13C56">
                  <w:pPr>
                    <w:pStyle w:val="5"/>
                    <w:bidi w:val="0"/>
                    <w:rPr>
                      <w:b/>
                      <w:bCs/>
                    </w:rPr>
                  </w:pPr>
                  <w:r>
                    <w:rPr>
                      <w:b/>
                      <w:bCs/>
                    </w:rPr>
                    <w:t>（kg/h）</w:t>
                  </w:r>
                </w:p>
              </w:tc>
              <w:tc>
                <w:tcPr>
                  <w:tcW w:w="1222" w:type="dxa"/>
                  <w:tcBorders>
                    <w:top w:val="single" w:color="auto" w:sz="12" w:space="0"/>
                  </w:tcBorders>
                  <w:vAlign w:val="center"/>
                </w:tcPr>
                <w:p w14:paraId="1D058CA9">
                  <w:pPr>
                    <w:pStyle w:val="5"/>
                    <w:bidi w:val="0"/>
                    <w:rPr>
                      <w:b/>
                      <w:bCs/>
                    </w:rPr>
                  </w:pPr>
                  <w:r>
                    <w:rPr>
                      <w:b/>
                      <w:bCs/>
                    </w:rPr>
                    <w:t>非正常排放浓度</w:t>
                  </w:r>
                </w:p>
                <w:p w14:paraId="58E1BA1C">
                  <w:pPr>
                    <w:pStyle w:val="5"/>
                    <w:bidi w:val="0"/>
                    <w:rPr>
                      <w:b/>
                      <w:bCs/>
                    </w:rPr>
                  </w:pPr>
                  <w:r>
                    <w:rPr>
                      <w:b/>
                      <w:bCs/>
                    </w:rPr>
                    <w:t>（mg/m</w:t>
                  </w:r>
                  <w:r>
                    <w:rPr>
                      <w:b/>
                      <w:bCs/>
                      <w:vertAlign w:val="superscript"/>
                    </w:rPr>
                    <w:t>3</w:t>
                  </w:r>
                  <w:r>
                    <w:rPr>
                      <w:b/>
                      <w:bCs/>
                    </w:rPr>
                    <w:t>）</w:t>
                  </w:r>
                </w:p>
              </w:tc>
              <w:tc>
                <w:tcPr>
                  <w:tcW w:w="1403" w:type="dxa"/>
                  <w:tcBorders>
                    <w:top w:val="single" w:color="auto" w:sz="12" w:space="0"/>
                  </w:tcBorders>
                  <w:vAlign w:val="center"/>
                </w:tcPr>
                <w:p w14:paraId="6406F87C">
                  <w:pPr>
                    <w:pStyle w:val="5"/>
                    <w:bidi w:val="0"/>
                    <w:rPr>
                      <w:b/>
                      <w:bCs/>
                    </w:rPr>
                  </w:pPr>
                  <w:r>
                    <w:rPr>
                      <w:b/>
                      <w:bCs/>
                    </w:rPr>
                    <w:t>单次持续时间（h）</w:t>
                  </w:r>
                </w:p>
              </w:tc>
              <w:tc>
                <w:tcPr>
                  <w:tcW w:w="879" w:type="dxa"/>
                  <w:tcBorders>
                    <w:top w:val="single" w:color="auto" w:sz="12" w:space="0"/>
                    <w:bottom w:val="single" w:color="auto" w:sz="4" w:space="0"/>
                  </w:tcBorders>
                  <w:vAlign w:val="center"/>
                </w:tcPr>
                <w:p w14:paraId="11FA42FF">
                  <w:pPr>
                    <w:pStyle w:val="5"/>
                    <w:bidi w:val="0"/>
                    <w:rPr>
                      <w:b/>
                      <w:bCs/>
                    </w:rPr>
                  </w:pPr>
                  <w:r>
                    <w:rPr>
                      <w:rFonts w:hint="default" w:ascii="Times New Roman" w:hAnsi="Times New Roman" w:eastAsia="宋体" w:cs="Times New Roman"/>
                      <w:b/>
                      <w:color w:val="auto"/>
                      <w:sz w:val="21"/>
                      <w:szCs w:val="21"/>
                      <w:highlight w:val="none"/>
                      <w:lang w:val="en-US" w:eastAsia="zh-CN"/>
                    </w:rPr>
                    <w:t>年发生频次</w:t>
                  </w:r>
                </w:p>
              </w:tc>
              <w:tc>
                <w:tcPr>
                  <w:tcW w:w="1076" w:type="dxa"/>
                  <w:tcBorders>
                    <w:top w:val="single" w:color="auto" w:sz="12" w:space="0"/>
                  </w:tcBorders>
                  <w:vAlign w:val="center"/>
                </w:tcPr>
                <w:p w14:paraId="74F71094">
                  <w:pPr>
                    <w:pStyle w:val="5"/>
                    <w:bidi w:val="0"/>
                    <w:rPr>
                      <w:b/>
                      <w:bCs/>
                    </w:rPr>
                  </w:pPr>
                  <w:r>
                    <w:rPr>
                      <w:b/>
                      <w:bCs/>
                    </w:rPr>
                    <w:t>非正常排放量</w:t>
                  </w:r>
                </w:p>
                <w:p w14:paraId="3F82F5C5">
                  <w:pPr>
                    <w:pStyle w:val="5"/>
                    <w:bidi w:val="0"/>
                    <w:rPr>
                      <w:b/>
                      <w:bCs/>
                    </w:rPr>
                  </w:pPr>
                  <w:r>
                    <w:rPr>
                      <w:b/>
                      <w:bCs/>
                    </w:rPr>
                    <w:t>（kg/a）</w:t>
                  </w:r>
                </w:p>
              </w:tc>
            </w:tr>
            <w:tr w14:paraId="1C8D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789" w:type="dxa"/>
                  <w:tcBorders>
                    <w:top w:val="single" w:color="auto" w:sz="4" w:space="0"/>
                    <w:left w:val="nil"/>
                    <w:bottom w:val="single" w:color="auto" w:sz="4" w:space="0"/>
                  </w:tcBorders>
                  <w:vAlign w:val="center"/>
                </w:tcPr>
                <w:p w14:paraId="6A6BF5F5">
                  <w:pPr>
                    <w:pStyle w:val="5"/>
                    <w:bidi w:val="0"/>
                  </w:pPr>
                  <w:r>
                    <w:rPr>
                      <w:rFonts w:hint="eastAsia"/>
                    </w:rPr>
                    <w:t>VOCs</w:t>
                  </w:r>
                </w:p>
              </w:tc>
              <w:tc>
                <w:tcPr>
                  <w:tcW w:w="1913" w:type="dxa"/>
                  <w:tcBorders>
                    <w:top w:val="single" w:color="auto" w:sz="4" w:space="0"/>
                    <w:bottom w:val="single" w:color="auto" w:sz="4" w:space="0"/>
                  </w:tcBorders>
                  <w:vAlign w:val="center"/>
                </w:tcPr>
                <w:p w14:paraId="1E282C63">
                  <w:pPr>
                    <w:pStyle w:val="5"/>
                    <w:bidi w:val="0"/>
                  </w:pPr>
                  <w:r>
                    <w:rPr>
                      <w:rFonts w:hint="default" w:ascii="Times New Roman" w:hAnsi="Times New Roman" w:eastAsia="宋体" w:cs="Times New Roman"/>
                      <w:color w:val="auto"/>
                      <w:sz w:val="21"/>
                      <w:szCs w:val="21"/>
                      <w:highlight w:val="none"/>
                    </w:rPr>
                    <w:t>活性炭吸附效率变低、风机故障等</w:t>
                  </w:r>
                </w:p>
              </w:tc>
              <w:tc>
                <w:tcPr>
                  <w:tcW w:w="1532" w:type="dxa"/>
                  <w:tcBorders>
                    <w:top w:val="single" w:color="auto" w:sz="4" w:space="0"/>
                    <w:bottom w:val="single" w:color="auto" w:sz="4" w:space="0"/>
                  </w:tcBorders>
                  <w:vAlign w:val="center"/>
                </w:tcPr>
                <w:p w14:paraId="462224A6">
                  <w:pPr>
                    <w:pStyle w:val="5"/>
                    <w:bidi w:val="0"/>
                    <w:rPr>
                      <w:rFonts w:hint="default"/>
                      <w:lang w:val="en-US" w:eastAsia="zh-CN"/>
                    </w:rPr>
                  </w:pPr>
                  <w:r>
                    <w:rPr>
                      <w:rFonts w:hint="eastAsia"/>
                      <w:lang w:val="en-US" w:eastAsia="zh-CN"/>
                    </w:rPr>
                    <w:t>0.0520</w:t>
                  </w:r>
                </w:p>
              </w:tc>
              <w:tc>
                <w:tcPr>
                  <w:tcW w:w="1222" w:type="dxa"/>
                  <w:tcBorders>
                    <w:top w:val="single" w:color="auto" w:sz="4" w:space="0"/>
                    <w:bottom w:val="single" w:color="auto" w:sz="4" w:space="0"/>
                  </w:tcBorders>
                  <w:vAlign w:val="center"/>
                </w:tcPr>
                <w:p w14:paraId="5562EBA1">
                  <w:pPr>
                    <w:pStyle w:val="5"/>
                    <w:bidi w:val="0"/>
                    <w:rPr>
                      <w:rFonts w:hint="default"/>
                      <w:lang w:val="en-US" w:eastAsia="zh-CN"/>
                    </w:rPr>
                  </w:pPr>
                  <w:r>
                    <w:rPr>
                      <w:rFonts w:hint="eastAsia"/>
                      <w:lang w:val="en-US" w:eastAsia="zh-CN"/>
                    </w:rPr>
                    <w:t>104</w:t>
                  </w:r>
                </w:p>
              </w:tc>
              <w:tc>
                <w:tcPr>
                  <w:tcW w:w="1403" w:type="dxa"/>
                  <w:tcBorders>
                    <w:top w:val="single" w:color="auto" w:sz="4" w:space="0"/>
                    <w:bottom w:val="single" w:color="auto" w:sz="4" w:space="0"/>
                  </w:tcBorders>
                  <w:vAlign w:val="center"/>
                </w:tcPr>
                <w:p w14:paraId="31364C9E">
                  <w:pPr>
                    <w:pStyle w:val="5"/>
                    <w:bidi w:val="0"/>
                    <w:rPr>
                      <w:rFonts w:hint="default" w:eastAsia="宋体"/>
                      <w:lang w:val="en-US" w:eastAsia="zh-CN"/>
                    </w:rPr>
                  </w:pPr>
                  <w:r>
                    <w:rPr>
                      <w:rFonts w:hint="eastAsia"/>
                      <w:lang w:val="en-US" w:eastAsia="zh-CN"/>
                    </w:rPr>
                    <w:t>0.5</w:t>
                  </w:r>
                </w:p>
              </w:tc>
              <w:tc>
                <w:tcPr>
                  <w:tcW w:w="879" w:type="dxa"/>
                  <w:tcBorders>
                    <w:top w:val="single" w:color="auto" w:sz="4" w:space="0"/>
                    <w:bottom w:val="single" w:color="auto" w:sz="4" w:space="0"/>
                  </w:tcBorders>
                  <w:vAlign w:val="center"/>
                </w:tcPr>
                <w:p w14:paraId="480DAE07">
                  <w:pPr>
                    <w:pStyle w:val="5"/>
                    <w:bidi w:val="0"/>
                    <w:rPr>
                      <w:rFonts w:hint="eastAsia" w:eastAsia="宋体"/>
                      <w:lang w:val="en-US" w:eastAsia="zh-CN"/>
                    </w:rPr>
                  </w:pPr>
                  <w:r>
                    <w:rPr>
                      <w:rFonts w:hint="eastAsia"/>
                      <w:lang w:val="en-US" w:eastAsia="zh-CN"/>
                    </w:rPr>
                    <w:t>2</w:t>
                  </w:r>
                </w:p>
              </w:tc>
              <w:tc>
                <w:tcPr>
                  <w:tcW w:w="1076" w:type="dxa"/>
                  <w:tcBorders>
                    <w:top w:val="single" w:color="auto" w:sz="4" w:space="0"/>
                    <w:bottom w:val="single" w:color="auto" w:sz="4" w:space="0"/>
                  </w:tcBorders>
                  <w:vAlign w:val="center"/>
                </w:tcPr>
                <w:p w14:paraId="43B2217C">
                  <w:pPr>
                    <w:pStyle w:val="5"/>
                    <w:bidi w:val="0"/>
                    <w:rPr>
                      <w:rFonts w:hint="default"/>
                      <w:lang w:val="en-US" w:eastAsia="zh-CN"/>
                    </w:rPr>
                  </w:pPr>
                  <w:r>
                    <w:rPr>
                      <w:rFonts w:hint="eastAsia"/>
                      <w:lang w:val="en-US" w:eastAsia="zh-CN"/>
                    </w:rPr>
                    <w:t>0.0520</w:t>
                  </w:r>
                </w:p>
              </w:tc>
            </w:tr>
          </w:tbl>
          <w:p w14:paraId="6975AFA8">
            <w:pPr>
              <w:pStyle w:val="38"/>
              <w:ind w:firstLine="480"/>
            </w:pPr>
            <w:r>
              <w:rPr>
                <w:color w:val="auto"/>
              </w:rPr>
              <w:t>根据上表，为减少事故状态下废气对周边环境的影响，环评要求非正常工况下拟采取措施为：</w:t>
            </w:r>
            <w:r>
              <w:rPr>
                <w:rFonts w:hint="eastAsia"/>
                <w:color w:val="auto"/>
                <w:lang w:val="en-US" w:eastAsia="zh-CN"/>
              </w:rPr>
              <w:t>及时更换活性炭、</w:t>
            </w:r>
            <w:r>
              <w:rPr>
                <w:color w:val="auto"/>
              </w:rPr>
              <w:t>定期对废气治理设施进行维护、保养，确保环保设施正常运行</w:t>
            </w:r>
            <w:r>
              <w:rPr>
                <w:rFonts w:hint="eastAsia"/>
                <w:color w:val="auto"/>
                <w:lang w:eastAsia="zh-CN"/>
              </w:rPr>
              <w:t>。</w:t>
            </w:r>
            <w:r>
              <w:rPr>
                <w:color w:val="auto"/>
              </w:rPr>
              <w:t>一旦发现设施运行异常，应立即停止生产，检修设备，待设施正常运行后才可恢复生产。另外，检修后，开机时环保设施需先行启动，停机时环保设施延后停机。</w:t>
            </w:r>
          </w:p>
          <w:p w14:paraId="3767992A">
            <w:pPr>
              <w:pStyle w:val="38"/>
              <w:ind w:firstLine="480"/>
              <w:rPr>
                <w:rFonts w:hint="default"/>
              </w:rPr>
            </w:pPr>
            <w:r>
              <w:rPr>
                <w:rFonts w:hint="default"/>
                <w:lang w:val="en-US" w:eastAsia="zh-CN"/>
              </w:rPr>
              <w:t>4</w:t>
            </w:r>
            <w:r>
              <w:rPr>
                <w:rFonts w:hint="default"/>
              </w:rPr>
              <w:t>、卫生防护距离</w:t>
            </w:r>
          </w:p>
          <w:p w14:paraId="288DAECD">
            <w:pPr>
              <w:pStyle w:val="38"/>
              <w:ind w:firstLine="480"/>
              <w:rPr>
                <w:rFonts w:hint="default"/>
              </w:rPr>
            </w:pPr>
            <w:r>
              <w:rPr>
                <w:rFonts w:hint="default"/>
              </w:rPr>
              <w:t>（1）计算公式及参数选取</w:t>
            </w:r>
          </w:p>
          <w:p w14:paraId="2F7072CB">
            <w:pPr>
              <w:pStyle w:val="38"/>
              <w:ind w:firstLine="480"/>
              <w:rPr>
                <w:rFonts w:hint="default"/>
              </w:rPr>
            </w:pPr>
            <w:r>
              <w:rPr>
                <w:rFonts w:hint="default"/>
              </w:rPr>
              <w:t>根据《大气有害物质无组织排放卫生防护距离推导技术导则》（GB/T39499-2020）中对卫生防护距离的定义，卫生防护距离是指为了防控通过无组织排放的大气污染物的健康危害，产生大气有害物质的生产单元（生产车间或作业场所）的边界至敏感区边界的最小距离。卫生防护距离的计算公式如下：</w:t>
            </w:r>
          </w:p>
          <w:p w14:paraId="11EFA918">
            <w:pPr>
              <w:pStyle w:val="38"/>
              <w:ind w:firstLine="480"/>
              <w:jc w:val="center"/>
              <w:rPr>
                <w:rFonts w:hint="default"/>
              </w:rPr>
            </w:pPr>
            <w:r>
              <w:rPr>
                <w:rFonts w:hint="default"/>
              </w:rPr>
              <w:object>
                <v:shape id="_x0000_i1030" o:spt="75" type="#_x0000_t75" style="height:39.4pt;width:160.4pt;" o:ole="t" filled="f" o:preferrelative="t" stroked="f" coordsize="21600,21600">
                  <v:path/>
                  <v:fill on="f" focussize="0,0"/>
                  <v:stroke on="f"/>
                  <v:imagedata r:id="rId35" o:title=""/>
                  <o:lock v:ext="edit" aspectratio="t"/>
                  <w10:wrap type="none"/>
                  <w10:anchorlock/>
                </v:shape>
                <o:OLEObject Type="Embed" ProgID="Equation.3" ShapeID="_x0000_i1030" DrawAspect="Content" ObjectID="_1468075730" r:id="rId34">
                  <o:LockedField>false</o:LockedField>
                </o:OLEObject>
              </w:object>
            </w:r>
          </w:p>
          <w:p w14:paraId="1D12BA4E">
            <w:pPr>
              <w:pStyle w:val="38"/>
              <w:ind w:firstLine="480"/>
              <w:rPr>
                <w:rFonts w:hint="default"/>
              </w:rPr>
            </w:pPr>
            <w:r>
              <w:rPr>
                <w:rFonts w:hint="default"/>
              </w:rPr>
              <w:t>式中：Qc—大气有害物质的无组织排放量，kg/h；</w:t>
            </w:r>
          </w:p>
          <w:p w14:paraId="623A3965">
            <w:pPr>
              <w:pStyle w:val="38"/>
              <w:ind w:firstLine="1200" w:firstLineChars="500"/>
              <w:rPr>
                <w:rFonts w:hint="default"/>
              </w:rPr>
            </w:pPr>
            <w:r>
              <w:rPr>
                <w:rFonts w:hint="default"/>
              </w:rPr>
              <w:t>Cm—大气有害物质环境空气质量标准的标准限值，mg/m</w:t>
            </w:r>
            <w:r>
              <w:rPr>
                <w:rFonts w:hint="default"/>
                <w:vertAlign w:val="superscript"/>
              </w:rPr>
              <w:t>3</w:t>
            </w:r>
            <w:r>
              <w:rPr>
                <w:rFonts w:hint="default"/>
              </w:rPr>
              <w:t>；</w:t>
            </w:r>
          </w:p>
          <w:p w14:paraId="0E2DE674">
            <w:pPr>
              <w:pStyle w:val="38"/>
              <w:ind w:firstLine="1200" w:firstLineChars="500"/>
              <w:rPr>
                <w:rFonts w:hint="default"/>
              </w:rPr>
            </w:pPr>
            <w:r>
              <w:rPr>
                <w:rFonts w:hint="default"/>
              </w:rPr>
              <w:t>L—大气有害物质卫生防护距离初值，m；</w:t>
            </w:r>
          </w:p>
          <w:p w14:paraId="7F98C2C9">
            <w:pPr>
              <w:pStyle w:val="38"/>
              <w:ind w:firstLine="1200" w:firstLineChars="500"/>
              <w:rPr>
                <w:rFonts w:hint="default"/>
              </w:rPr>
            </w:pPr>
            <w:r>
              <w:rPr>
                <w:rFonts w:hint="default"/>
              </w:rPr>
              <w:t>r—大气有害物质无组织排放源所在生产单元的等效半径，m，根据生产单元占地面积S（m</w:t>
            </w:r>
            <w:r>
              <w:rPr>
                <w:rFonts w:hint="default"/>
                <w:vertAlign w:val="superscript"/>
              </w:rPr>
              <w:t>2</w:t>
            </w:r>
            <w:r>
              <w:rPr>
                <w:rFonts w:hint="default"/>
              </w:rPr>
              <w:t>）计算，r＝(S/π)0.5；</w:t>
            </w:r>
          </w:p>
          <w:p w14:paraId="29F0D715">
            <w:pPr>
              <w:pStyle w:val="38"/>
              <w:ind w:firstLine="480"/>
              <w:rPr>
                <w:rFonts w:hint="default"/>
              </w:rPr>
            </w:pPr>
            <w:r>
              <w:rPr>
                <w:rFonts w:hint="default"/>
              </w:rPr>
              <w:t>B、C、D——卫生防护距离初值计算系数（无因次），根据工业企业所在地区近5年平均风速及大气污染源构成类别从《大气有害物质无组织排放卫生防护距离推导技术导则》（GB/T39499-2020）表1中选取。</w:t>
            </w:r>
          </w:p>
          <w:p w14:paraId="03D4D087">
            <w:pPr>
              <w:pStyle w:val="7"/>
              <w:rPr>
                <w:rFonts w:hint="default"/>
              </w:rPr>
            </w:pPr>
            <w:r>
              <w:rPr>
                <w:rFonts w:hint="eastAsia"/>
                <w:lang w:val="en-US" w:eastAsia="zh-CN"/>
              </w:rPr>
              <w:t xml:space="preserve">表4-5  </w:t>
            </w:r>
            <w:r>
              <w:rPr>
                <w:rFonts w:hint="default"/>
              </w:rPr>
              <w:t>卫生防护距离初值计算系数</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2"/>
              <w:gridCol w:w="1424"/>
              <w:gridCol w:w="1008"/>
              <w:gridCol w:w="790"/>
              <w:gridCol w:w="823"/>
              <w:gridCol w:w="631"/>
              <w:gridCol w:w="631"/>
              <w:gridCol w:w="630"/>
              <w:gridCol w:w="631"/>
              <w:gridCol w:w="631"/>
              <w:gridCol w:w="634"/>
            </w:tblGrid>
            <w:tr w14:paraId="4E15FC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restart"/>
                  <w:tcBorders>
                    <w:tl2br w:val="nil"/>
                    <w:tr2bl w:val="nil"/>
                  </w:tcBorders>
                  <w:noWrap w:val="0"/>
                  <w:vAlign w:val="center"/>
                </w:tcPr>
                <w:p w14:paraId="3A37293C">
                  <w:pPr>
                    <w:pStyle w:val="5"/>
                    <w:rPr>
                      <w:rFonts w:hint="default"/>
                      <w:b/>
                      <w:bCs/>
                    </w:rPr>
                  </w:pPr>
                  <w:r>
                    <w:rPr>
                      <w:rFonts w:hint="default"/>
                      <w:b/>
                      <w:bCs/>
                    </w:rPr>
                    <w:t>计算系数</w:t>
                  </w:r>
                </w:p>
              </w:tc>
              <w:tc>
                <w:tcPr>
                  <w:tcW w:w="1453" w:type="dxa"/>
                  <w:vMerge w:val="restart"/>
                  <w:tcBorders>
                    <w:tl2br w:val="nil"/>
                    <w:tr2bl w:val="nil"/>
                  </w:tcBorders>
                  <w:noWrap w:val="0"/>
                  <w:vAlign w:val="center"/>
                </w:tcPr>
                <w:p w14:paraId="2AE0A331">
                  <w:pPr>
                    <w:pStyle w:val="5"/>
                    <w:rPr>
                      <w:rFonts w:hint="default"/>
                      <w:b/>
                      <w:bCs/>
                    </w:rPr>
                  </w:pPr>
                  <w:r>
                    <w:rPr>
                      <w:rFonts w:hint="default"/>
                      <w:b/>
                      <w:bCs/>
                    </w:rPr>
                    <w:t>5年平均风速</w:t>
                  </w:r>
                </w:p>
                <w:p w14:paraId="664FD960">
                  <w:pPr>
                    <w:pStyle w:val="5"/>
                    <w:rPr>
                      <w:rFonts w:hint="default"/>
                      <w:b/>
                      <w:bCs/>
                    </w:rPr>
                  </w:pPr>
                  <w:r>
                    <w:rPr>
                      <w:rFonts w:hint="default"/>
                      <w:b/>
                      <w:bCs/>
                    </w:rPr>
                    <w:t>m/s</w:t>
                  </w:r>
                </w:p>
              </w:tc>
              <w:tc>
                <w:tcPr>
                  <w:tcW w:w="6540" w:type="dxa"/>
                  <w:gridSpan w:val="9"/>
                  <w:tcBorders>
                    <w:tl2br w:val="nil"/>
                    <w:tr2bl w:val="nil"/>
                  </w:tcBorders>
                  <w:noWrap w:val="0"/>
                  <w:vAlign w:val="center"/>
                </w:tcPr>
                <w:p w14:paraId="40A8437D">
                  <w:pPr>
                    <w:pStyle w:val="5"/>
                    <w:rPr>
                      <w:rFonts w:hint="default"/>
                      <w:b/>
                      <w:bCs/>
                    </w:rPr>
                  </w:pPr>
                  <w:r>
                    <w:rPr>
                      <w:rFonts w:hint="default"/>
                      <w:b/>
                      <w:bCs/>
                    </w:rPr>
                    <w:t>卫生防护距离L</w:t>
                  </w:r>
                </w:p>
                <w:p w14:paraId="67D03AAE">
                  <w:pPr>
                    <w:pStyle w:val="5"/>
                    <w:rPr>
                      <w:rFonts w:hint="default"/>
                      <w:b/>
                      <w:bCs/>
                    </w:rPr>
                  </w:pPr>
                  <w:r>
                    <w:rPr>
                      <w:rFonts w:hint="default"/>
                      <w:b/>
                      <w:bCs/>
                    </w:rPr>
                    <w:t>（m）</w:t>
                  </w:r>
                </w:p>
              </w:tc>
            </w:tr>
            <w:tr w14:paraId="6F00BE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26CA59B0">
                  <w:pPr>
                    <w:pStyle w:val="5"/>
                    <w:rPr>
                      <w:rFonts w:hint="default"/>
                    </w:rPr>
                  </w:pPr>
                </w:p>
              </w:tc>
              <w:tc>
                <w:tcPr>
                  <w:tcW w:w="1453" w:type="dxa"/>
                  <w:vMerge w:val="continue"/>
                  <w:tcBorders>
                    <w:tl2br w:val="nil"/>
                    <w:tr2bl w:val="nil"/>
                  </w:tcBorders>
                  <w:noWrap w:val="0"/>
                  <w:vAlign w:val="center"/>
                </w:tcPr>
                <w:p w14:paraId="2E15A863">
                  <w:pPr>
                    <w:pStyle w:val="5"/>
                    <w:rPr>
                      <w:rFonts w:hint="default"/>
                    </w:rPr>
                  </w:pPr>
                </w:p>
              </w:tc>
              <w:tc>
                <w:tcPr>
                  <w:tcW w:w="2675" w:type="dxa"/>
                  <w:gridSpan w:val="3"/>
                  <w:tcBorders>
                    <w:tl2br w:val="nil"/>
                    <w:tr2bl w:val="nil"/>
                  </w:tcBorders>
                  <w:noWrap w:val="0"/>
                  <w:vAlign w:val="center"/>
                </w:tcPr>
                <w:p w14:paraId="74312692">
                  <w:pPr>
                    <w:pStyle w:val="5"/>
                    <w:rPr>
                      <w:rFonts w:hint="default"/>
                    </w:rPr>
                  </w:pPr>
                  <w:r>
                    <w:rPr>
                      <w:rFonts w:hint="default"/>
                    </w:rPr>
                    <w:t>L≤1000</w:t>
                  </w:r>
                </w:p>
              </w:tc>
              <w:tc>
                <w:tcPr>
                  <w:tcW w:w="1931" w:type="dxa"/>
                  <w:gridSpan w:val="3"/>
                  <w:tcBorders>
                    <w:tl2br w:val="nil"/>
                    <w:tr2bl w:val="nil"/>
                  </w:tcBorders>
                  <w:noWrap w:val="0"/>
                  <w:vAlign w:val="center"/>
                </w:tcPr>
                <w:p w14:paraId="4DFCFB29">
                  <w:pPr>
                    <w:pStyle w:val="5"/>
                    <w:rPr>
                      <w:rFonts w:hint="default"/>
                    </w:rPr>
                  </w:pPr>
                  <w:r>
                    <w:rPr>
                      <w:rFonts w:hint="default"/>
                    </w:rPr>
                    <w:t>1000＜L≤2000</w:t>
                  </w:r>
                </w:p>
              </w:tc>
              <w:tc>
                <w:tcPr>
                  <w:tcW w:w="1934" w:type="dxa"/>
                  <w:gridSpan w:val="3"/>
                  <w:tcBorders>
                    <w:tl2br w:val="nil"/>
                    <w:tr2bl w:val="nil"/>
                  </w:tcBorders>
                  <w:noWrap w:val="0"/>
                  <w:vAlign w:val="center"/>
                </w:tcPr>
                <w:p w14:paraId="2177225F">
                  <w:pPr>
                    <w:pStyle w:val="5"/>
                    <w:rPr>
                      <w:rFonts w:hint="default"/>
                    </w:rPr>
                  </w:pPr>
                  <w:r>
                    <w:rPr>
                      <w:rFonts w:hint="default"/>
                    </w:rPr>
                    <w:t>L＞2000</w:t>
                  </w:r>
                </w:p>
              </w:tc>
            </w:tr>
            <w:tr w14:paraId="22AE90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57280044">
                  <w:pPr>
                    <w:pStyle w:val="5"/>
                    <w:rPr>
                      <w:rFonts w:hint="default"/>
                    </w:rPr>
                  </w:pPr>
                </w:p>
              </w:tc>
              <w:tc>
                <w:tcPr>
                  <w:tcW w:w="1453" w:type="dxa"/>
                  <w:vMerge w:val="continue"/>
                  <w:tcBorders>
                    <w:tl2br w:val="nil"/>
                    <w:tr2bl w:val="nil"/>
                  </w:tcBorders>
                  <w:noWrap w:val="0"/>
                  <w:vAlign w:val="center"/>
                </w:tcPr>
                <w:p w14:paraId="7FF75426">
                  <w:pPr>
                    <w:pStyle w:val="5"/>
                    <w:rPr>
                      <w:rFonts w:hint="default"/>
                    </w:rPr>
                  </w:pPr>
                </w:p>
              </w:tc>
              <w:tc>
                <w:tcPr>
                  <w:tcW w:w="6540" w:type="dxa"/>
                  <w:gridSpan w:val="9"/>
                  <w:tcBorders>
                    <w:tl2br w:val="nil"/>
                    <w:tr2bl w:val="nil"/>
                  </w:tcBorders>
                  <w:noWrap w:val="0"/>
                  <w:vAlign w:val="center"/>
                </w:tcPr>
                <w:p w14:paraId="27ED62AF">
                  <w:pPr>
                    <w:pStyle w:val="5"/>
                    <w:rPr>
                      <w:rFonts w:hint="default"/>
                    </w:rPr>
                  </w:pPr>
                  <w:r>
                    <w:rPr>
                      <w:rFonts w:hint="default"/>
                    </w:rPr>
                    <w:t>工业大气污染源构成类别</w:t>
                  </w:r>
                </w:p>
              </w:tc>
            </w:tr>
            <w:tr w14:paraId="1A9F20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5FCB03C4">
                  <w:pPr>
                    <w:pStyle w:val="5"/>
                    <w:rPr>
                      <w:rFonts w:hint="default"/>
                    </w:rPr>
                  </w:pPr>
                </w:p>
              </w:tc>
              <w:tc>
                <w:tcPr>
                  <w:tcW w:w="1453" w:type="dxa"/>
                  <w:vMerge w:val="continue"/>
                  <w:tcBorders>
                    <w:tl2br w:val="nil"/>
                    <w:tr2bl w:val="nil"/>
                  </w:tcBorders>
                  <w:noWrap w:val="0"/>
                  <w:vAlign w:val="center"/>
                </w:tcPr>
                <w:p w14:paraId="14144C6F">
                  <w:pPr>
                    <w:pStyle w:val="5"/>
                    <w:rPr>
                      <w:rFonts w:hint="default"/>
                    </w:rPr>
                  </w:pPr>
                </w:p>
              </w:tc>
              <w:tc>
                <w:tcPr>
                  <w:tcW w:w="1029" w:type="dxa"/>
                  <w:tcBorders>
                    <w:tl2br w:val="nil"/>
                    <w:tr2bl w:val="nil"/>
                  </w:tcBorders>
                  <w:noWrap w:val="0"/>
                  <w:vAlign w:val="center"/>
                </w:tcPr>
                <w:p w14:paraId="2D33845E">
                  <w:pPr>
                    <w:pStyle w:val="5"/>
                    <w:rPr>
                      <w:rFonts w:hint="default"/>
                    </w:rPr>
                  </w:pPr>
                  <w:r>
                    <w:rPr>
                      <w:rFonts w:hint="default"/>
                    </w:rPr>
                    <w:t>Ⅰ</w:t>
                  </w:r>
                </w:p>
              </w:tc>
              <w:tc>
                <w:tcPr>
                  <w:tcW w:w="806" w:type="dxa"/>
                  <w:tcBorders>
                    <w:tl2br w:val="nil"/>
                    <w:tr2bl w:val="nil"/>
                  </w:tcBorders>
                  <w:noWrap w:val="0"/>
                  <w:vAlign w:val="center"/>
                </w:tcPr>
                <w:p w14:paraId="2EAC3AF0">
                  <w:pPr>
                    <w:pStyle w:val="5"/>
                    <w:rPr>
                      <w:rFonts w:hint="default"/>
                    </w:rPr>
                  </w:pPr>
                  <w:r>
                    <w:rPr>
                      <w:rFonts w:hint="default"/>
                    </w:rPr>
                    <w:t>Ⅱ</w:t>
                  </w:r>
                </w:p>
              </w:tc>
              <w:tc>
                <w:tcPr>
                  <w:tcW w:w="840" w:type="dxa"/>
                  <w:tcBorders>
                    <w:tl2br w:val="nil"/>
                    <w:tr2bl w:val="nil"/>
                  </w:tcBorders>
                  <w:noWrap w:val="0"/>
                  <w:vAlign w:val="center"/>
                </w:tcPr>
                <w:p w14:paraId="7E3B92F5">
                  <w:pPr>
                    <w:pStyle w:val="5"/>
                    <w:rPr>
                      <w:rFonts w:hint="default"/>
                    </w:rPr>
                  </w:pPr>
                  <w:r>
                    <w:rPr>
                      <w:rFonts w:hint="default"/>
                    </w:rPr>
                    <w:t>Ⅲ</w:t>
                  </w:r>
                </w:p>
              </w:tc>
              <w:tc>
                <w:tcPr>
                  <w:tcW w:w="644" w:type="dxa"/>
                  <w:tcBorders>
                    <w:tl2br w:val="nil"/>
                    <w:tr2bl w:val="nil"/>
                  </w:tcBorders>
                  <w:noWrap w:val="0"/>
                  <w:vAlign w:val="center"/>
                </w:tcPr>
                <w:p w14:paraId="74D8BF7B">
                  <w:pPr>
                    <w:pStyle w:val="5"/>
                    <w:rPr>
                      <w:rFonts w:hint="default"/>
                    </w:rPr>
                  </w:pPr>
                  <w:r>
                    <w:rPr>
                      <w:rFonts w:hint="default"/>
                    </w:rPr>
                    <w:t>Ⅰ</w:t>
                  </w:r>
                </w:p>
              </w:tc>
              <w:tc>
                <w:tcPr>
                  <w:tcW w:w="644" w:type="dxa"/>
                  <w:tcBorders>
                    <w:tl2br w:val="nil"/>
                    <w:tr2bl w:val="nil"/>
                  </w:tcBorders>
                  <w:noWrap w:val="0"/>
                  <w:vAlign w:val="center"/>
                </w:tcPr>
                <w:p w14:paraId="7DBF7F8A">
                  <w:pPr>
                    <w:pStyle w:val="5"/>
                    <w:rPr>
                      <w:rFonts w:hint="default"/>
                    </w:rPr>
                  </w:pPr>
                  <w:r>
                    <w:rPr>
                      <w:rFonts w:hint="default"/>
                    </w:rPr>
                    <w:t>Ⅱ</w:t>
                  </w:r>
                </w:p>
              </w:tc>
              <w:tc>
                <w:tcPr>
                  <w:tcW w:w="643" w:type="dxa"/>
                  <w:tcBorders>
                    <w:tl2br w:val="nil"/>
                    <w:tr2bl w:val="nil"/>
                  </w:tcBorders>
                  <w:noWrap w:val="0"/>
                  <w:vAlign w:val="center"/>
                </w:tcPr>
                <w:p w14:paraId="28475F13">
                  <w:pPr>
                    <w:pStyle w:val="5"/>
                    <w:rPr>
                      <w:rFonts w:hint="default"/>
                    </w:rPr>
                  </w:pPr>
                  <w:r>
                    <w:rPr>
                      <w:rFonts w:hint="default"/>
                    </w:rPr>
                    <w:t>Ⅲ</w:t>
                  </w:r>
                </w:p>
              </w:tc>
              <w:tc>
                <w:tcPr>
                  <w:tcW w:w="644" w:type="dxa"/>
                  <w:tcBorders>
                    <w:tl2br w:val="nil"/>
                    <w:tr2bl w:val="nil"/>
                  </w:tcBorders>
                  <w:noWrap w:val="0"/>
                  <w:vAlign w:val="center"/>
                </w:tcPr>
                <w:p w14:paraId="006F8FCA">
                  <w:pPr>
                    <w:pStyle w:val="5"/>
                    <w:rPr>
                      <w:rFonts w:hint="default"/>
                    </w:rPr>
                  </w:pPr>
                  <w:r>
                    <w:rPr>
                      <w:rFonts w:hint="default"/>
                    </w:rPr>
                    <w:t>Ⅰ</w:t>
                  </w:r>
                </w:p>
              </w:tc>
              <w:tc>
                <w:tcPr>
                  <w:tcW w:w="644" w:type="dxa"/>
                  <w:tcBorders>
                    <w:tl2br w:val="nil"/>
                    <w:tr2bl w:val="nil"/>
                  </w:tcBorders>
                  <w:noWrap w:val="0"/>
                  <w:vAlign w:val="center"/>
                </w:tcPr>
                <w:p w14:paraId="4EECC443">
                  <w:pPr>
                    <w:pStyle w:val="5"/>
                    <w:rPr>
                      <w:rFonts w:hint="default"/>
                    </w:rPr>
                  </w:pPr>
                  <w:r>
                    <w:rPr>
                      <w:rFonts w:hint="default"/>
                    </w:rPr>
                    <w:t>Ⅱ</w:t>
                  </w:r>
                </w:p>
              </w:tc>
              <w:tc>
                <w:tcPr>
                  <w:tcW w:w="646" w:type="dxa"/>
                  <w:tcBorders>
                    <w:tl2br w:val="nil"/>
                    <w:tr2bl w:val="nil"/>
                  </w:tcBorders>
                  <w:noWrap w:val="0"/>
                  <w:vAlign w:val="center"/>
                </w:tcPr>
                <w:p w14:paraId="1F63AB34">
                  <w:pPr>
                    <w:pStyle w:val="5"/>
                    <w:rPr>
                      <w:rFonts w:hint="default"/>
                    </w:rPr>
                  </w:pPr>
                  <w:r>
                    <w:rPr>
                      <w:rFonts w:hint="default"/>
                    </w:rPr>
                    <w:t>Ⅲ</w:t>
                  </w:r>
                </w:p>
              </w:tc>
            </w:tr>
            <w:tr w14:paraId="5DCCAE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restart"/>
                  <w:tcBorders>
                    <w:tl2br w:val="nil"/>
                    <w:tr2bl w:val="nil"/>
                  </w:tcBorders>
                  <w:noWrap w:val="0"/>
                  <w:vAlign w:val="center"/>
                </w:tcPr>
                <w:p w14:paraId="52F5F3A2">
                  <w:pPr>
                    <w:pStyle w:val="5"/>
                    <w:rPr>
                      <w:rFonts w:hint="default"/>
                    </w:rPr>
                  </w:pPr>
                  <w:r>
                    <w:rPr>
                      <w:rFonts w:hint="default"/>
                    </w:rPr>
                    <w:t>A</w:t>
                  </w:r>
                </w:p>
              </w:tc>
              <w:tc>
                <w:tcPr>
                  <w:tcW w:w="1453" w:type="dxa"/>
                  <w:tcBorders>
                    <w:tl2br w:val="nil"/>
                    <w:tr2bl w:val="nil"/>
                  </w:tcBorders>
                  <w:noWrap w:val="0"/>
                  <w:vAlign w:val="center"/>
                </w:tcPr>
                <w:p w14:paraId="40058CD3">
                  <w:pPr>
                    <w:pStyle w:val="5"/>
                    <w:rPr>
                      <w:rFonts w:hint="default"/>
                    </w:rPr>
                  </w:pPr>
                  <w:r>
                    <w:rPr>
                      <w:rFonts w:hint="default"/>
                    </w:rPr>
                    <w:t>&lt;2</w:t>
                  </w:r>
                </w:p>
              </w:tc>
              <w:tc>
                <w:tcPr>
                  <w:tcW w:w="1029" w:type="dxa"/>
                  <w:tcBorders>
                    <w:tl2br w:val="nil"/>
                    <w:tr2bl w:val="nil"/>
                  </w:tcBorders>
                  <w:noWrap w:val="0"/>
                  <w:vAlign w:val="center"/>
                </w:tcPr>
                <w:p w14:paraId="0FACF244">
                  <w:pPr>
                    <w:pStyle w:val="5"/>
                    <w:rPr>
                      <w:rFonts w:hint="default"/>
                    </w:rPr>
                  </w:pPr>
                  <w:r>
                    <w:rPr>
                      <w:rFonts w:hint="default"/>
                    </w:rPr>
                    <w:t>400</w:t>
                  </w:r>
                </w:p>
              </w:tc>
              <w:tc>
                <w:tcPr>
                  <w:tcW w:w="806" w:type="dxa"/>
                  <w:tcBorders>
                    <w:tl2br w:val="nil"/>
                    <w:tr2bl w:val="nil"/>
                  </w:tcBorders>
                  <w:noWrap w:val="0"/>
                  <w:vAlign w:val="center"/>
                </w:tcPr>
                <w:p w14:paraId="1B1F9A4F">
                  <w:pPr>
                    <w:pStyle w:val="5"/>
                    <w:rPr>
                      <w:rFonts w:hint="default"/>
                    </w:rPr>
                  </w:pPr>
                  <w:r>
                    <w:rPr>
                      <w:rFonts w:hint="default"/>
                    </w:rPr>
                    <w:t>400</w:t>
                  </w:r>
                </w:p>
              </w:tc>
              <w:tc>
                <w:tcPr>
                  <w:tcW w:w="840" w:type="dxa"/>
                  <w:tcBorders>
                    <w:tl2br w:val="nil"/>
                    <w:tr2bl w:val="nil"/>
                  </w:tcBorders>
                  <w:noWrap w:val="0"/>
                  <w:vAlign w:val="center"/>
                </w:tcPr>
                <w:p w14:paraId="331D5768">
                  <w:pPr>
                    <w:pStyle w:val="5"/>
                    <w:rPr>
                      <w:rFonts w:hint="default"/>
                    </w:rPr>
                  </w:pPr>
                  <w:r>
                    <w:rPr>
                      <w:rFonts w:hint="default"/>
                    </w:rPr>
                    <w:t>400</w:t>
                  </w:r>
                </w:p>
              </w:tc>
              <w:tc>
                <w:tcPr>
                  <w:tcW w:w="644" w:type="dxa"/>
                  <w:tcBorders>
                    <w:tl2br w:val="nil"/>
                    <w:tr2bl w:val="nil"/>
                  </w:tcBorders>
                  <w:noWrap w:val="0"/>
                  <w:vAlign w:val="center"/>
                </w:tcPr>
                <w:p w14:paraId="0B2AC1E0">
                  <w:pPr>
                    <w:pStyle w:val="5"/>
                    <w:rPr>
                      <w:rFonts w:hint="default"/>
                    </w:rPr>
                  </w:pPr>
                  <w:r>
                    <w:rPr>
                      <w:rFonts w:hint="default"/>
                    </w:rPr>
                    <w:t>400</w:t>
                  </w:r>
                </w:p>
              </w:tc>
              <w:tc>
                <w:tcPr>
                  <w:tcW w:w="644" w:type="dxa"/>
                  <w:tcBorders>
                    <w:tl2br w:val="nil"/>
                    <w:tr2bl w:val="nil"/>
                  </w:tcBorders>
                  <w:noWrap w:val="0"/>
                  <w:vAlign w:val="center"/>
                </w:tcPr>
                <w:p w14:paraId="4B5AB172">
                  <w:pPr>
                    <w:pStyle w:val="5"/>
                    <w:rPr>
                      <w:rFonts w:hint="default"/>
                    </w:rPr>
                  </w:pPr>
                  <w:r>
                    <w:rPr>
                      <w:rFonts w:hint="default"/>
                    </w:rPr>
                    <w:t>400</w:t>
                  </w:r>
                </w:p>
              </w:tc>
              <w:tc>
                <w:tcPr>
                  <w:tcW w:w="643" w:type="dxa"/>
                  <w:tcBorders>
                    <w:tl2br w:val="nil"/>
                    <w:tr2bl w:val="nil"/>
                  </w:tcBorders>
                  <w:noWrap w:val="0"/>
                  <w:vAlign w:val="center"/>
                </w:tcPr>
                <w:p w14:paraId="66ABD982">
                  <w:pPr>
                    <w:pStyle w:val="5"/>
                    <w:rPr>
                      <w:rFonts w:hint="default"/>
                    </w:rPr>
                  </w:pPr>
                  <w:r>
                    <w:rPr>
                      <w:rFonts w:hint="default"/>
                    </w:rPr>
                    <w:t>400</w:t>
                  </w:r>
                </w:p>
              </w:tc>
              <w:tc>
                <w:tcPr>
                  <w:tcW w:w="644" w:type="dxa"/>
                  <w:tcBorders>
                    <w:tl2br w:val="nil"/>
                    <w:tr2bl w:val="nil"/>
                  </w:tcBorders>
                  <w:noWrap w:val="0"/>
                  <w:vAlign w:val="center"/>
                </w:tcPr>
                <w:p w14:paraId="7D3BBAB9">
                  <w:pPr>
                    <w:pStyle w:val="5"/>
                    <w:rPr>
                      <w:rFonts w:hint="default"/>
                    </w:rPr>
                  </w:pPr>
                  <w:r>
                    <w:rPr>
                      <w:rFonts w:hint="default"/>
                    </w:rPr>
                    <w:t>80</w:t>
                  </w:r>
                </w:p>
              </w:tc>
              <w:tc>
                <w:tcPr>
                  <w:tcW w:w="644" w:type="dxa"/>
                  <w:tcBorders>
                    <w:tl2br w:val="nil"/>
                    <w:tr2bl w:val="nil"/>
                  </w:tcBorders>
                  <w:noWrap w:val="0"/>
                  <w:vAlign w:val="center"/>
                </w:tcPr>
                <w:p w14:paraId="611F391C">
                  <w:pPr>
                    <w:pStyle w:val="5"/>
                    <w:rPr>
                      <w:rFonts w:hint="default"/>
                    </w:rPr>
                  </w:pPr>
                  <w:r>
                    <w:rPr>
                      <w:rFonts w:hint="default"/>
                    </w:rPr>
                    <w:t>80</w:t>
                  </w:r>
                </w:p>
              </w:tc>
              <w:tc>
                <w:tcPr>
                  <w:tcW w:w="646" w:type="dxa"/>
                  <w:tcBorders>
                    <w:tl2br w:val="nil"/>
                    <w:tr2bl w:val="nil"/>
                  </w:tcBorders>
                  <w:noWrap w:val="0"/>
                  <w:vAlign w:val="center"/>
                </w:tcPr>
                <w:p w14:paraId="1F91878A">
                  <w:pPr>
                    <w:pStyle w:val="5"/>
                    <w:rPr>
                      <w:rFonts w:hint="default"/>
                    </w:rPr>
                  </w:pPr>
                  <w:r>
                    <w:rPr>
                      <w:rFonts w:hint="default"/>
                    </w:rPr>
                    <w:t>80</w:t>
                  </w:r>
                </w:p>
              </w:tc>
            </w:tr>
            <w:tr w14:paraId="0500F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419C0D83">
                  <w:pPr>
                    <w:pStyle w:val="5"/>
                    <w:rPr>
                      <w:rFonts w:hint="default"/>
                    </w:rPr>
                  </w:pPr>
                </w:p>
              </w:tc>
              <w:tc>
                <w:tcPr>
                  <w:tcW w:w="1453" w:type="dxa"/>
                  <w:tcBorders>
                    <w:tl2br w:val="nil"/>
                    <w:tr2bl w:val="nil"/>
                  </w:tcBorders>
                  <w:noWrap w:val="0"/>
                  <w:vAlign w:val="center"/>
                </w:tcPr>
                <w:p w14:paraId="39BD79A0">
                  <w:pPr>
                    <w:pStyle w:val="5"/>
                    <w:rPr>
                      <w:rFonts w:hint="default"/>
                    </w:rPr>
                  </w:pPr>
                  <w:r>
                    <w:rPr>
                      <w:rFonts w:hint="default"/>
                    </w:rPr>
                    <w:t>2-4</w:t>
                  </w:r>
                </w:p>
              </w:tc>
              <w:tc>
                <w:tcPr>
                  <w:tcW w:w="1029" w:type="dxa"/>
                  <w:tcBorders>
                    <w:tl2br w:val="nil"/>
                    <w:tr2bl w:val="nil"/>
                  </w:tcBorders>
                  <w:noWrap w:val="0"/>
                  <w:vAlign w:val="center"/>
                </w:tcPr>
                <w:p w14:paraId="0B806F4E">
                  <w:pPr>
                    <w:pStyle w:val="5"/>
                    <w:rPr>
                      <w:rFonts w:hint="default"/>
                    </w:rPr>
                  </w:pPr>
                  <w:r>
                    <w:rPr>
                      <w:rFonts w:hint="default"/>
                    </w:rPr>
                    <w:t>700</w:t>
                  </w:r>
                </w:p>
              </w:tc>
              <w:tc>
                <w:tcPr>
                  <w:tcW w:w="806" w:type="dxa"/>
                  <w:tcBorders>
                    <w:tl2br w:val="nil"/>
                    <w:tr2bl w:val="nil"/>
                  </w:tcBorders>
                  <w:noWrap w:val="0"/>
                  <w:vAlign w:val="center"/>
                </w:tcPr>
                <w:p w14:paraId="30495285">
                  <w:pPr>
                    <w:pStyle w:val="5"/>
                    <w:rPr>
                      <w:rFonts w:hint="default"/>
                    </w:rPr>
                  </w:pPr>
                  <w:r>
                    <w:rPr>
                      <w:rFonts w:hint="default"/>
                    </w:rPr>
                    <w:t>470</w:t>
                  </w:r>
                </w:p>
              </w:tc>
              <w:tc>
                <w:tcPr>
                  <w:tcW w:w="840" w:type="dxa"/>
                  <w:tcBorders>
                    <w:tl2br w:val="nil"/>
                    <w:tr2bl w:val="nil"/>
                  </w:tcBorders>
                  <w:noWrap w:val="0"/>
                  <w:vAlign w:val="center"/>
                </w:tcPr>
                <w:p w14:paraId="69F7BFD9">
                  <w:pPr>
                    <w:pStyle w:val="5"/>
                    <w:rPr>
                      <w:rFonts w:hint="default"/>
                    </w:rPr>
                  </w:pPr>
                  <w:r>
                    <w:rPr>
                      <w:rFonts w:hint="default"/>
                    </w:rPr>
                    <w:t>350</w:t>
                  </w:r>
                </w:p>
              </w:tc>
              <w:tc>
                <w:tcPr>
                  <w:tcW w:w="644" w:type="dxa"/>
                  <w:tcBorders>
                    <w:tl2br w:val="nil"/>
                    <w:tr2bl w:val="nil"/>
                  </w:tcBorders>
                  <w:noWrap w:val="0"/>
                  <w:vAlign w:val="center"/>
                </w:tcPr>
                <w:p w14:paraId="415F0D40">
                  <w:pPr>
                    <w:pStyle w:val="5"/>
                    <w:rPr>
                      <w:rFonts w:hint="default"/>
                    </w:rPr>
                  </w:pPr>
                  <w:r>
                    <w:rPr>
                      <w:rFonts w:hint="default"/>
                    </w:rPr>
                    <w:t>700</w:t>
                  </w:r>
                </w:p>
              </w:tc>
              <w:tc>
                <w:tcPr>
                  <w:tcW w:w="644" w:type="dxa"/>
                  <w:tcBorders>
                    <w:tl2br w:val="nil"/>
                    <w:tr2bl w:val="nil"/>
                  </w:tcBorders>
                  <w:noWrap w:val="0"/>
                  <w:vAlign w:val="center"/>
                </w:tcPr>
                <w:p w14:paraId="104353F8">
                  <w:pPr>
                    <w:pStyle w:val="5"/>
                    <w:rPr>
                      <w:rFonts w:hint="default"/>
                    </w:rPr>
                  </w:pPr>
                  <w:r>
                    <w:rPr>
                      <w:rFonts w:hint="default"/>
                    </w:rPr>
                    <w:t>470</w:t>
                  </w:r>
                </w:p>
              </w:tc>
              <w:tc>
                <w:tcPr>
                  <w:tcW w:w="643" w:type="dxa"/>
                  <w:tcBorders>
                    <w:tl2br w:val="nil"/>
                    <w:tr2bl w:val="nil"/>
                  </w:tcBorders>
                  <w:noWrap w:val="0"/>
                  <w:vAlign w:val="center"/>
                </w:tcPr>
                <w:p w14:paraId="0F750A8D">
                  <w:pPr>
                    <w:pStyle w:val="5"/>
                    <w:rPr>
                      <w:rFonts w:hint="default"/>
                    </w:rPr>
                  </w:pPr>
                  <w:r>
                    <w:rPr>
                      <w:rFonts w:hint="default"/>
                    </w:rPr>
                    <w:t>350</w:t>
                  </w:r>
                </w:p>
              </w:tc>
              <w:tc>
                <w:tcPr>
                  <w:tcW w:w="644" w:type="dxa"/>
                  <w:tcBorders>
                    <w:tl2br w:val="nil"/>
                    <w:tr2bl w:val="nil"/>
                  </w:tcBorders>
                  <w:noWrap w:val="0"/>
                  <w:vAlign w:val="center"/>
                </w:tcPr>
                <w:p w14:paraId="259FD61F">
                  <w:pPr>
                    <w:pStyle w:val="5"/>
                    <w:rPr>
                      <w:rFonts w:hint="default"/>
                    </w:rPr>
                  </w:pPr>
                  <w:r>
                    <w:rPr>
                      <w:rFonts w:hint="default"/>
                    </w:rPr>
                    <w:t>380</w:t>
                  </w:r>
                </w:p>
              </w:tc>
              <w:tc>
                <w:tcPr>
                  <w:tcW w:w="644" w:type="dxa"/>
                  <w:tcBorders>
                    <w:tl2br w:val="nil"/>
                    <w:tr2bl w:val="nil"/>
                  </w:tcBorders>
                  <w:noWrap w:val="0"/>
                  <w:vAlign w:val="center"/>
                </w:tcPr>
                <w:p w14:paraId="7773CE87">
                  <w:pPr>
                    <w:pStyle w:val="5"/>
                    <w:rPr>
                      <w:rFonts w:hint="default"/>
                    </w:rPr>
                  </w:pPr>
                  <w:r>
                    <w:rPr>
                      <w:rFonts w:hint="default"/>
                    </w:rPr>
                    <w:t>250</w:t>
                  </w:r>
                </w:p>
              </w:tc>
              <w:tc>
                <w:tcPr>
                  <w:tcW w:w="646" w:type="dxa"/>
                  <w:tcBorders>
                    <w:tl2br w:val="nil"/>
                    <w:tr2bl w:val="nil"/>
                  </w:tcBorders>
                  <w:noWrap w:val="0"/>
                  <w:vAlign w:val="center"/>
                </w:tcPr>
                <w:p w14:paraId="0718796E">
                  <w:pPr>
                    <w:pStyle w:val="5"/>
                    <w:rPr>
                      <w:rFonts w:hint="default"/>
                    </w:rPr>
                  </w:pPr>
                  <w:r>
                    <w:rPr>
                      <w:rFonts w:hint="default"/>
                    </w:rPr>
                    <w:t>190</w:t>
                  </w:r>
                </w:p>
              </w:tc>
            </w:tr>
            <w:tr w14:paraId="339CC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38E6E600">
                  <w:pPr>
                    <w:pStyle w:val="5"/>
                    <w:rPr>
                      <w:rFonts w:hint="default"/>
                    </w:rPr>
                  </w:pPr>
                </w:p>
              </w:tc>
              <w:tc>
                <w:tcPr>
                  <w:tcW w:w="1453" w:type="dxa"/>
                  <w:tcBorders>
                    <w:tl2br w:val="nil"/>
                    <w:tr2bl w:val="nil"/>
                  </w:tcBorders>
                  <w:noWrap w:val="0"/>
                  <w:vAlign w:val="center"/>
                </w:tcPr>
                <w:p w14:paraId="577AE1ED">
                  <w:pPr>
                    <w:pStyle w:val="5"/>
                    <w:rPr>
                      <w:rFonts w:hint="default"/>
                    </w:rPr>
                  </w:pPr>
                  <w:r>
                    <w:rPr>
                      <w:rFonts w:hint="default"/>
                    </w:rPr>
                    <w:t>&gt;4</w:t>
                  </w:r>
                </w:p>
              </w:tc>
              <w:tc>
                <w:tcPr>
                  <w:tcW w:w="1029" w:type="dxa"/>
                  <w:tcBorders>
                    <w:tl2br w:val="nil"/>
                    <w:tr2bl w:val="nil"/>
                  </w:tcBorders>
                  <w:noWrap w:val="0"/>
                  <w:vAlign w:val="center"/>
                </w:tcPr>
                <w:p w14:paraId="27080338">
                  <w:pPr>
                    <w:pStyle w:val="5"/>
                    <w:rPr>
                      <w:rFonts w:hint="default"/>
                    </w:rPr>
                  </w:pPr>
                  <w:r>
                    <w:rPr>
                      <w:rFonts w:hint="default"/>
                    </w:rPr>
                    <w:t>530</w:t>
                  </w:r>
                </w:p>
              </w:tc>
              <w:tc>
                <w:tcPr>
                  <w:tcW w:w="806" w:type="dxa"/>
                  <w:tcBorders>
                    <w:tl2br w:val="nil"/>
                    <w:tr2bl w:val="nil"/>
                  </w:tcBorders>
                  <w:noWrap w:val="0"/>
                  <w:vAlign w:val="center"/>
                </w:tcPr>
                <w:p w14:paraId="5F9AF692">
                  <w:pPr>
                    <w:pStyle w:val="5"/>
                    <w:rPr>
                      <w:rFonts w:hint="default"/>
                    </w:rPr>
                  </w:pPr>
                  <w:r>
                    <w:rPr>
                      <w:rFonts w:hint="default"/>
                    </w:rPr>
                    <w:t>350</w:t>
                  </w:r>
                </w:p>
              </w:tc>
              <w:tc>
                <w:tcPr>
                  <w:tcW w:w="840" w:type="dxa"/>
                  <w:tcBorders>
                    <w:tl2br w:val="nil"/>
                    <w:tr2bl w:val="nil"/>
                  </w:tcBorders>
                  <w:noWrap w:val="0"/>
                  <w:vAlign w:val="center"/>
                </w:tcPr>
                <w:p w14:paraId="5AE8BEB4">
                  <w:pPr>
                    <w:pStyle w:val="5"/>
                    <w:rPr>
                      <w:rFonts w:hint="default"/>
                    </w:rPr>
                  </w:pPr>
                  <w:r>
                    <w:rPr>
                      <w:rFonts w:hint="default"/>
                    </w:rPr>
                    <w:t>260</w:t>
                  </w:r>
                </w:p>
              </w:tc>
              <w:tc>
                <w:tcPr>
                  <w:tcW w:w="644" w:type="dxa"/>
                  <w:tcBorders>
                    <w:tl2br w:val="nil"/>
                    <w:tr2bl w:val="nil"/>
                  </w:tcBorders>
                  <w:noWrap w:val="0"/>
                  <w:vAlign w:val="center"/>
                </w:tcPr>
                <w:p w14:paraId="20AB016A">
                  <w:pPr>
                    <w:pStyle w:val="5"/>
                    <w:rPr>
                      <w:rFonts w:hint="default"/>
                    </w:rPr>
                  </w:pPr>
                  <w:r>
                    <w:rPr>
                      <w:rFonts w:hint="default"/>
                    </w:rPr>
                    <w:t>530</w:t>
                  </w:r>
                </w:p>
              </w:tc>
              <w:tc>
                <w:tcPr>
                  <w:tcW w:w="644" w:type="dxa"/>
                  <w:tcBorders>
                    <w:tl2br w:val="nil"/>
                    <w:tr2bl w:val="nil"/>
                  </w:tcBorders>
                  <w:noWrap w:val="0"/>
                  <w:vAlign w:val="center"/>
                </w:tcPr>
                <w:p w14:paraId="58EE7B1D">
                  <w:pPr>
                    <w:pStyle w:val="5"/>
                    <w:rPr>
                      <w:rFonts w:hint="default"/>
                    </w:rPr>
                  </w:pPr>
                  <w:r>
                    <w:rPr>
                      <w:rFonts w:hint="default"/>
                    </w:rPr>
                    <w:t>350</w:t>
                  </w:r>
                </w:p>
              </w:tc>
              <w:tc>
                <w:tcPr>
                  <w:tcW w:w="643" w:type="dxa"/>
                  <w:tcBorders>
                    <w:tl2br w:val="nil"/>
                    <w:tr2bl w:val="nil"/>
                  </w:tcBorders>
                  <w:noWrap w:val="0"/>
                  <w:vAlign w:val="center"/>
                </w:tcPr>
                <w:p w14:paraId="659B54A7">
                  <w:pPr>
                    <w:pStyle w:val="5"/>
                    <w:rPr>
                      <w:rFonts w:hint="default"/>
                    </w:rPr>
                  </w:pPr>
                  <w:r>
                    <w:rPr>
                      <w:rFonts w:hint="default"/>
                    </w:rPr>
                    <w:t>260</w:t>
                  </w:r>
                </w:p>
              </w:tc>
              <w:tc>
                <w:tcPr>
                  <w:tcW w:w="644" w:type="dxa"/>
                  <w:tcBorders>
                    <w:tl2br w:val="nil"/>
                    <w:tr2bl w:val="nil"/>
                  </w:tcBorders>
                  <w:noWrap w:val="0"/>
                  <w:vAlign w:val="center"/>
                </w:tcPr>
                <w:p w14:paraId="5CAAF688">
                  <w:pPr>
                    <w:pStyle w:val="5"/>
                    <w:rPr>
                      <w:rFonts w:hint="default"/>
                    </w:rPr>
                  </w:pPr>
                  <w:r>
                    <w:rPr>
                      <w:rFonts w:hint="default"/>
                    </w:rPr>
                    <w:t>290</w:t>
                  </w:r>
                </w:p>
              </w:tc>
              <w:tc>
                <w:tcPr>
                  <w:tcW w:w="644" w:type="dxa"/>
                  <w:tcBorders>
                    <w:tl2br w:val="nil"/>
                    <w:tr2bl w:val="nil"/>
                  </w:tcBorders>
                  <w:noWrap w:val="0"/>
                  <w:vAlign w:val="center"/>
                </w:tcPr>
                <w:p w14:paraId="384A347E">
                  <w:pPr>
                    <w:pStyle w:val="5"/>
                    <w:rPr>
                      <w:rFonts w:hint="default"/>
                    </w:rPr>
                  </w:pPr>
                  <w:r>
                    <w:rPr>
                      <w:rFonts w:hint="default"/>
                    </w:rPr>
                    <w:t>190</w:t>
                  </w:r>
                </w:p>
              </w:tc>
              <w:tc>
                <w:tcPr>
                  <w:tcW w:w="646" w:type="dxa"/>
                  <w:tcBorders>
                    <w:tl2br w:val="nil"/>
                    <w:tr2bl w:val="nil"/>
                  </w:tcBorders>
                  <w:noWrap w:val="0"/>
                  <w:vAlign w:val="center"/>
                </w:tcPr>
                <w:p w14:paraId="650D7A11">
                  <w:pPr>
                    <w:pStyle w:val="5"/>
                    <w:rPr>
                      <w:rFonts w:hint="default"/>
                    </w:rPr>
                  </w:pPr>
                  <w:r>
                    <w:rPr>
                      <w:rFonts w:hint="default"/>
                    </w:rPr>
                    <w:t>140</w:t>
                  </w:r>
                </w:p>
              </w:tc>
            </w:tr>
            <w:tr w14:paraId="5D92BB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restart"/>
                  <w:tcBorders>
                    <w:tl2br w:val="nil"/>
                    <w:tr2bl w:val="nil"/>
                  </w:tcBorders>
                  <w:noWrap w:val="0"/>
                  <w:vAlign w:val="center"/>
                </w:tcPr>
                <w:p w14:paraId="08F6011B">
                  <w:pPr>
                    <w:pStyle w:val="5"/>
                    <w:rPr>
                      <w:rFonts w:hint="default"/>
                    </w:rPr>
                  </w:pPr>
                  <w:r>
                    <w:rPr>
                      <w:rFonts w:hint="default"/>
                    </w:rPr>
                    <w:t>B</w:t>
                  </w:r>
                </w:p>
              </w:tc>
              <w:tc>
                <w:tcPr>
                  <w:tcW w:w="1453" w:type="dxa"/>
                  <w:tcBorders>
                    <w:tl2br w:val="nil"/>
                    <w:tr2bl w:val="nil"/>
                  </w:tcBorders>
                  <w:noWrap w:val="0"/>
                  <w:vAlign w:val="center"/>
                </w:tcPr>
                <w:p w14:paraId="48A7A7E0">
                  <w:pPr>
                    <w:pStyle w:val="5"/>
                    <w:rPr>
                      <w:rFonts w:hint="default"/>
                    </w:rPr>
                  </w:pPr>
                  <w:r>
                    <w:rPr>
                      <w:rFonts w:hint="default"/>
                    </w:rPr>
                    <w:t>&lt;2</w:t>
                  </w:r>
                </w:p>
              </w:tc>
              <w:tc>
                <w:tcPr>
                  <w:tcW w:w="2675" w:type="dxa"/>
                  <w:gridSpan w:val="3"/>
                  <w:tcBorders>
                    <w:tl2br w:val="nil"/>
                    <w:tr2bl w:val="nil"/>
                  </w:tcBorders>
                  <w:noWrap w:val="0"/>
                  <w:vAlign w:val="center"/>
                </w:tcPr>
                <w:p w14:paraId="4FBE663F">
                  <w:pPr>
                    <w:pStyle w:val="5"/>
                    <w:rPr>
                      <w:rFonts w:hint="default"/>
                    </w:rPr>
                  </w:pPr>
                  <w:r>
                    <w:rPr>
                      <w:rFonts w:hint="default"/>
                    </w:rPr>
                    <w:t>0.01</w:t>
                  </w:r>
                </w:p>
              </w:tc>
              <w:tc>
                <w:tcPr>
                  <w:tcW w:w="1931" w:type="dxa"/>
                  <w:gridSpan w:val="3"/>
                  <w:tcBorders>
                    <w:tl2br w:val="nil"/>
                    <w:tr2bl w:val="nil"/>
                  </w:tcBorders>
                  <w:noWrap w:val="0"/>
                  <w:vAlign w:val="center"/>
                </w:tcPr>
                <w:p w14:paraId="37C58A47">
                  <w:pPr>
                    <w:pStyle w:val="5"/>
                    <w:rPr>
                      <w:rFonts w:hint="default"/>
                    </w:rPr>
                  </w:pPr>
                  <w:r>
                    <w:rPr>
                      <w:rFonts w:hint="default"/>
                    </w:rPr>
                    <w:t>0.015</w:t>
                  </w:r>
                </w:p>
              </w:tc>
              <w:tc>
                <w:tcPr>
                  <w:tcW w:w="1934" w:type="dxa"/>
                  <w:gridSpan w:val="3"/>
                  <w:tcBorders>
                    <w:tl2br w:val="nil"/>
                    <w:tr2bl w:val="nil"/>
                  </w:tcBorders>
                  <w:noWrap w:val="0"/>
                  <w:vAlign w:val="center"/>
                </w:tcPr>
                <w:p w14:paraId="013EFB39">
                  <w:pPr>
                    <w:pStyle w:val="5"/>
                    <w:rPr>
                      <w:rFonts w:hint="default"/>
                    </w:rPr>
                  </w:pPr>
                  <w:r>
                    <w:rPr>
                      <w:rFonts w:hint="default"/>
                    </w:rPr>
                    <w:t>0.015</w:t>
                  </w:r>
                </w:p>
              </w:tc>
            </w:tr>
            <w:tr w14:paraId="6B3641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1DA38AAD">
                  <w:pPr>
                    <w:pStyle w:val="5"/>
                    <w:rPr>
                      <w:rFonts w:hint="default"/>
                    </w:rPr>
                  </w:pPr>
                </w:p>
              </w:tc>
              <w:tc>
                <w:tcPr>
                  <w:tcW w:w="1453" w:type="dxa"/>
                  <w:tcBorders>
                    <w:tl2br w:val="nil"/>
                    <w:tr2bl w:val="nil"/>
                  </w:tcBorders>
                  <w:noWrap w:val="0"/>
                  <w:vAlign w:val="center"/>
                </w:tcPr>
                <w:p w14:paraId="6FFB3EF6">
                  <w:pPr>
                    <w:pStyle w:val="5"/>
                    <w:rPr>
                      <w:rFonts w:hint="default"/>
                    </w:rPr>
                  </w:pPr>
                  <w:r>
                    <w:rPr>
                      <w:rFonts w:hint="default"/>
                    </w:rPr>
                    <w:t>&gt;2</w:t>
                  </w:r>
                </w:p>
              </w:tc>
              <w:tc>
                <w:tcPr>
                  <w:tcW w:w="2675" w:type="dxa"/>
                  <w:gridSpan w:val="3"/>
                  <w:tcBorders>
                    <w:tl2br w:val="nil"/>
                    <w:tr2bl w:val="nil"/>
                  </w:tcBorders>
                  <w:noWrap w:val="0"/>
                  <w:vAlign w:val="center"/>
                </w:tcPr>
                <w:p w14:paraId="71EA53F1">
                  <w:pPr>
                    <w:pStyle w:val="5"/>
                    <w:rPr>
                      <w:rFonts w:hint="default"/>
                    </w:rPr>
                  </w:pPr>
                  <w:r>
                    <w:rPr>
                      <w:rFonts w:hint="default"/>
                    </w:rPr>
                    <w:t>0.021</w:t>
                  </w:r>
                </w:p>
              </w:tc>
              <w:tc>
                <w:tcPr>
                  <w:tcW w:w="1931" w:type="dxa"/>
                  <w:gridSpan w:val="3"/>
                  <w:tcBorders>
                    <w:tl2br w:val="nil"/>
                    <w:tr2bl w:val="nil"/>
                  </w:tcBorders>
                  <w:noWrap w:val="0"/>
                  <w:vAlign w:val="center"/>
                </w:tcPr>
                <w:p w14:paraId="54EA5FE7">
                  <w:pPr>
                    <w:pStyle w:val="5"/>
                    <w:rPr>
                      <w:rFonts w:hint="default"/>
                    </w:rPr>
                  </w:pPr>
                  <w:r>
                    <w:rPr>
                      <w:rFonts w:hint="default"/>
                    </w:rPr>
                    <w:t>0.036</w:t>
                  </w:r>
                </w:p>
              </w:tc>
              <w:tc>
                <w:tcPr>
                  <w:tcW w:w="1934" w:type="dxa"/>
                  <w:gridSpan w:val="3"/>
                  <w:tcBorders>
                    <w:tl2br w:val="nil"/>
                    <w:tr2bl w:val="nil"/>
                  </w:tcBorders>
                  <w:noWrap w:val="0"/>
                  <w:vAlign w:val="center"/>
                </w:tcPr>
                <w:p w14:paraId="2036DC5B">
                  <w:pPr>
                    <w:pStyle w:val="5"/>
                    <w:rPr>
                      <w:rFonts w:hint="default"/>
                    </w:rPr>
                  </w:pPr>
                  <w:r>
                    <w:rPr>
                      <w:rFonts w:hint="default"/>
                    </w:rPr>
                    <w:t>0.036</w:t>
                  </w:r>
                </w:p>
              </w:tc>
            </w:tr>
            <w:tr w14:paraId="1445A1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restart"/>
                  <w:tcBorders>
                    <w:tl2br w:val="nil"/>
                    <w:tr2bl w:val="nil"/>
                  </w:tcBorders>
                  <w:noWrap w:val="0"/>
                  <w:vAlign w:val="center"/>
                </w:tcPr>
                <w:p w14:paraId="13370576">
                  <w:pPr>
                    <w:pStyle w:val="5"/>
                    <w:rPr>
                      <w:rFonts w:hint="default"/>
                    </w:rPr>
                  </w:pPr>
                  <w:r>
                    <w:rPr>
                      <w:rFonts w:hint="default"/>
                    </w:rPr>
                    <w:t>C</w:t>
                  </w:r>
                </w:p>
              </w:tc>
              <w:tc>
                <w:tcPr>
                  <w:tcW w:w="1453" w:type="dxa"/>
                  <w:tcBorders>
                    <w:tl2br w:val="nil"/>
                    <w:tr2bl w:val="nil"/>
                  </w:tcBorders>
                  <w:noWrap w:val="0"/>
                  <w:vAlign w:val="center"/>
                </w:tcPr>
                <w:p w14:paraId="645989FA">
                  <w:pPr>
                    <w:pStyle w:val="5"/>
                    <w:rPr>
                      <w:rFonts w:hint="default"/>
                    </w:rPr>
                  </w:pPr>
                  <w:r>
                    <w:rPr>
                      <w:rFonts w:hint="default"/>
                    </w:rPr>
                    <w:t>&lt;2</w:t>
                  </w:r>
                </w:p>
              </w:tc>
              <w:tc>
                <w:tcPr>
                  <w:tcW w:w="2675" w:type="dxa"/>
                  <w:gridSpan w:val="3"/>
                  <w:tcBorders>
                    <w:tl2br w:val="nil"/>
                    <w:tr2bl w:val="nil"/>
                  </w:tcBorders>
                  <w:noWrap w:val="0"/>
                  <w:vAlign w:val="center"/>
                </w:tcPr>
                <w:p w14:paraId="347E8191">
                  <w:pPr>
                    <w:pStyle w:val="5"/>
                    <w:rPr>
                      <w:rFonts w:hint="default"/>
                    </w:rPr>
                  </w:pPr>
                  <w:r>
                    <w:rPr>
                      <w:rFonts w:hint="default"/>
                    </w:rPr>
                    <w:t>1.85</w:t>
                  </w:r>
                </w:p>
              </w:tc>
              <w:tc>
                <w:tcPr>
                  <w:tcW w:w="1931" w:type="dxa"/>
                  <w:gridSpan w:val="3"/>
                  <w:tcBorders>
                    <w:tl2br w:val="nil"/>
                    <w:tr2bl w:val="nil"/>
                  </w:tcBorders>
                  <w:noWrap w:val="0"/>
                  <w:vAlign w:val="center"/>
                </w:tcPr>
                <w:p w14:paraId="45DE6C5D">
                  <w:pPr>
                    <w:pStyle w:val="5"/>
                    <w:rPr>
                      <w:rFonts w:hint="default"/>
                    </w:rPr>
                  </w:pPr>
                  <w:r>
                    <w:rPr>
                      <w:rFonts w:hint="default"/>
                    </w:rPr>
                    <w:t>1.79</w:t>
                  </w:r>
                </w:p>
              </w:tc>
              <w:tc>
                <w:tcPr>
                  <w:tcW w:w="1934" w:type="dxa"/>
                  <w:gridSpan w:val="3"/>
                  <w:tcBorders>
                    <w:tl2br w:val="nil"/>
                    <w:tr2bl w:val="nil"/>
                  </w:tcBorders>
                  <w:noWrap w:val="0"/>
                  <w:vAlign w:val="center"/>
                </w:tcPr>
                <w:p w14:paraId="6BBB2B21">
                  <w:pPr>
                    <w:pStyle w:val="5"/>
                    <w:rPr>
                      <w:rFonts w:hint="default"/>
                    </w:rPr>
                  </w:pPr>
                  <w:r>
                    <w:rPr>
                      <w:rFonts w:hint="default"/>
                    </w:rPr>
                    <w:t>1.79</w:t>
                  </w:r>
                </w:p>
              </w:tc>
            </w:tr>
            <w:tr w14:paraId="7984A8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37CBF736">
                  <w:pPr>
                    <w:pStyle w:val="5"/>
                    <w:rPr>
                      <w:rFonts w:hint="default"/>
                    </w:rPr>
                  </w:pPr>
                </w:p>
              </w:tc>
              <w:tc>
                <w:tcPr>
                  <w:tcW w:w="1453" w:type="dxa"/>
                  <w:tcBorders>
                    <w:tl2br w:val="nil"/>
                    <w:tr2bl w:val="nil"/>
                  </w:tcBorders>
                  <w:noWrap w:val="0"/>
                  <w:vAlign w:val="center"/>
                </w:tcPr>
                <w:p w14:paraId="19132CEF">
                  <w:pPr>
                    <w:pStyle w:val="5"/>
                    <w:rPr>
                      <w:rFonts w:hint="default"/>
                    </w:rPr>
                  </w:pPr>
                  <w:r>
                    <w:rPr>
                      <w:rFonts w:hint="default"/>
                    </w:rPr>
                    <w:t>&gt;2</w:t>
                  </w:r>
                </w:p>
              </w:tc>
              <w:tc>
                <w:tcPr>
                  <w:tcW w:w="2675" w:type="dxa"/>
                  <w:gridSpan w:val="3"/>
                  <w:tcBorders>
                    <w:tl2br w:val="nil"/>
                    <w:tr2bl w:val="nil"/>
                  </w:tcBorders>
                  <w:noWrap w:val="0"/>
                  <w:vAlign w:val="center"/>
                </w:tcPr>
                <w:p w14:paraId="76C491D4">
                  <w:pPr>
                    <w:pStyle w:val="5"/>
                    <w:rPr>
                      <w:rFonts w:hint="default"/>
                    </w:rPr>
                  </w:pPr>
                  <w:r>
                    <w:rPr>
                      <w:rFonts w:hint="default"/>
                    </w:rPr>
                    <w:t>1.85</w:t>
                  </w:r>
                </w:p>
              </w:tc>
              <w:tc>
                <w:tcPr>
                  <w:tcW w:w="1931" w:type="dxa"/>
                  <w:gridSpan w:val="3"/>
                  <w:tcBorders>
                    <w:tl2br w:val="nil"/>
                    <w:tr2bl w:val="nil"/>
                  </w:tcBorders>
                  <w:noWrap w:val="0"/>
                  <w:vAlign w:val="center"/>
                </w:tcPr>
                <w:p w14:paraId="596DC09D">
                  <w:pPr>
                    <w:pStyle w:val="5"/>
                    <w:rPr>
                      <w:rFonts w:hint="default"/>
                    </w:rPr>
                  </w:pPr>
                  <w:r>
                    <w:rPr>
                      <w:rFonts w:hint="default"/>
                    </w:rPr>
                    <w:t>1.77</w:t>
                  </w:r>
                </w:p>
              </w:tc>
              <w:tc>
                <w:tcPr>
                  <w:tcW w:w="1934" w:type="dxa"/>
                  <w:gridSpan w:val="3"/>
                  <w:tcBorders>
                    <w:tl2br w:val="nil"/>
                    <w:tr2bl w:val="nil"/>
                  </w:tcBorders>
                  <w:noWrap w:val="0"/>
                  <w:vAlign w:val="center"/>
                </w:tcPr>
                <w:p w14:paraId="2DF3F78E">
                  <w:pPr>
                    <w:pStyle w:val="5"/>
                    <w:rPr>
                      <w:rFonts w:hint="default"/>
                    </w:rPr>
                  </w:pPr>
                  <w:r>
                    <w:rPr>
                      <w:rFonts w:hint="default"/>
                    </w:rPr>
                    <w:t>1.77</w:t>
                  </w:r>
                </w:p>
              </w:tc>
            </w:tr>
            <w:tr w14:paraId="61B1D0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restart"/>
                  <w:tcBorders>
                    <w:tl2br w:val="nil"/>
                    <w:tr2bl w:val="nil"/>
                  </w:tcBorders>
                  <w:noWrap w:val="0"/>
                  <w:vAlign w:val="center"/>
                </w:tcPr>
                <w:p w14:paraId="37BCF7D4">
                  <w:pPr>
                    <w:pStyle w:val="5"/>
                    <w:rPr>
                      <w:rFonts w:hint="default"/>
                    </w:rPr>
                  </w:pPr>
                  <w:r>
                    <w:rPr>
                      <w:rFonts w:hint="default"/>
                    </w:rPr>
                    <w:t>D</w:t>
                  </w:r>
                </w:p>
              </w:tc>
              <w:tc>
                <w:tcPr>
                  <w:tcW w:w="1453" w:type="dxa"/>
                  <w:tcBorders>
                    <w:tl2br w:val="nil"/>
                    <w:tr2bl w:val="nil"/>
                  </w:tcBorders>
                  <w:noWrap w:val="0"/>
                  <w:vAlign w:val="center"/>
                </w:tcPr>
                <w:p w14:paraId="22DA239E">
                  <w:pPr>
                    <w:pStyle w:val="5"/>
                    <w:rPr>
                      <w:rFonts w:hint="default"/>
                    </w:rPr>
                  </w:pPr>
                  <w:r>
                    <w:rPr>
                      <w:rFonts w:hint="default"/>
                    </w:rPr>
                    <w:t>&lt;2</w:t>
                  </w:r>
                </w:p>
              </w:tc>
              <w:tc>
                <w:tcPr>
                  <w:tcW w:w="2675" w:type="dxa"/>
                  <w:gridSpan w:val="3"/>
                  <w:tcBorders>
                    <w:tl2br w:val="nil"/>
                    <w:tr2bl w:val="nil"/>
                  </w:tcBorders>
                  <w:noWrap w:val="0"/>
                  <w:vAlign w:val="center"/>
                </w:tcPr>
                <w:p w14:paraId="415A0647">
                  <w:pPr>
                    <w:pStyle w:val="5"/>
                    <w:rPr>
                      <w:rFonts w:hint="default"/>
                    </w:rPr>
                  </w:pPr>
                  <w:r>
                    <w:rPr>
                      <w:rFonts w:hint="default"/>
                    </w:rPr>
                    <w:t>0.78</w:t>
                  </w:r>
                </w:p>
              </w:tc>
              <w:tc>
                <w:tcPr>
                  <w:tcW w:w="1931" w:type="dxa"/>
                  <w:gridSpan w:val="3"/>
                  <w:tcBorders>
                    <w:tl2br w:val="nil"/>
                    <w:tr2bl w:val="nil"/>
                  </w:tcBorders>
                  <w:noWrap w:val="0"/>
                  <w:vAlign w:val="center"/>
                </w:tcPr>
                <w:p w14:paraId="1AA3C433">
                  <w:pPr>
                    <w:pStyle w:val="5"/>
                    <w:rPr>
                      <w:rFonts w:hint="default"/>
                    </w:rPr>
                  </w:pPr>
                  <w:r>
                    <w:rPr>
                      <w:rFonts w:hint="default"/>
                    </w:rPr>
                    <w:t>0.78</w:t>
                  </w:r>
                </w:p>
              </w:tc>
              <w:tc>
                <w:tcPr>
                  <w:tcW w:w="1934" w:type="dxa"/>
                  <w:gridSpan w:val="3"/>
                  <w:tcBorders>
                    <w:tl2br w:val="nil"/>
                    <w:tr2bl w:val="nil"/>
                  </w:tcBorders>
                  <w:noWrap w:val="0"/>
                  <w:vAlign w:val="center"/>
                </w:tcPr>
                <w:p w14:paraId="5CAF9D9A">
                  <w:pPr>
                    <w:pStyle w:val="5"/>
                    <w:rPr>
                      <w:rFonts w:hint="default"/>
                    </w:rPr>
                  </w:pPr>
                  <w:r>
                    <w:rPr>
                      <w:rFonts w:hint="default"/>
                    </w:rPr>
                    <w:t>0.57</w:t>
                  </w:r>
                </w:p>
              </w:tc>
            </w:tr>
            <w:tr w14:paraId="48BC1F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43" w:type="dxa"/>
                  <w:vMerge w:val="continue"/>
                  <w:tcBorders>
                    <w:tl2br w:val="nil"/>
                    <w:tr2bl w:val="nil"/>
                  </w:tcBorders>
                  <w:noWrap w:val="0"/>
                  <w:vAlign w:val="center"/>
                </w:tcPr>
                <w:p w14:paraId="082BC4DF">
                  <w:pPr>
                    <w:pStyle w:val="5"/>
                    <w:rPr>
                      <w:rFonts w:hint="default"/>
                    </w:rPr>
                  </w:pPr>
                </w:p>
              </w:tc>
              <w:tc>
                <w:tcPr>
                  <w:tcW w:w="1453" w:type="dxa"/>
                  <w:tcBorders>
                    <w:tl2br w:val="nil"/>
                    <w:tr2bl w:val="nil"/>
                  </w:tcBorders>
                  <w:noWrap w:val="0"/>
                  <w:vAlign w:val="center"/>
                </w:tcPr>
                <w:p w14:paraId="60CDD302">
                  <w:pPr>
                    <w:pStyle w:val="5"/>
                    <w:rPr>
                      <w:rFonts w:hint="default"/>
                    </w:rPr>
                  </w:pPr>
                  <w:r>
                    <w:rPr>
                      <w:rFonts w:hint="default"/>
                    </w:rPr>
                    <w:t>&gt;2</w:t>
                  </w:r>
                </w:p>
              </w:tc>
              <w:tc>
                <w:tcPr>
                  <w:tcW w:w="2675" w:type="dxa"/>
                  <w:gridSpan w:val="3"/>
                  <w:tcBorders>
                    <w:tl2br w:val="nil"/>
                    <w:tr2bl w:val="nil"/>
                  </w:tcBorders>
                  <w:noWrap w:val="0"/>
                  <w:vAlign w:val="center"/>
                </w:tcPr>
                <w:p w14:paraId="3C97423C">
                  <w:pPr>
                    <w:pStyle w:val="5"/>
                    <w:rPr>
                      <w:rFonts w:hint="default"/>
                    </w:rPr>
                  </w:pPr>
                  <w:r>
                    <w:rPr>
                      <w:rFonts w:hint="default"/>
                    </w:rPr>
                    <w:t>0.84</w:t>
                  </w:r>
                </w:p>
              </w:tc>
              <w:tc>
                <w:tcPr>
                  <w:tcW w:w="1931" w:type="dxa"/>
                  <w:gridSpan w:val="3"/>
                  <w:tcBorders>
                    <w:tl2br w:val="nil"/>
                    <w:tr2bl w:val="nil"/>
                  </w:tcBorders>
                  <w:noWrap w:val="0"/>
                  <w:vAlign w:val="center"/>
                </w:tcPr>
                <w:p w14:paraId="50CB666E">
                  <w:pPr>
                    <w:pStyle w:val="5"/>
                    <w:rPr>
                      <w:rFonts w:hint="default"/>
                    </w:rPr>
                  </w:pPr>
                  <w:r>
                    <w:rPr>
                      <w:rFonts w:hint="default"/>
                    </w:rPr>
                    <w:t>0.84</w:t>
                  </w:r>
                </w:p>
              </w:tc>
              <w:tc>
                <w:tcPr>
                  <w:tcW w:w="1934" w:type="dxa"/>
                  <w:gridSpan w:val="3"/>
                  <w:tcBorders>
                    <w:tl2br w:val="nil"/>
                    <w:tr2bl w:val="nil"/>
                  </w:tcBorders>
                  <w:noWrap w:val="0"/>
                  <w:vAlign w:val="center"/>
                </w:tcPr>
                <w:p w14:paraId="53E927D7">
                  <w:pPr>
                    <w:pStyle w:val="5"/>
                    <w:rPr>
                      <w:rFonts w:hint="default"/>
                    </w:rPr>
                  </w:pPr>
                  <w:r>
                    <w:rPr>
                      <w:rFonts w:hint="default"/>
                    </w:rPr>
                    <w:t>0.76</w:t>
                  </w:r>
                </w:p>
              </w:tc>
            </w:tr>
            <w:tr w14:paraId="76C4C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036" w:type="dxa"/>
                  <w:gridSpan w:val="11"/>
                  <w:tcBorders>
                    <w:tl2br w:val="nil"/>
                    <w:tr2bl w:val="nil"/>
                  </w:tcBorders>
                  <w:noWrap w:val="0"/>
                  <w:vAlign w:val="center"/>
                </w:tcPr>
                <w:p w14:paraId="0455C3CC">
                  <w:pPr>
                    <w:pStyle w:val="5"/>
                    <w:jc w:val="both"/>
                    <w:rPr>
                      <w:rFonts w:hint="default"/>
                    </w:rPr>
                  </w:pPr>
                  <w:r>
                    <w:rPr>
                      <w:rFonts w:hint="default"/>
                    </w:rPr>
                    <w:t>注：Ⅰ类：与无组织排放源共存的排放同种有害气体的排气筒的排放量，大于或等于标准规定的允许排放量的1/3者；</w:t>
                  </w:r>
                </w:p>
                <w:p w14:paraId="16260407">
                  <w:pPr>
                    <w:pStyle w:val="5"/>
                    <w:jc w:val="both"/>
                    <w:rPr>
                      <w:rFonts w:hint="default"/>
                    </w:rPr>
                  </w:pPr>
                  <w:r>
                    <w:rPr>
                      <w:rFonts w:hint="default"/>
                    </w:rPr>
                    <w:t>Ⅱ类：与无组织排放源共存的排放同种有害气体的排气筒的排放量，小于标准规定的允许排放量的1/3，或虽无排放同种大气污染物之排气筒共存，但无组织排放的有害物质的容许浓度是按急性反应指标确定者；</w:t>
                  </w:r>
                </w:p>
                <w:p w14:paraId="3200352A">
                  <w:pPr>
                    <w:pStyle w:val="5"/>
                    <w:jc w:val="both"/>
                    <w:rPr>
                      <w:rFonts w:hint="default"/>
                    </w:rPr>
                  </w:pPr>
                  <w:r>
                    <w:rPr>
                      <w:rFonts w:hint="default"/>
                    </w:rPr>
                    <w:t>Ⅲ类：无排放同种有害气体的排气筒与无组织排放源共存，但无组织排放的有害物质的容许浓度是按慢性反应指标确定者。</w:t>
                  </w:r>
                </w:p>
              </w:tc>
            </w:tr>
          </w:tbl>
          <w:p w14:paraId="5510E722">
            <w:pPr>
              <w:pStyle w:val="38"/>
              <w:ind w:firstLine="480"/>
              <w:rPr>
                <w:rFonts w:hint="default"/>
              </w:rPr>
            </w:pPr>
            <w:r>
              <w:rPr>
                <w:rFonts w:hint="default"/>
              </w:rPr>
              <w:t>本项目无组织排放源主要为生产车间，无组织排放污染物主要为VOCs。按当地年均风速1.</w:t>
            </w:r>
            <w:r>
              <w:rPr>
                <w:rFonts w:hint="eastAsia"/>
                <w:lang w:val="en-US" w:eastAsia="zh-CN"/>
              </w:rPr>
              <w:t>5</w:t>
            </w:r>
            <w:r>
              <w:rPr>
                <w:rFonts w:hint="default"/>
              </w:rPr>
              <w:t>m/s取值，查《卫生防护距离初值计算系数表》得A=400，B=0.01，C=1.85，D=0.78。</w:t>
            </w:r>
          </w:p>
          <w:p w14:paraId="7C02B624">
            <w:pPr>
              <w:pStyle w:val="38"/>
              <w:ind w:firstLine="480"/>
              <w:rPr>
                <w:rFonts w:hint="default"/>
              </w:rPr>
            </w:pPr>
            <w:r>
              <w:rPr>
                <w:rFonts w:hint="default"/>
              </w:rPr>
              <w:t>（2）主要特征大气污染物确定</w:t>
            </w:r>
          </w:p>
          <w:p w14:paraId="5764CB8A">
            <w:pPr>
              <w:pStyle w:val="38"/>
              <w:ind w:firstLine="480"/>
              <w:rPr>
                <w:rFonts w:hint="default"/>
              </w:rPr>
            </w:pPr>
            <w:r>
              <w:rPr>
                <w:rFonts w:hint="default"/>
              </w:rPr>
              <w:t>根据《大气有害物质无组织排放卫生防护距离推</w:t>
            </w:r>
            <w:r>
              <w:rPr>
                <w:rFonts w:hint="default"/>
                <w:lang w:val="en-US" w:eastAsia="zh-CN"/>
              </w:rPr>
              <w:t>导</w:t>
            </w:r>
            <w:r>
              <w:rPr>
                <w:rFonts w:hint="default"/>
              </w:rPr>
              <w:t>技术导则》（GB/T39499-2020）中“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c/Cm），最终确定卫生防护距离相关的主要特征大气有害物质1种～2种。当目标企业无组织排放存在多种有毒有害污染物时，基于单个污染物的等标排放量计算结果，</w:t>
            </w:r>
            <w:r>
              <w:rPr>
                <w:rFonts w:hint="default"/>
                <w:lang w:val="en-US" w:eastAsia="zh-CN"/>
              </w:rPr>
              <w:t>优先</w:t>
            </w:r>
            <w:r>
              <w:rPr>
                <w:rFonts w:hint="default"/>
              </w:rPr>
              <w:t>选择等标排放量最大的污染物为企业无组织排放的主要特征大气有害物质，当前两种污染物的等标排放量相差在10%以内时，需要同时选择这两种特征大气有害物质分别计算卫生防护距离初值。”本项目无组织排放量及等标排放量详见下表：</w:t>
            </w:r>
          </w:p>
          <w:p w14:paraId="4823C9D7">
            <w:pPr>
              <w:pStyle w:val="7"/>
              <w:rPr>
                <w:rFonts w:hint="default"/>
              </w:rPr>
            </w:pPr>
            <w:r>
              <w:rPr>
                <w:rFonts w:hint="eastAsia"/>
                <w:lang w:val="en-US" w:eastAsia="zh-CN"/>
              </w:rPr>
              <w:t xml:space="preserve">表4-6  </w:t>
            </w:r>
            <w:r>
              <w:rPr>
                <w:rFonts w:hint="default"/>
              </w:rPr>
              <w:t>项目无组织</w:t>
            </w:r>
            <w:r>
              <w:rPr>
                <w:rFonts w:hint="default"/>
                <w:lang w:val="en-GB" w:eastAsia="zh-CN"/>
              </w:rPr>
              <w:t>排放量</w:t>
            </w:r>
            <w:r>
              <w:rPr>
                <w:rFonts w:hint="default"/>
              </w:rPr>
              <w:t>及等标排放量一览表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00"/>
              <w:gridCol w:w="813"/>
              <w:gridCol w:w="840"/>
              <w:gridCol w:w="872"/>
              <w:gridCol w:w="1263"/>
              <w:gridCol w:w="1568"/>
              <w:gridCol w:w="1458"/>
            </w:tblGrid>
            <w:tr w14:paraId="46926C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noWrap w:val="0"/>
                  <w:vAlign w:val="center"/>
                </w:tcPr>
                <w:p w14:paraId="2DB02CCD">
                  <w:pPr>
                    <w:pStyle w:val="5"/>
                    <w:rPr>
                      <w:rFonts w:hint="default"/>
                      <w:b/>
                      <w:bCs/>
                    </w:rPr>
                  </w:pPr>
                  <w:r>
                    <w:rPr>
                      <w:rFonts w:hint="default"/>
                      <w:b/>
                      <w:bCs/>
                    </w:rPr>
                    <w:t>污染源</w:t>
                  </w:r>
                </w:p>
              </w:tc>
              <w:tc>
                <w:tcPr>
                  <w:tcW w:w="508" w:type="pct"/>
                  <w:tcBorders>
                    <w:tl2br w:val="nil"/>
                    <w:tr2bl w:val="nil"/>
                  </w:tcBorders>
                  <w:noWrap w:val="0"/>
                  <w:vAlign w:val="center"/>
                </w:tcPr>
                <w:p w14:paraId="261A90F4">
                  <w:pPr>
                    <w:pStyle w:val="5"/>
                    <w:rPr>
                      <w:rFonts w:hint="default"/>
                      <w:b/>
                      <w:bCs/>
                    </w:rPr>
                  </w:pPr>
                  <w:r>
                    <w:rPr>
                      <w:rFonts w:hint="default"/>
                      <w:b/>
                      <w:bCs/>
                    </w:rPr>
                    <w:t>污染物</w:t>
                  </w:r>
                </w:p>
              </w:tc>
              <w:tc>
                <w:tcPr>
                  <w:tcW w:w="459" w:type="pct"/>
                  <w:tcBorders>
                    <w:tl2br w:val="nil"/>
                    <w:tr2bl w:val="nil"/>
                  </w:tcBorders>
                  <w:noWrap w:val="0"/>
                  <w:vAlign w:val="center"/>
                </w:tcPr>
                <w:p w14:paraId="422FA777">
                  <w:pPr>
                    <w:pStyle w:val="5"/>
                    <w:rPr>
                      <w:rFonts w:hint="default"/>
                      <w:b/>
                      <w:bCs/>
                    </w:rPr>
                  </w:pPr>
                  <w:r>
                    <w:rPr>
                      <w:rFonts w:hint="default"/>
                      <w:b/>
                      <w:bCs/>
                    </w:rPr>
                    <w:t>面源长度</w:t>
                  </w:r>
                </w:p>
                <w:p w14:paraId="2075C886">
                  <w:pPr>
                    <w:pStyle w:val="5"/>
                    <w:rPr>
                      <w:rFonts w:hint="default"/>
                      <w:b/>
                      <w:bCs/>
                    </w:rPr>
                  </w:pPr>
                  <w:r>
                    <w:rPr>
                      <w:rFonts w:hint="default"/>
                      <w:b/>
                      <w:bCs/>
                    </w:rPr>
                    <w:t>（m）</w:t>
                  </w:r>
                </w:p>
              </w:tc>
              <w:tc>
                <w:tcPr>
                  <w:tcW w:w="474" w:type="pct"/>
                  <w:tcBorders>
                    <w:tl2br w:val="nil"/>
                    <w:tr2bl w:val="nil"/>
                  </w:tcBorders>
                  <w:noWrap w:val="0"/>
                  <w:vAlign w:val="center"/>
                </w:tcPr>
                <w:p w14:paraId="525686E5">
                  <w:pPr>
                    <w:pStyle w:val="5"/>
                    <w:rPr>
                      <w:rFonts w:hint="default"/>
                      <w:b/>
                      <w:bCs/>
                    </w:rPr>
                  </w:pPr>
                  <w:r>
                    <w:rPr>
                      <w:rFonts w:hint="default"/>
                      <w:b/>
                      <w:bCs/>
                    </w:rPr>
                    <w:t>面源宽度</w:t>
                  </w:r>
                </w:p>
                <w:p w14:paraId="3A2924CC">
                  <w:pPr>
                    <w:pStyle w:val="5"/>
                    <w:rPr>
                      <w:rFonts w:hint="default"/>
                      <w:b/>
                      <w:bCs/>
                    </w:rPr>
                  </w:pPr>
                  <w:r>
                    <w:rPr>
                      <w:rFonts w:hint="default"/>
                      <w:b/>
                      <w:bCs/>
                    </w:rPr>
                    <w:t>（m）</w:t>
                  </w:r>
                </w:p>
              </w:tc>
              <w:tc>
                <w:tcPr>
                  <w:tcW w:w="492" w:type="pct"/>
                  <w:tcBorders>
                    <w:tl2br w:val="nil"/>
                    <w:tr2bl w:val="nil"/>
                  </w:tcBorders>
                  <w:noWrap w:val="0"/>
                  <w:vAlign w:val="center"/>
                </w:tcPr>
                <w:p w14:paraId="657CDCA1">
                  <w:pPr>
                    <w:pStyle w:val="5"/>
                    <w:rPr>
                      <w:rFonts w:hint="default"/>
                      <w:b/>
                      <w:bCs/>
                    </w:rPr>
                  </w:pPr>
                  <w:r>
                    <w:rPr>
                      <w:rFonts w:hint="default"/>
                      <w:b/>
                      <w:bCs/>
                    </w:rPr>
                    <w:t>面源有效高度（m）</w:t>
                  </w:r>
                </w:p>
              </w:tc>
              <w:tc>
                <w:tcPr>
                  <w:tcW w:w="713" w:type="pct"/>
                  <w:tcBorders>
                    <w:tl2br w:val="nil"/>
                    <w:tr2bl w:val="nil"/>
                  </w:tcBorders>
                  <w:noWrap w:val="0"/>
                  <w:vAlign w:val="center"/>
                </w:tcPr>
                <w:p w14:paraId="39C2AE83">
                  <w:pPr>
                    <w:pStyle w:val="5"/>
                    <w:rPr>
                      <w:rFonts w:hint="default"/>
                      <w:b/>
                      <w:bCs/>
                    </w:rPr>
                  </w:pPr>
                  <w:r>
                    <w:rPr>
                      <w:rFonts w:hint="default"/>
                      <w:b/>
                      <w:bCs/>
                    </w:rPr>
                    <w:t>无组织排放源强Qc</w:t>
                  </w:r>
                </w:p>
                <w:p w14:paraId="1FB008ED">
                  <w:pPr>
                    <w:pStyle w:val="5"/>
                    <w:rPr>
                      <w:rFonts w:hint="default"/>
                      <w:b/>
                      <w:bCs/>
                    </w:rPr>
                  </w:pPr>
                  <w:r>
                    <w:rPr>
                      <w:rFonts w:hint="default"/>
                      <w:b/>
                      <w:bCs/>
                    </w:rPr>
                    <w:t>（kg/h）</w:t>
                  </w:r>
                </w:p>
              </w:tc>
              <w:tc>
                <w:tcPr>
                  <w:tcW w:w="885" w:type="pct"/>
                  <w:tcBorders>
                    <w:tl2br w:val="nil"/>
                    <w:tr2bl w:val="nil"/>
                  </w:tcBorders>
                  <w:noWrap w:val="0"/>
                  <w:vAlign w:val="center"/>
                </w:tcPr>
                <w:p w14:paraId="22849745">
                  <w:pPr>
                    <w:pStyle w:val="5"/>
                    <w:rPr>
                      <w:rFonts w:hint="default"/>
                      <w:b/>
                      <w:bCs/>
                    </w:rPr>
                  </w:pPr>
                  <w:r>
                    <w:rPr>
                      <w:rFonts w:hint="default"/>
                      <w:b/>
                      <w:bCs/>
                    </w:rPr>
                    <w:t>排放标准Cm</w:t>
                  </w:r>
                </w:p>
                <w:p w14:paraId="16D4EB8D">
                  <w:pPr>
                    <w:pStyle w:val="5"/>
                    <w:rPr>
                      <w:rFonts w:hint="default"/>
                      <w:b/>
                      <w:bCs/>
                    </w:rPr>
                  </w:pPr>
                  <w:r>
                    <w:rPr>
                      <w:rFonts w:hint="default"/>
                      <w:b/>
                      <w:bCs/>
                    </w:rPr>
                    <w:t>（mg/m</w:t>
                  </w:r>
                  <w:r>
                    <w:rPr>
                      <w:rFonts w:hint="default"/>
                      <w:b/>
                      <w:bCs/>
                      <w:vertAlign w:val="superscript"/>
                    </w:rPr>
                    <w:t>3</w:t>
                  </w:r>
                  <w:r>
                    <w:rPr>
                      <w:rFonts w:hint="default"/>
                      <w:b/>
                      <w:bCs/>
                    </w:rPr>
                    <w:t>）</w:t>
                  </w:r>
                </w:p>
              </w:tc>
              <w:tc>
                <w:tcPr>
                  <w:tcW w:w="823" w:type="pct"/>
                  <w:tcBorders>
                    <w:tl2br w:val="nil"/>
                    <w:tr2bl w:val="nil"/>
                  </w:tcBorders>
                  <w:noWrap w:val="0"/>
                  <w:vAlign w:val="center"/>
                </w:tcPr>
                <w:p w14:paraId="6CBB7772">
                  <w:pPr>
                    <w:pStyle w:val="5"/>
                    <w:rPr>
                      <w:rFonts w:hint="default"/>
                      <w:b/>
                      <w:bCs/>
                    </w:rPr>
                  </w:pPr>
                  <w:r>
                    <w:rPr>
                      <w:rFonts w:hint="default"/>
                      <w:b/>
                      <w:bCs/>
                    </w:rPr>
                    <w:t>等标排放量（Qc/Cm）</w:t>
                  </w:r>
                </w:p>
              </w:tc>
            </w:tr>
            <w:tr w14:paraId="2E2748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noWrap w:val="0"/>
                  <w:vAlign w:val="center"/>
                </w:tcPr>
                <w:p w14:paraId="38D14E2C">
                  <w:pPr>
                    <w:pStyle w:val="5"/>
                    <w:rPr>
                      <w:rFonts w:hint="default"/>
                    </w:rPr>
                  </w:pPr>
                  <w:r>
                    <w:rPr>
                      <w:rFonts w:hint="default"/>
                    </w:rPr>
                    <w:t>生产车间</w:t>
                  </w:r>
                </w:p>
              </w:tc>
              <w:tc>
                <w:tcPr>
                  <w:tcW w:w="508" w:type="pct"/>
                  <w:tcBorders>
                    <w:tl2br w:val="nil"/>
                    <w:tr2bl w:val="nil"/>
                  </w:tcBorders>
                  <w:noWrap w:val="0"/>
                  <w:vAlign w:val="center"/>
                </w:tcPr>
                <w:p w14:paraId="09206D82">
                  <w:pPr>
                    <w:pStyle w:val="5"/>
                    <w:rPr>
                      <w:rFonts w:hint="default"/>
                    </w:rPr>
                  </w:pPr>
                  <w:r>
                    <w:rPr>
                      <w:rFonts w:hint="default"/>
                    </w:rPr>
                    <w:t>VOCs</w:t>
                  </w:r>
                </w:p>
              </w:tc>
              <w:tc>
                <w:tcPr>
                  <w:tcW w:w="459" w:type="pct"/>
                  <w:tcBorders>
                    <w:tl2br w:val="nil"/>
                    <w:tr2bl w:val="nil"/>
                  </w:tcBorders>
                  <w:noWrap w:val="0"/>
                  <w:vAlign w:val="center"/>
                </w:tcPr>
                <w:p w14:paraId="0E942571">
                  <w:pPr>
                    <w:pStyle w:val="5"/>
                    <w:rPr>
                      <w:rFonts w:hint="default"/>
                      <w:lang w:val="en-US" w:eastAsia="zh-CN"/>
                    </w:rPr>
                  </w:pPr>
                  <w:r>
                    <w:rPr>
                      <w:rFonts w:hint="eastAsia"/>
                      <w:lang w:val="en-US" w:eastAsia="zh-CN"/>
                    </w:rPr>
                    <w:t>51</w:t>
                  </w:r>
                </w:p>
              </w:tc>
              <w:tc>
                <w:tcPr>
                  <w:tcW w:w="474" w:type="pct"/>
                  <w:tcBorders>
                    <w:tl2br w:val="nil"/>
                    <w:tr2bl w:val="nil"/>
                  </w:tcBorders>
                  <w:noWrap w:val="0"/>
                  <w:vAlign w:val="center"/>
                </w:tcPr>
                <w:p w14:paraId="2B9642A4">
                  <w:pPr>
                    <w:pStyle w:val="5"/>
                    <w:rPr>
                      <w:rFonts w:hint="default"/>
                      <w:lang w:val="en-US" w:eastAsia="zh-CN"/>
                    </w:rPr>
                  </w:pPr>
                  <w:r>
                    <w:rPr>
                      <w:rFonts w:hint="eastAsia"/>
                      <w:lang w:val="en-US" w:eastAsia="zh-CN"/>
                    </w:rPr>
                    <w:t>7.5</w:t>
                  </w:r>
                </w:p>
              </w:tc>
              <w:tc>
                <w:tcPr>
                  <w:tcW w:w="492" w:type="pct"/>
                  <w:tcBorders>
                    <w:tl2br w:val="nil"/>
                    <w:tr2bl w:val="nil"/>
                  </w:tcBorders>
                  <w:noWrap w:val="0"/>
                  <w:vAlign w:val="center"/>
                </w:tcPr>
                <w:p w14:paraId="61895C08">
                  <w:pPr>
                    <w:pStyle w:val="5"/>
                    <w:rPr>
                      <w:rFonts w:hint="default"/>
                      <w:lang w:val="en-US" w:eastAsia="zh-CN"/>
                    </w:rPr>
                  </w:pPr>
                  <w:r>
                    <w:rPr>
                      <w:rFonts w:hint="eastAsia"/>
                      <w:lang w:val="en-US" w:eastAsia="zh-CN"/>
                    </w:rPr>
                    <w:t>4.9</w:t>
                  </w:r>
                </w:p>
              </w:tc>
              <w:tc>
                <w:tcPr>
                  <w:tcW w:w="713" w:type="pct"/>
                  <w:tcBorders>
                    <w:tl2br w:val="nil"/>
                    <w:tr2bl w:val="nil"/>
                  </w:tcBorders>
                  <w:noWrap w:val="0"/>
                  <w:vAlign w:val="center"/>
                </w:tcPr>
                <w:p w14:paraId="2FE98A53">
                  <w:pPr>
                    <w:pStyle w:val="5"/>
                    <w:rPr>
                      <w:rFonts w:hint="default"/>
                      <w:lang w:val="en-US" w:eastAsia="zh-CN"/>
                    </w:rPr>
                  </w:pPr>
                  <w:r>
                    <w:rPr>
                      <w:rFonts w:hint="eastAsia"/>
                      <w:lang w:val="en-US" w:eastAsia="zh-CN"/>
                    </w:rPr>
                    <w:t>0.0520</w:t>
                  </w:r>
                </w:p>
              </w:tc>
              <w:tc>
                <w:tcPr>
                  <w:tcW w:w="885" w:type="pct"/>
                  <w:tcBorders>
                    <w:tl2br w:val="nil"/>
                    <w:tr2bl w:val="nil"/>
                  </w:tcBorders>
                  <w:noWrap w:val="0"/>
                  <w:vAlign w:val="center"/>
                </w:tcPr>
                <w:p w14:paraId="647B2010">
                  <w:pPr>
                    <w:pStyle w:val="5"/>
                    <w:rPr>
                      <w:rFonts w:hint="default"/>
                      <w:lang w:val="en-US" w:eastAsia="zh-CN"/>
                    </w:rPr>
                  </w:pPr>
                  <w:r>
                    <w:rPr>
                      <w:rFonts w:hint="eastAsia"/>
                      <w:lang w:val="en-US" w:eastAsia="zh-CN"/>
                    </w:rPr>
                    <w:t>2</w:t>
                  </w:r>
                </w:p>
              </w:tc>
              <w:tc>
                <w:tcPr>
                  <w:tcW w:w="823" w:type="pct"/>
                  <w:tcBorders>
                    <w:tl2br w:val="nil"/>
                    <w:tr2bl w:val="nil"/>
                  </w:tcBorders>
                  <w:noWrap w:val="0"/>
                  <w:vAlign w:val="center"/>
                </w:tcPr>
                <w:p w14:paraId="63153A68">
                  <w:pPr>
                    <w:pStyle w:val="5"/>
                    <w:rPr>
                      <w:rFonts w:hint="default"/>
                      <w:lang w:val="en-US" w:eastAsia="zh-CN"/>
                    </w:rPr>
                  </w:pPr>
                  <w:r>
                    <w:rPr>
                      <w:rFonts w:hint="eastAsia"/>
                      <w:lang w:val="en-US" w:eastAsia="zh-CN"/>
                    </w:rPr>
                    <w:t>2400</w:t>
                  </w:r>
                </w:p>
              </w:tc>
            </w:tr>
          </w:tbl>
          <w:p w14:paraId="4916FF1A">
            <w:pPr>
              <w:pStyle w:val="38"/>
              <w:ind w:firstLine="480"/>
              <w:rPr>
                <w:rFonts w:hint="default"/>
              </w:rPr>
            </w:pPr>
            <w:r>
              <w:rPr>
                <w:rFonts w:hint="default"/>
              </w:rPr>
              <w:t>（3）计算结果与影响评价</w:t>
            </w:r>
          </w:p>
          <w:p w14:paraId="602739BA">
            <w:pPr>
              <w:pStyle w:val="38"/>
              <w:ind w:firstLine="480"/>
              <w:rPr>
                <w:rFonts w:hint="default"/>
              </w:rPr>
            </w:pPr>
            <w:r>
              <w:rPr>
                <w:rFonts w:hint="default"/>
              </w:rPr>
              <w:t>按照上述卫生防护距离的计算公式，及无组织排放面源参数计算项目的卫生防护距离，计算结果详见下表。</w:t>
            </w:r>
          </w:p>
          <w:p w14:paraId="7A79E4FC">
            <w:pPr>
              <w:pStyle w:val="7"/>
              <w:rPr>
                <w:rFonts w:hint="default"/>
              </w:rPr>
            </w:pPr>
            <w:r>
              <w:rPr>
                <w:rFonts w:hint="eastAsia"/>
                <w:lang w:val="en-US" w:eastAsia="zh-CN"/>
              </w:rPr>
              <w:t xml:space="preserve">表4-7  </w:t>
            </w:r>
            <w:r>
              <w:rPr>
                <w:rFonts w:hint="default"/>
              </w:rPr>
              <w:t>项目卫生防护距离初值计算结果表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75"/>
              <w:gridCol w:w="838"/>
              <w:gridCol w:w="772"/>
              <w:gridCol w:w="1176"/>
              <w:gridCol w:w="1431"/>
              <w:gridCol w:w="1148"/>
              <w:gridCol w:w="1147"/>
            </w:tblGrid>
            <w:tr w14:paraId="26FC9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tcBorders>
                    <w:top w:val="single" w:color="auto" w:sz="4" w:space="0"/>
                  </w:tcBorders>
                  <w:noWrap w:val="0"/>
                  <w:vAlign w:val="center"/>
                </w:tcPr>
                <w:p w14:paraId="5147ED3D">
                  <w:pPr>
                    <w:pStyle w:val="5"/>
                    <w:rPr>
                      <w:rFonts w:hint="default"/>
                      <w:b/>
                      <w:bCs/>
                    </w:rPr>
                  </w:pPr>
                  <w:r>
                    <w:rPr>
                      <w:rFonts w:hint="default"/>
                      <w:b/>
                      <w:bCs/>
                    </w:rPr>
                    <w:t>污染源</w:t>
                  </w:r>
                </w:p>
              </w:tc>
              <w:tc>
                <w:tcPr>
                  <w:tcW w:w="663" w:type="pct"/>
                  <w:tcBorders>
                    <w:top w:val="single" w:color="auto" w:sz="4" w:space="0"/>
                  </w:tcBorders>
                  <w:noWrap w:val="0"/>
                  <w:vAlign w:val="center"/>
                </w:tcPr>
                <w:p w14:paraId="459AD7A8">
                  <w:pPr>
                    <w:pStyle w:val="5"/>
                    <w:rPr>
                      <w:rFonts w:hint="default"/>
                      <w:b/>
                      <w:bCs/>
                    </w:rPr>
                  </w:pPr>
                  <w:r>
                    <w:rPr>
                      <w:rFonts w:hint="default"/>
                      <w:b/>
                      <w:bCs/>
                    </w:rPr>
                    <w:t>污染物</w:t>
                  </w:r>
                </w:p>
              </w:tc>
              <w:tc>
                <w:tcPr>
                  <w:tcW w:w="473" w:type="pct"/>
                  <w:tcBorders>
                    <w:top w:val="single" w:color="auto" w:sz="4" w:space="0"/>
                  </w:tcBorders>
                  <w:noWrap w:val="0"/>
                  <w:vAlign w:val="center"/>
                </w:tcPr>
                <w:p w14:paraId="512134E7">
                  <w:pPr>
                    <w:pStyle w:val="5"/>
                    <w:rPr>
                      <w:rFonts w:hint="default"/>
                      <w:b/>
                      <w:bCs/>
                    </w:rPr>
                  </w:pPr>
                  <w:r>
                    <w:rPr>
                      <w:rFonts w:hint="default"/>
                      <w:b/>
                      <w:bCs/>
                    </w:rPr>
                    <w:t>面源长度（m）</w:t>
                  </w:r>
                </w:p>
              </w:tc>
              <w:tc>
                <w:tcPr>
                  <w:tcW w:w="436" w:type="pct"/>
                  <w:tcBorders>
                    <w:top w:val="single" w:color="auto" w:sz="4" w:space="0"/>
                  </w:tcBorders>
                  <w:noWrap w:val="0"/>
                  <w:vAlign w:val="center"/>
                </w:tcPr>
                <w:p w14:paraId="1BE0A10C">
                  <w:pPr>
                    <w:pStyle w:val="5"/>
                    <w:rPr>
                      <w:rFonts w:hint="default"/>
                      <w:b/>
                      <w:bCs/>
                    </w:rPr>
                  </w:pPr>
                  <w:r>
                    <w:rPr>
                      <w:rFonts w:hint="default"/>
                      <w:b/>
                      <w:bCs/>
                    </w:rPr>
                    <w:t>面源宽度（m）</w:t>
                  </w:r>
                </w:p>
              </w:tc>
              <w:tc>
                <w:tcPr>
                  <w:tcW w:w="664" w:type="pct"/>
                  <w:tcBorders>
                    <w:top w:val="single" w:color="auto" w:sz="4" w:space="0"/>
                  </w:tcBorders>
                  <w:noWrap w:val="0"/>
                  <w:vAlign w:val="center"/>
                </w:tcPr>
                <w:p w14:paraId="3D6D0BA7">
                  <w:pPr>
                    <w:pStyle w:val="5"/>
                    <w:rPr>
                      <w:rFonts w:hint="default"/>
                      <w:b/>
                      <w:bCs/>
                    </w:rPr>
                  </w:pPr>
                  <w:r>
                    <w:rPr>
                      <w:rFonts w:hint="default"/>
                      <w:b/>
                      <w:bCs/>
                    </w:rPr>
                    <w:t>面源有效高度</w:t>
                  </w:r>
                </w:p>
                <w:p w14:paraId="622DB25D">
                  <w:pPr>
                    <w:pStyle w:val="5"/>
                    <w:rPr>
                      <w:rFonts w:hint="default"/>
                      <w:b/>
                      <w:bCs/>
                    </w:rPr>
                  </w:pPr>
                  <w:r>
                    <w:rPr>
                      <w:rFonts w:hint="default"/>
                      <w:b/>
                      <w:bCs/>
                    </w:rPr>
                    <w:t>（m）</w:t>
                  </w:r>
                </w:p>
              </w:tc>
              <w:tc>
                <w:tcPr>
                  <w:tcW w:w="808" w:type="pct"/>
                  <w:tcBorders>
                    <w:top w:val="single" w:color="auto" w:sz="4" w:space="0"/>
                  </w:tcBorders>
                  <w:noWrap w:val="0"/>
                  <w:vAlign w:val="center"/>
                </w:tcPr>
                <w:p w14:paraId="50D7DF32">
                  <w:pPr>
                    <w:pStyle w:val="5"/>
                    <w:rPr>
                      <w:rFonts w:hint="default"/>
                      <w:b/>
                      <w:bCs/>
                    </w:rPr>
                  </w:pPr>
                  <w:r>
                    <w:rPr>
                      <w:rFonts w:hint="default"/>
                      <w:b/>
                      <w:bCs/>
                    </w:rPr>
                    <w:t>无组织排放源强Qc</w:t>
                  </w:r>
                </w:p>
                <w:p w14:paraId="674FB5E0">
                  <w:pPr>
                    <w:pStyle w:val="5"/>
                    <w:rPr>
                      <w:rFonts w:hint="default"/>
                      <w:b/>
                      <w:bCs/>
                    </w:rPr>
                  </w:pPr>
                  <w:r>
                    <w:rPr>
                      <w:rFonts w:hint="default"/>
                      <w:b/>
                      <w:bCs/>
                    </w:rPr>
                    <w:t>（kg/h）</w:t>
                  </w:r>
                </w:p>
              </w:tc>
              <w:tc>
                <w:tcPr>
                  <w:tcW w:w="648" w:type="pct"/>
                  <w:tcBorders>
                    <w:top w:val="single" w:color="auto" w:sz="4" w:space="0"/>
                  </w:tcBorders>
                  <w:noWrap w:val="0"/>
                  <w:vAlign w:val="center"/>
                </w:tcPr>
                <w:p w14:paraId="75C278C3">
                  <w:pPr>
                    <w:pStyle w:val="5"/>
                    <w:rPr>
                      <w:rFonts w:hint="default"/>
                      <w:b/>
                      <w:bCs/>
                    </w:rPr>
                  </w:pPr>
                  <w:r>
                    <w:rPr>
                      <w:rFonts w:hint="default"/>
                      <w:b/>
                      <w:bCs/>
                    </w:rPr>
                    <w:t>卫生防护距离初值（m）</w:t>
                  </w:r>
                </w:p>
              </w:tc>
              <w:tc>
                <w:tcPr>
                  <w:tcW w:w="647" w:type="pct"/>
                  <w:tcBorders>
                    <w:top w:val="single" w:color="auto" w:sz="4" w:space="0"/>
                  </w:tcBorders>
                  <w:noWrap w:val="0"/>
                  <w:vAlign w:val="center"/>
                </w:tcPr>
                <w:p w14:paraId="4AA96030">
                  <w:pPr>
                    <w:pStyle w:val="5"/>
                    <w:rPr>
                      <w:rFonts w:hint="default"/>
                      <w:b/>
                      <w:bCs/>
                    </w:rPr>
                  </w:pPr>
                  <w:r>
                    <w:rPr>
                      <w:rFonts w:hint="default"/>
                      <w:b/>
                      <w:bCs/>
                    </w:rPr>
                    <w:t>卫生防护距离</w:t>
                  </w:r>
                </w:p>
                <w:p w14:paraId="79445906">
                  <w:pPr>
                    <w:pStyle w:val="5"/>
                    <w:rPr>
                      <w:rFonts w:hint="default"/>
                      <w:b/>
                      <w:bCs/>
                    </w:rPr>
                  </w:pPr>
                  <w:r>
                    <w:rPr>
                      <w:rFonts w:hint="default"/>
                      <w:b/>
                      <w:bCs/>
                    </w:rPr>
                    <w:t>（m）</w:t>
                  </w:r>
                </w:p>
              </w:tc>
            </w:tr>
            <w:tr w14:paraId="16E64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tcBorders>
                    <w:bottom w:val="single" w:color="auto" w:sz="4" w:space="0"/>
                  </w:tcBorders>
                  <w:noWrap w:val="0"/>
                  <w:vAlign w:val="center"/>
                </w:tcPr>
                <w:p w14:paraId="7303C6FE">
                  <w:pPr>
                    <w:pStyle w:val="5"/>
                    <w:rPr>
                      <w:rFonts w:hint="default"/>
                    </w:rPr>
                  </w:pPr>
                  <w:r>
                    <w:rPr>
                      <w:rFonts w:hint="default"/>
                    </w:rPr>
                    <w:t>生产车间</w:t>
                  </w:r>
                </w:p>
              </w:tc>
              <w:tc>
                <w:tcPr>
                  <w:tcW w:w="663" w:type="pct"/>
                  <w:tcBorders>
                    <w:bottom w:val="single" w:color="auto" w:sz="4" w:space="0"/>
                  </w:tcBorders>
                  <w:noWrap w:val="0"/>
                  <w:vAlign w:val="center"/>
                </w:tcPr>
                <w:p w14:paraId="388DC6EB">
                  <w:pPr>
                    <w:pStyle w:val="5"/>
                    <w:rPr>
                      <w:rFonts w:hint="default"/>
                    </w:rPr>
                  </w:pPr>
                  <w:r>
                    <w:rPr>
                      <w:rFonts w:hint="default"/>
                    </w:rPr>
                    <w:t>VOCs</w:t>
                  </w:r>
                </w:p>
              </w:tc>
              <w:tc>
                <w:tcPr>
                  <w:tcW w:w="473" w:type="pct"/>
                  <w:tcBorders>
                    <w:bottom w:val="single" w:color="auto" w:sz="4" w:space="0"/>
                  </w:tcBorders>
                  <w:noWrap w:val="0"/>
                  <w:vAlign w:val="center"/>
                </w:tcPr>
                <w:p w14:paraId="2A3ACB12">
                  <w:pPr>
                    <w:pStyle w:val="5"/>
                    <w:rPr>
                      <w:rFonts w:hint="default"/>
                      <w:lang w:val="en-US"/>
                    </w:rPr>
                  </w:pPr>
                  <w:r>
                    <w:rPr>
                      <w:rFonts w:hint="eastAsia"/>
                      <w:lang w:val="en-US" w:eastAsia="zh-CN"/>
                    </w:rPr>
                    <w:t>51</w:t>
                  </w:r>
                </w:p>
              </w:tc>
              <w:tc>
                <w:tcPr>
                  <w:tcW w:w="436" w:type="pct"/>
                  <w:tcBorders>
                    <w:bottom w:val="single" w:color="auto" w:sz="4" w:space="0"/>
                  </w:tcBorders>
                  <w:noWrap w:val="0"/>
                  <w:vAlign w:val="center"/>
                </w:tcPr>
                <w:p w14:paraId="4D924293">
                  <w:pPr>
                    <w:pStyle w:val="5"/>
                    <w:rPr>
                      <w:rFonts w:hint="default"/>
                      <w:lang w:val="en-US"/>
                    </w:rPr>
                  </w:pPr>
                  <w:r>
                    <w:rPr>
                      <w:rFonts w:hint="eastAsia"/>
                      <w:lang w:val="en-US" w:eastAsia="zh-CN"/>
                    </w:rPr>
                    <w:t>7.5</w:t>
                  </w:r>
                </w:p>
              </w:tc>
              <w:tc>
                <w:tcPr>
                  <w:tcW w:w="664" w:type="pct"/>
                  <w:tcBorders>
                    <w:bottom w:val="single" w:color="auto" w:sz="4" w:space="0"/>
                  </w:tcBorders>
                  <w:noWrap w:val="0"/>
                  <w:vAlign w:val="center"/>
                </w:tcPr>
                <w:p w14:paraId="7E0CBDFA">
                  <w:pPr>
                    <w:pStyle w:val="5"/>
                    <w:rPr>
                      <w:rFonts w:hint="default"/>
                      <w:lang w:val="en-US" w:eastAsia="zh-CN"/>
                    </w:rPr>
                  </w:pPr>
                  <w:r>
                    <w:rPr>
                      <w:rFonts w:hint="eastAsia"/>
                      <w:lang w:val="en-US" w:eastAsia="zh-CN"/>
                    </w:rPr>
                    <w:t>4.9</w:t>
                  </w:r>
                </w:p>
              </w:tc>
              <w:tc>
                <w:tcPr>
                  <w:tcW w:w="808" w:type="pct"/>
                  <w:tcBorders>
                    <w:bottom w:val="single" w:color="auto" w:sz="4" w:space="0"/>
                  </w:tcBorders>
                  <w:noWrap w:val="0"/>
                  <w:vAlign w:val="center"/>
                </w:tcPr>
                <w:p w14:paraId="10D4C971">
                  <w:pPr>
                    <w:pStyle w:val="5"/>
                    <w:rPr>
                      <w:rFonts w:hint="default"/>
                      <w:lang w:val="en-US"/>
                    </w:rPr>
                  </w:pPr>
                  <w:r>
                    <w:rPr>
                      <w:rFonts w:hint="default"/>
                      <w:lang w:val="en-US" w:eastAsia="zh-CN"/>
                    </w:rPr>
                    <w:t>0.0</w:t>
                  </w:r>
                  <w:r>
                    <w:rPr>
                      <w:rFonts w:hint="eastAsia"/>
                      <w:lang w:val="en-US" w:eastAsia="zh-CN"/>
                    </w:rPr>
                    <w:t>520</w:t>
                  </w:r>
                </w:p>
              </w:tc>
              <w:tc>
                <w:tcPr>
                  <w:tcW w:w="648" w:type="pct"/>
                  <w:tcBorders>
                    <w:bottom w:val="single" w:color="auto" w:sz="4" w:space="0"/>
                  </w:tcBorders>
                  <w:noWrap w:val="0"/>
                  <w:vAlign w:val="center"/>
                </w:tcPr>
                <w:p w14:paraId="0CF0D96E">
                  <w:pPr>
                    <w:pStyle w:val="5"/>
                    <w:rPr>
                      <w:rFonts w:hint="default"/>
                      <w:lang w:val="en-US" w:eastAsia="zh-CN"/>
                    </w:rPr>
                  </w:pPr>
                  <w:r>
                    <w:rPr>
                      <w:rFonts w:hint="eastAsia"/>
                      <w:lang w:val="en-US" w:eastAsia="zh-CN"/>
                    </w:rPr>
                    <w:t>2.25</w:t>
                  </w:r>
                </w:p>
              </w:tc>
              <w:tc>
                <w:tcPr>
                  <w:tcW w:w="647" w:type="pct"/>
                  <w:tcBorders>
                    <w:bottom w:val="single" w:color="auto" w:sz="4" w:space="0"/>
                  </w:tcBorders>
                  <w:noWrap w:val="0"/>
                  <w:vAlign w:val="center"/>
                </w:tcPr>
                <w:p w14:paraId="069C8EA0">
                  <w:pPr>
                    <w:pStyle w:val="5"/>
                    <w:rPr>
                      <w:rFonts w:hint="default" w:eastAsia="宋体"/>
                      <w:lang w:val="en-US" w:eastAsia="zh-CN"/>
                    </w:rPr>
                  </w:pPr>
                  <w:r>
                    <w:rPr>
                      <w:rFonts w:hint="eastAsia"/>
                      <w:lang w:val="en-US" w:eastAsia="zh-CN"/>
                    </w:rPr>
                    <w:t>50</w:t>
                  </w:r>
                </w:p>
              </w:tc>
            </w:tr>
          </w:tbl>
          <w:p w14:paraId="2C5F99D4">
            <w:pPr>
              <w:pStyle w:val="38"/>
              <w:ind w:firstLine="480"/>
              <w:rPr>
                <w:rFonts w:hint="default"/>
                <w:highlight w:val="none"/>
              </w:rPr>
            </w:pPr>
            <w:r>
              <w:rPr>
                <w:rFonts w:hint="default"/>
                <w:highlight w:val="none"/>
              </w:rPr>
              <w:t>综上，本次评价以生产</w:t>
            </w:r>
            <w:r>
              <w:rPr>
                <w:rFonts w:hint="default"/>
                <w:highlight w:val="none"/>
                <w:lang w:val="en-US" w:eastAsia="zh-CN"/>
              </w:rPr>
              <w:t>车间</w:t>
            </w:r>
            <w:r>
              <w:rPr>
                <w:rFonts w:hint="default"/>
                <w:highlight w:val="none"/>
              </w:rPr>
              <w:t>边界向外划定50米卫生防护距离。</w:t>
            </w:r>
          </w:p>
          <w:p w14:paraId="4BCE5313">
            <w:pPr>
              <w:pStyle w:val="38"/>
              <w:ind w:firstLine="480"/>
              <w:rPr>
                <w:rFonts w:hint="default"/>
                <w:b/>
                <w:bCs/>
              </w:rPr>
            </w:pPr>
            <w:r>
              <w:rPr>
                <w:rFonts w:hint="default"/>
              </w:rPr>
              <w:t>根据现场踏勘，本项目卫生防护距离包络</w:t>
            </w:r>
            <w:r>
              <w:rPr>
                <w:rFonts w:hint="eastAsia"/>
                <w:lang w:val="en-US" w:eastAsia="zh-CN"/>
              </w:rPr>
              <w:t>线范围</w:t>
            </w:r>
            <w:r>
              <w:rPr>
                <w:rFonts w:hint="default"/>
              </w:rPr>
              <w:t>内无医院、学校、食品企业、居民集中居住区等敏感目标。</w:t>
            </w:r>
            <w:r>
              <w:rPr>
                <w:rFonts w:hint="default"/>
                <w:b/>
                <w:bCs/>
              </w:rPr>
              <w:t>环评要求，卫生防护距离内不得新建医院、学校、食品企业、居民集中居住区等环境敏感项目。</w:t>
            </w:r>
          </w:p>
          <w:p w14:paraId="252D5141">
            <w:pPr>
              <w:pStyle w:val="38"/>
              <w:ind w:firstLine="482"/>
              <w:rPr>
                <w:b/>
                <w:bCs/>
                <w:color w:val="auto"/>
              </w:rPr>
            </w:pPr>
            <w:r>
              <w:rPr>
                <w:rFonts w:hint="eastAsia"/>
                <w:b/>
                <w:bCs/>
                <w:color w:val="auto"/>
              </w:rPr>
              <w:t>（</w:t>
            </w:r>
            <w:r>
              <w:rPr>
                <w:rFonts w:hint="eastAsia"/>
                <w:b/>
                <w:bCs/>
                <w:color w:val="auto"/>
                <w:lang w:val="en-US" w:eastAsia="zh-CN"/>
              </w:rPr>
              <w:t>5</w:t>
            </w:r>
            <w:r>
              <w:rPr>
                <w:rFonts w:hint="eastAsia"/>
                <w:b/>
                <w:bCs/>
                <w:color w:val="auto"/>
              </w:rPr>
              <w:t>）</w:t>
            </w:r>
            <w:r>
              <w:rPr>
                <w:b/>
                <w:bCs/>
                <w:color w:val="auto"/>
              </w:rPr>
              <w:t>废气排放口基本情况</w:t>
            </w:r>
          </w:p>
          <w:p w14:paraId="5692F624">
            <w:pPr>
              <w:pStyle w:val="38"/>
              <w:ind w:firstLine="480"/>
              <w:rPr>
                <w:color w:val="auto"/>
              </w:rPr>
            </w:pPr>
            <w:r>
              <w:rPr>
                <w:rFonts w:hint="eastAsia"/>
                <w:color w:val="auto"/>
              </w:rPr>
              <w:t>本项目废气排放口基本情况见下表</w:t>
            </w:r>
            <w:r>
              <w:rPr>
                <w:color w:val="auto"/>
              </w:rPr>
              <w:t>。</w:t>
            </w:r>
          </w:p>
          <w:p w14:paraId="7D555BCE">
            <w:pPr>
              <w:pStyle w:val="7"/>
              <w:jc w:val="center"/>
            </w:pPr>
            <w:r>
              <w:t>表4</w:t>
            </w:r>
            <w:r>
              <w:rPr>
                <w:rFonts w:hint="eastAsia"/>
                <w:lang w:val="en-US" w:eastAsia="zh-CN"/>
              </w:rPr>
              <w:t>-8</w:t>
            </w:r>
            <w:r>
              <w:t xml:space="preserve">  废气排放口基本情况表</w:t>
            </w:r>
          </w:p>
          <w:tbl>
            <w:tblPr>
              <w:tblStyle w:val="30"/>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0"/>
              <w:gridCol w:w="634"/>
              <w:gridCol w:w="757"/>
              <w:gridCol w:w="818"/>
              <w:gridCol w:w="1125"/>
              <w:gridCol w:w="568"/>
              <w:gridCol w:w="718"/>
              <w:gridCol w:w="920"/>
              <w:gridCol w:w="506"/>
              <w:gridCol w:w="575"/>
              <w:gridCol w:w="458"/>
              <w:gridCol w:w="1042"/>
            </w:tblGrid>
            <w:tr w14:paraId="0857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5" w:type="pct"/>
                  <w:gridSpan w:val="2"/>
                  <w:vMerge w:val="restart"/>
                  <w:noWrap w:val="0"/>
                  <w:vAlign w:val="center"/>
                </w:tcPr>
                <w:p w14:paraId="476CE246">
                  <w:pPr>
                    <w:pStyle w:val="5"/>
                    <w:bidi w:val="0"/>
                    <w:rPr>
                      <w:b/>
                      <w:bCs/>
                    </w:rPr>
                  </w:pPr>
                  <w:r>
                    <w:rPr>
                      <w:b/>
                      <w:bCs/>
                    </w:rPr>
                    <w:t>污染源名称</w:t>
                  </w:r>
                </w:p>
              </w:tc>
              <w:tc>
                <w:tcPr>
                  <w:tcW w:w="890" w:type="pct"/>
                  <w:gridSpan w:val="2"/>
                  <w:noWrap w:val="0"/>
                  <w:vAlign w:val="center"/>
                </w:tcPr>
                <w:p w14:paraId="0E9CD3A1">
                  <w:pPr>
                    <w:pStyle w:val="5"/>
                    <w:bidi w:val="0"/>
                    <w:rPr>
                      <w:b/>
                      <w:bCs/>
                    </w:rPr>
                  </w:pPr>
                  <w:r>
                    <w:rPr>
                      <w:b/>
                      <w:bCs/>
                    </w:rPr>
                    <w:t>排气筒底部中心坐标</w:t>
                  </w:r>
                </w:p>
              </w:tc>
              <w:tc>
                <w:tcPr>
                  <w:tcW w:w="636" w:type="pct"/>
                  <w:vMerge w:val="restart"/>
                  <w:noWrap w:val="0"/>
                  <w:vAlign w:val="center"/>
                </w:tcPr>
                <w:p w14:paraId="37617E3A">
                  <w:pPr>
                    <w:pStyle w:val="5"/>
                    <w:bidi w:val="0"/>
                    <w:rPr>
                      <w:b/>
                      <w:bCs/>
                    </w:rPr>
                  </w:pPr>
                  <w:r>
                    <w:rPr>
                      <w:b/>
                      <w:bCs/>
                    </w:rPr>
                    <w:t>排气筒底部海拔高度</w:t>
                  </w:r>
                </w:p>
                <w:p w14:paraId="639D5795">
                  <w:pPr>
                    <w:pStyle w:val="5"/>
                    <w:bidi w:val="0"/>
                    <w:rPr>
                      <w:b/>
                      <w:bCs/>
                    </w:rPr>
                  </w:pPr>
                  <w:r>
                    <w:rPr>
                      <w:b/>
                      <w:bCs/>
                    </w:rPr>
                    <w:t>m</w:t>
                  </w:r>
                </w:p>
              </w:tc>
              <w:tc>
                <w:tcPr>
                  <w:tcW w:w="321" w:type="pct"/>
                  <w:vMerge w:val="restart"/>
                  <w:noWrap w:val="0"/>
                  <w:vAlign w:val="center"/>
                </w:tcPr>
                <w:p w14:paraId="37FB8702">
                  <w:pPr>
                    <w:pStyle w:val="5"/>
                    <w:bidi w:val="0"/>
                    <w:rPr>
                      <w:b/>
                      <w:bCs/>
                    </w:rPr>
                  </w:pPr>
                  <w:r>
                    <w:rPr>
                      <w:b/>
                      <w:bCs/>
                    </w:rPr>
                    <w:t>排气筒高度</w:t>
                  </w:r>
                </w:p>
                <w:p w14:paraId="2E5704AC">
                  <w:pPr>
                    <w:pStyle w:val="5"/>
                    <w:bidi w:val="0"/>
                    <w:rPr>
                      <w:b/>
                      <w:bCs/>
                    </w:rPr>
                  </w:pPr>
                  <w:r>
                    <w:rPr>
                      <w:b/>
                      <w:bCs/>
                    </w:rPr>
                    <w:t>m</w:t>
                  </w:r>
                </w:p>
              </w:tc>
              <w:tc>
                <w:tcPr>
                  <w:tcW w:w="406" w:type="pct"/>
                  <w:vMerge w:val="restart"/>
                  <w:noWrap w:val="0"/>
                  <w:vAlign w:val="center"/>
                </w:tcPr>
                <w:p w14:paraId="40A47945">
                  <w:pPr>
                    <w:pStyle w:val="5"/>
                    <w:bidi w:val="0"/>
                    <w:rPr>
                      <w:b/>
                      <w:bCs/>
                    </w:rPr>
                  </w:pPr>
                  <w:r>
                    <w:rPr>
                      <w:b/>
                      <w:bCs/>
                    </w:rPr>
                    <w:t>排气筒出口内径</w:t>
                  </w:r>
                </w:p>
                <w:p w14:paraId="4E0D8420">
                  <w:pPr>
                    <w:pStyle w:val="5"/>
                    <w:bidi w:val="0"/>
                    <w:rPr>
                      <w:b/>
                      <w:bCs/>
                    </w:rPr>
                  </w:pPr>
                  <w:r>
                    <w:rPr>
                      <w:b/>
                      <w:bCs/>
                    </w:rPr>
                    <w:t>m</w:t>
                  </w:r>
                </w:p>
              </w:tc>
              <w:tc>
                <w:tcPr>
                  <w:tcW w:w="520" w:type="pct"/>
                  <w:vMerge w:val="restart"/>
                  <w:noWrap w:val="0"/>
                  <w:vAlign w:val="center"/>
                </w:tcPr>
                <w:p w14:paraId="3DE0B13A">
                  <w:pPr>
                    <w:pStyle w:val="5"/>
                    <w:bidi w:val="0"/>
                    <w:rPr>
                      <w:b/>
                      <w:bCs/>
                    </w:rPr>
                  </w:pPr>
                  <w:r>
                    <w:rPr>
                      <w:b/>
                      <w:bCs/>
                    </w:rPr>
                    <w:t>烟气流速</w:t>
                  </w:r>
                </w:p>
                <w:p w14:paraId="6D3C982B">
                  <w:pPr>
                    <w:pStyle w:val="5"/>
                    <w:bidi w:val="0"/>
                    <w:rPr>
                      <w:b/>
                      <w:bCs/>
                    </w:rPr>
                  </w:pPr>
                  <w:r>
                    <w:rPr>
                      <w:b/>
                      <w:bCs/>
                    </w:rPr>
                    <w:t>（m/s）</w:t>
                  </w:r>
                </w:p>
              </w:tc>
              <w:tc>
                <w:tcPr>
                  <w:tcW w:w="286" w:type="pct"/>
                  <w:vMerge w:val="restart"/>
                  <w:noWrap w:val="0"/>
                  <w:vAlign w:val="center"/>
                </w:tcPr>
                <w:p w14:paraId="03A1216A">
                  <w:pPr>
                    <w:pStyle w:val="5"/>
                    <w:bidi w:val="0"/>
                    <w:rPr>
                      <w:b/>
                      <w:bCs/>
                    </w:rPr>
                  </w:pPr>
                  <w:r>
                    <w:rPr>
                      <w:b/>
                      <w:bCs/>
                    </w:rPr>
                    <w:t>烟气温度</w:t>
                  </w:r>
                </w:p>
                <w:p w14:paraId="7CB56918">
                  <w:pPr>
                    <w:pStyle w:val="5"/>
                    <w:bidi w:val="0"/>
                    <w:rPr>
                      <w:b/>
                      <w:bCs/>
                    </w:rPr>
                  </w:pPr>
                  <w:r>
                    <w:rPr>
                      <w:rFonts w:hint="eastAsia"/>
                      <w:b/>
                      <w:bCs/>
                    </w:rPr>
                    <w:t>℃</w:t>
                  </w:r>
                </w:p>
              </w:tc>
              <w:tc>
                <w:tcPr>
                  <w:tcW w:w="325" w:type="pct"/>
                  <w:vMerge w:val="restart"/>
                  <w:noWrap w:val="0"/>
                  <w:vAlign w:val="center"/>
                </w:tcPr>
                <w:p w14:paraId="2E6A95E3">
                  <w:pPr>
                    <w:pStyle w:val="5"/>
                    <w:bidi w:val="0"/>
                    <w:rPr>
                      <w:b/>
                      <w:bCs/>
                    </w:rPr>
                  </w:pPr>
                  <w:r>
                    <w:rPr>
                      <w:b/>
                      <w:bCs/>
                    </w:rPr>
                    <w:t>年排放小时数</w:t>
                  </w:r>
                </w:p>
                <w:p w14:paraId="090A69A8">
                  <w:pPr>
                    <w:pStyle w:val="5"/>
                    <w:bidi w:val="0"/>
                    <w:rPr>
                      <w:b/>
                      <w:bCs/>
                    </w:rPr>
                  </w:pPr>
                  <w:r>
                    <w:rPr>
                      <w:b/>
                      <w:bCs/>
                    </w:rPr>
                    <w:t>h</w:t>
                  </w:r>
                </w:p>
              </w:tc>
              <w:tc>
                <w:tcPr>
                  <w:tcW w:w="259" w:type="pct"/>
                  <w:vMerge w:val="restart"/>
                  <w:noWrap w:val="0"/>
                  <w:vAlign w:val="center"/>
                </w:tcPr>
                <w:p w14:paraId="0AAF5B49">
                  <w:pPr>
                    <w:pStyle w:val="5"/>
                    <w:bidi w:val="0"/>
                    <w:rPr>
                      <w:b/>
                      <w:bCs/>
                      <w:highlight w:val="none"/>
                    </w:rPr>
                  </w:pPr>
                  <w:r>
                    <w:rPr>
                      <w:b/>
                      <w:bCs/>
                      <w:highlight w:val="none"/>
                    </w:rPr>
                    <w:t>排放工况</w:t>
                  </w:r>
                </w:p>
              </w:tc>
              <w:tc>
                <w:tcPr>
                  <w:tcW w:w="588" w:type="pct"/>
                  <w:vMerge w:val="restart"/>
                  <w:noWrap w:val="0"/>
                  <w:vAlign w:val="center"/>
                </w:tcPr>
                <w:p w14:paraId="5606F979">
                  <w:pPr>
                    <w:pStyle w:val="5"/>
                    <w:bidi w:val="0"/>
                    <w:rPr>
                      <w:b/>
                      <w:bCs/>
                    </w:rPr>
                  </w:pPr>
                  <w:r>
                    <w:rPr>
                      <w:b/>
                      <w:bCs/>
                    </w:rPr>
                    <w:t>污染物排放速率</w:t>
                  </w:r>
                </w:p>
                <w:p w14:paraId="7CC9A15A">
                  <w:pPr>
                    <w:pStyle w:val="5"/>
                    <w:bidi w:val="0"/>
                    <w:rPr>
                      <w:b/>
                      <w:bCs/>
                    </w:rPr>
                  </w:pPr>
                  <w:r>
                    <w:rPr>
                      <w:b/>
                      <w:bCs/>
                    </w:rPr>
                    <w:t>（kg/h）</w:t>
                  </w:r>
                </w:p>
              </w:tc>
            </w:tr>
            <w:tr w14:paraId="0049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5" w:type="pct"/>
                  <w:gridSpan w:val="2"/>
                  <w:vMerge w:val="continue"/>
                  <w:noWrap w:val="0"/>
                  <w:vAlign w:val="center"/>
                </w:tcPr>
                <w:p w14:paraId="75F1EE10">
                  <w:pPr>
                    <w:pStyle w:val="5"/>
                    <w:bidi w:val="0"/>
                  </w:pPr>
                </w:p>
              </w:tc>
              <w:tc>
                <w:tcPr>
                  <w:tcW w:w="428" w:type="pct"/>
                  <w:noWrap w:val="0"/>
                  <w:vAlign w:val="center"/>
                </w:tcPr>
                <w:p w14:paraId="54E30230">
                  <w:pPr>
                    <w:pStyle w:val="5"/>
                    <w:bidi w:val="0"/>
                    <w:rPr>
                      <w:b/>
                      <w:bCs/>
                    </w:rPr>
                  </w:pPr>
                  <w:r>
                    <w:rPr>
                      <w:rFonts w:hint="eastAsia"/>
                      <w:b/>
                      <w:bCs/>
                    </w:rPr>
                    <w:t>经度</w:t>
                  </w:r>
                </w:p>
              </w:tc>
              <w:tc>
                <w:tcPr>
                  <w:tcW w:w="462" w:type="pct"/>
                  <w:noWrap w:val="0"/>
                  <w:vAlign w:val="center"/>
                </w:tcPr>
                <w:p w14:paraId="61DD04BF">
                  <w:pPr>
                    <w:pStyle w:val="5"/>
                    <w:bidi w:val="0"/>
                    <w:rPr>
                      <w:rFonts w:hint="eastAsia"/>
                      <w:b/>
                      <w:bCs/>
                    </w:rPr>
                  </w:pPr>
                  <w:r>
                    <w:rPr>
                      <w:rFonts w:hint="eastAsia"/>
                      <w:b/>
                      <w:bCs/>
                    </w:rPr>
                    <w:t>纬度</w:t>
                  </w:r>
                </w:p>
              </w:tc>
              <w:tc>
                <w:tcPr>
                  <w:tcW w:w="636" w:type="pct"/>
                  <w:vMerge w:val="continue"/>
                  <w:noWrap w:val="0"/>
                  <w:vAlign w:val="center"/>
                </w:tcPr>
                <w:p w14:paraId="224CB9A5">
                  <w:pPr>
                    <w:pStyle w:val="5"/>
                    <w:bidi w:val="0"/>
                  </w:pPr>
                </w:p>
              </w:tc>
              <w:tc>
                <w:tcPr>
                  <w:tcW w:w="321" w:type="pct"/>
                  <w:vMerge w:val="continue"/>
                  <w:noWrap w:val="0"/>
                  <w:vAlign w:val="center"/>
                </w:tcPr>
                <w:p w14:paraId="03B763AF">
                  <w:pPr>
                    <w:pStyle w:val="5"/>
                    <w:bidi w:val="0"/>
                  </w:pPr>
                </w:p>
              </w:tc>
              <w:tc>
                <w:tcPr>
                  <w:tcW w:w="406" w:type="pct"/>
                  <w:vMerge w:val="continue"/>
                  <w:noWrap w:val="0"/>
                  <w:vAlign w:val="center"/>
                </w:tcPr>
                <w:p w14:paraId="58D4BDD4">
                  <w:pPr>
                    <w:pStyle w:val="5"/>
                    <w:bidi w:val="0"/>
                  </w:pPr>
                </w:p>
              </w:tc>
              <w:tc>
                <w:tcPr>
                  <w:tcW w:w="520" w:type="pct"/>
                  <w:vMerge w:val="continue"/>
                  <w:noWrap w:val="0"/>
                  <w:vAlign w:val="center"/>
                </w:tcPr>
                <w:p w14:paraId="68948294">
                  <w:pPr>
                    <w:pStyle w:val="5"/>
                    <w:bidi w:val="0"/>
                  </w:pPr>
                </w:p>
              </w:tc>
              <w:tc>
                <w:tcPr>
                  <w:tcW w:w="286" w:type="pct"/>
                  <w:vMerge w:val="continue"/>
                  <w:noWrap w:val="0"/>
                  <w:vAlign w:val="center"/>
                </w:tcPr>
                <w:p w14:paraId="49364530">
                  <w:pPr>
                    <w:pStyle w:val="5"/>
                    <w:bidi w:val="0"/>
                  </w:pPr>
                </w:p>
              </w:tc>
              <w:tc>
                <w:tcPr>
                  <w:tcW w:w="325" w:type="pct"/>
                  <w:vMerge w:val="continue"/>
                  <w:noWrap w:val="0"/>
                  <w:vAlign w:val="center"/>
                </w:tcPr>
                <w:p w14:paraId="399AA17E">
                  <w:pPr>
                    <w:pStyle w:val="5"/>
                    <w:bidi w:val="0"/>
                  </w:pPr>
                </w:p>
              </w:tc>
              <w:tc>
                <w:tcPr>
                  <w:tcW w:w="259" w:type="pct"/>
                  <w:vMerge w:val="continue"/>
                  <w:noWrap w:val="0"/>
                  <w:vAlign w:val="center"/>
                </w:tcPr>
                <w:p w14:paraId="0A2E1318">
                  <w:pPr>
                    <w:pStyle w:val="5"/>
                    <w:bidi w:val="0"/>
                    <w:rPr>
                      <w:highlight w:val="none"/>
                    </w:rPr>
                  </w:pPr>
                </w:p>
              </w:tc>
              <w:tc>
                <w:tcPr>
                  <w:tcW w:w="588" w:type="pct"/>
                  <w:vMerge w:val="continue"/>
                  <w:noWrap w:val="0"/>
                  <w:vAlign w:val="center"/>
                </w:tcPr>
                <w:p w14:paraId="41B6D106">
                  <w:pPr>
                    <w:pStyle w:val="5"/>
                    <w:bidi w:val="0"/>
                  </w:pPr>
                </w:p>
              </w:tc>
            </w:tr>
            <w:tr w14:paraId="4EFA5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7" w:type="pct"/>
                  <w:noWrap w:val="0"/>
                  <w:vAlign w:val="center"/>
                </w:tcPr>
                <w:p w14:paraId="045B0775">
                  <w:pPr>
                    <w:pStyle w:val="5"/>
                    <w:bidi w:val="0"/>
                  </w:pPr>
                  <w:r>
                    <w:t>DA001</w:t>
                  </w:r>
                </w:p>
              </w:tc>
              <w:tc>
                <w:tcPr>
                  <w:tcW w:w="358" w:type="pct"/>
                  <w:noWrap w:val="0"/>
                  <w:vAlign w:val="center"/>
                </w:tcPr>
                <w:p w14:paraId="489221CF">
                  <w:pPr>
                    <w:pStyle w:val="5"/>
                    <w:bidi w:val="0"/>
                  </w:pPr>
                  <w:r>
                    <w:rPr>
                      <w:rFonts w:hint="eastAsia"/>
                    </w:rPr>
                    <w:t>VOCs</w:t>
                  </w:r>
                </w:p>
              </w:tc>
              <w:tc>
                <w:tcPr>
                  <w:tcW w:w="428" w:type="pct"/>
                  <w:noWrap w:val="0"/>
                  <w:vAlign w:val="center"/>
                </w:tcPr>
                <w:p w14:paraId="3FC81967">
                  <w:pPr>
                    <w:pStyle w:val="5"/>
                    <w:bidi w:val="0"/>
                  </w:pPr>
                  <w:r>
                    <w:rPr>
                      <w:rFonts w:hint="eastAsia"/>
                    </w:rPr>
                    <w:t>107.51120371</w:t>
                  </w:r>
                </w:p>
              </w:tc>
              <w:tc>
                <w:tcPr>
                  <w:tcW w:w="462" w:type="pct"/>
                  <w:noWrap w:val="0"/>
                  <w:vAlign w:val="center"/>
                </w:tcPr>
                <w:p w14:paraId="50C37324">
                  <w:pPr>
                    <w:pStyle w:val="5"/>
                    <w:bidi w:val="0"/>
                  </w:pPr>
                  <w:r>
                    <w:rPr>
                      <w:rFonts w:hint="eastAsia"/>
                    </w:rPr>
                    <w:t>31.35810835</w:t>
                  </w:r>
                </w:p>
              </w:tc>
              <w:tc>
                <w:tcPr>
                  <w:tcW w:w="636" w:type="pct"/>
                  <w:noWrap w:val="0"/>
                  <w:vAlign w:val="center"/>
                </w:tcPr>
                <w:p w14:paraId="1552AB4E">
                  <w:pPr>
                    <w:pStyle w:val="5"/>
                    <w:bidi w:val="0"/>
                    <w:rPr>
                      <w:rFonts w:hint="default" w:eastAsia="宋体"/>
                      <w:lang w:val="en-US" w:eastAsia="zh-CN"/>
                    </w:rPr>
                  </w:pPr>
                  <w:r>
                    <w:rPr>
                      <w:rFonts w:hint="eastAsia"/>
                      <w:lang w:val="en-US" w:eastAsia="zh-CN"/>
                    </w:rPr>
                    <w:t>399</w:t>
                  </w:r>
                </w:p>
              </w:tc>
              <w:tc>
                <w:tcPr>
                  <w:tcW w:w="321" w:type="pct"/>
                  <w:noWrap w:val="0"/>
                  <w:vAlign w:val="center"/>
                </w:tcPr>
                <w:p w14:paraId="37BA73D9">
                  <w:pPr>
                    <w:pStyle w:val="5"/>
                    <w:bidi w:val="0"/>
                    <w:rPr>
                      <w:rFonts w:hint="default" w:eastAsia="宋体"/>
                      <w:lang w:val="en-US" w:eastAsia="zh-CN"/>
                    </w:rPr>
                  </w:pPr>
                  <w:r>
                    <w:rPr>
                      <w:rFonts w:hint="eastAsia"/>
                      <w:lang w:val="en-US" w:eastAsia="zh-CN"/>
                    </w:rPr>
                    <w:t>25</w:t>
                  </w:r>
                </w:p>
              </w:tc>
              <w:tc>
                <w:tcPr>
                  <w:tcW w:w="406" w:type="pct"/>
                  <w:noWrap w:val="0"/>
                  <w:vAlign w:val="center"/>
                </w:tcPr>
                <w:p w14:paraId="70CF9291">
                  <w:pPr>
                    <w:pStyle w:val="5"/>
                    <w:bidi w:val="0"/>
                    <w:rPr>
                      <w:rFonts w:hint="default" w:eastAsia="宋体"/>
                      <w:color w:val="auto"/>
                      <w:lang w:val="en-US" w:eastAsia="zh-CN"/>
                    </w:rPr>
                  </w:pPr>
                  <w:r>
                    <w:rPr>
                      <w:color w:val="auto"/>
                      <w:highlight w:val="none"/>
                    </w:rPr>
                    <w:t>0.</w:t>
                  </w:r>
                  <w:r>
                    <w:rPr>
                      <w:rFonts w:hint="eastAsia"/>
                      <w:color w:val="auto"/>
                      <w:highlight w:val="none"/>
                      <w:lang w:val="en-US" w:eastAsia="zh-CN"/>
                    </w:rPr>
                    <w:t>15</w:t>
                  </w:r>
                </w:p>
              </w:tc>
              <w:tc>
                <w:tcPr>
                  <w:tcW w:w="520" w:type="pct"/>
                  <w:noWrap w:val="0"/>
                  <w:vAlign w:val="center"/>
                </w:tcPr>
                <w:p w14:paraId="525FA34F">
                  <w:pPr>
                    <w:pStyle w:val="5"/>
                    <w:bidi w:val="0"/>
                    <w:rPr>
                      <w:rFonts w:hint="default" w:eastAsia="宋体"/>
                      <w:color w:val="auto"/>
                      <w:lang w:val="en-US" w:eastAsia="zh-CN"/>
                    </w:rPr>
                  </w:pPr>
                  <w:r>
                    <w:rPr>
                      <w:rFonts w:hint="eastAsia"/>
                      <w:color w:val="auto"/>
                      <w:lang w:val="en-US" w:eastAsia="zh-CN"/>
                    </w:rPr>
                    <w:t>7.86</w:t>
                  </w:r>
                </w:p>
              </w:tc>
              <w:tc>
                <w:tcPr>
                  <w:tcW w:w="286" w:type="pct"/>
                  <w:noWrap w:val="0"/>
                  <w:vAlign w:val="center"/>
                </w:tcPr>
                <w:p w14:paraId="4C16FC7A">
                  <w:pPr>
                    <w:pStyle w:val="5"/>
                    <w:bidi w:val="0"/>
                    <w:rPr>
                      <w:rFonts w:hint="default" w:eastAsia="宋体"/>
                      <w:lang w:val="en-US" w:eastAsia="zh-CN"/>
                    </w:rPr>
                  </w:pPr>
                  <w:r>
                    <w:rPr>
                      <w:rFonts w:hint="eastAsia"/>
                      <w:lang w:val="en-US" w:eastAsia="zh-CN"/>
                    </w:rPr>
                    <w:t>20</w:t>
                  </w:r>
                </w:p>
              </w:tc>
              <w:tc>
                <w:tcPr>
                  <w:tcW w:w="325" w:type="pct"/>
                  <w:noWrap w:val="0"/>
                  <w:vAlign w:val="center"/>
                </w:tcPr>
                <w:p w14:paraId="690FAE1B">
                  <w:pPr>
                    <w:pStyle w:val="5"/>
                    <w:bidi w:val="0"/>
                    <w:rPr>
                      <w:rFonts w:hint="default" w:eastAsia="宋体"/>
                      <w:lang w:val="en-US" w:eastAsia="zh-CN"/>
                    </w:rPr>
                  </w:pPr>
                  <w:r>
                    <w:rPr>
                      <w:rFonts w:hint="eastAsia"/>
                      <w:lang w:val="en-US" w:eastAsia="zh-CN"/>
                    </w:rPr>
                    <w:t>960</w:t>
                  </w:r>
                </w:p>
              </w:tc>
              <w:tc>
                <w:tcPr>
                  <w:tcW w:w="259" w:type="pct"/>
                  <w:noWrap w:val="0"/>
                  <w:vAlign w:val="center"/>
                </w:tcPr>
                <w:p w14:paraId="447DA3AC">
                  <w:pPr>
                    <w:pStyle w:val="5"/>
                    <w:bidi w:val="0"/>
                    <w:rPr>
                      <w:highlight w:val="none"/>
                    </w:rPr>
                  </w:pPr>
                  <w:r>
                    <w:rPr>
                      <w:rFonts w:hint="eastAsia"/>
                      <w:highlight w:val="none"/>
                      <w:lang w:val="en-US" w:eastAsia="zh-CN"/>
                    </w:rPr>
                    <w:t>间歇排放</w:t>
                  </w:r>
                </w:p>
              </w:tc>
              <w:tc>
                <w:tcPr>
                  <w:tcW w:w="588" w:type="pct"/>
                  <w:noWrap w:val="0"/>
                  <w:vAlign w:val="center"/>
                </w:tcPr>
                <w:p w14:paraId="47D4B7B8">
                  <w:pPr>
                    <w:pStyle w:val="5"/>
                    <w:bidi w:val="0"/>
                    <w:rPr>
                      <w:rFonts w:hint="default"/>
                      <w:lang w:val="en-US"/>
                    </w:rPr>
                  </w:pPr>
                  <w:r>
                    <w:rPr>
                      <w:rFonts w:hint="eastAsia"/>
                      <w:lang w:val="en-US" w:eastAsia="zh-CN"/>
                    </w:rPr>
                    <w:t>0.0215</w:t>
                  </w:r>
                </w:p>
              </w:tc>
            </w:tr>
          </w:tbl>
          <w:p w14:paraId="48E60CF0">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（7）</w:t>
            </w:r>
            <w:r>
              <w:rPr>
                <w:rFonts w:ascii="Times New Roman" w:hAnsi="Times New Roman" w:eastAsia="宋体" w:cs="Times New Roman"/>
                <w:b/>
                <w:bCs/>
                <w:color w:val="auto"/>
                <w:kern w:val="24"/>
                <w:sz w:val="24"/>
                <w:lang w:val="en-US" w:eastAsia="zh-CN" w:bidi="ar-SA"/>
              </w:rPr>
              <w:t>监测要求</w:t>
            </w:r>
          </w:p>
          <w:p w14:paraId="7F74D446">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hint="eastAsia" w:ascii="Times New Roman" w:hAnsi="Times New Roman" w:eastAsia="宋体" w:cs="Times New Roman"/>
                <w:color w:val="auto"/>
                <w:kern w:val="24"/>
                <w:sz w:val="24"/>
                <w:lang w:val="en-US" w:eastAsia="zh-CN" w:bidi="ar-SA"/>
              </w:rPr>
              <w:t>技改后，</w:t>
            </w:r>
            <w:r>
              <w:rPr>
                <w:rFonts w:hint="default"/>
              </w:rPr>
              <w:t>根据</w:t>
            </w:r>
            <w:r>
              <w:rPr>
                <w:rFonts w:hint="default"/>
                <w:lang w:eastAsia="zh-CN"/>
              </w:rPr>
              <w:t>《排污单位自行监测技术指南总则》（</w:t>
            </w:r>
            <w:r>
              <w:rPr>
                <w:rFonts w:hint="default"/>
                <w:lang w:val="en-US" w:eastAsia="zh-CN"/>
              </w:rPr>
              <w:t>HJ819-2017</w:t>
            </w:r>
            <w:r>
              <w:rPr>
                <w:rFonts w:hint="default"/>
                <w:lang w:eastAsia="zh-CN"/>
              </w:rPr>
              <w:t>）</w:t>
            </w:r>
            <w:r>
              <w:rPr>
                <w:rFonts w:hint="default"/>
              </w:rPr>
              <w:t>和本项目废气实际排放情况</w:t>
            </w:r>
            <w:r>
              <w:rPr>
                <w:rFonts w:hint="eastAsia"/>
                <w:lang w:eastAsia="zh-CN"/>
              </w:rPr>
              <w:t>，</w:t>
            </w:r>
            <w:r>
              <w:rPr>
                <w:rFonts w:hint="eastAsia" w:ascii="Times New Roman" w:hAnsi="Times New Roman" w:eastAsia="宋体" w:cs="Times New Roman"/>
                <w:color w:val="auto"/>
                <w:kern w:val="24"/>
                <w:sz w:val="24"/>
                <w:lang w:val="en-US" w:eastAsia="zh-CN" w:bidi="ar-SA"/>
              </w:rPr>
              <w:t>本</w:t>
            </w:r>
            <w:r>
              <w:rPr>
                <w:rFonts w:ascii="Times New Roman" w:hAnsi="Times New Roman" w:eastAsia="宋体" w:cs="Times New Roman"/>
                <w:color w:val="auto"/>
                <w:kern w:val="24"/>
                <w:sz w:val="24"/>
                <w:lang w:val="en-US" w:eastAsia="zh-CN" w:bidi="ar-SA"/>
              </w:rPr>
              <w:t>项目运营期大气环境监测计划详见</w:t>
            </w:r>
            <w:r>
              <w:rPr>
                <w:rFonts w:hint="eastAsia" w:ascii="Times New Roman" w:hAnsi="Times New Roman" w:eastAsia="宋体" w:cs="Times New Roman"/>
                <w:color w:val="auto"/>
                <w:kern w:val="24"/>
                <w:sz w:val="24"/>
                <w:lang w:val="en-US" w:eastAsia="zh-CN" w:bidi="ar-SA"/>
              </w:rPr>
              <w:t>下表</w:t>
            </w:r>
            <w:r>
              <w:rPr>
                <w:rFonts w:ascii="Times New Roman" w:hAnsi="Times New Roman" w:eastAsia="宋体" w:cs="Times New Roman"/>
                <w:color w:val="auto"/>
                <w:kern w:val="24"/>
                <w:sz w:val="24"/>
                <w:lang w:val="en-US" w:eastAsia="zh-CN" w:bidi="ar-SA"/>
              </w:rPr>
              <w:t>。</w:t>
            </w:r>
          </w:p>
          <w:p w14:paraId="242D84C9">
            <w:pPr>
              <w:pStyle w:val="7"/>
              <w:widowControl w:val="0"/>
              <w:wordWrap/>
              <w:ind w:firstLineChars="0"/>
              <w:jc w:val="center"/>
              <w:rPr>
                <w:lang w:val="en-US" w:eastAsia="zh-CN"/>
              </w:rPr>
            </w:pPr>
            <w:r>
              <w:rPr>
                <w:rFonts w:hint="eastAsia"/>
                <w:lang w:val="en-US" w:eastAsia="zh-CN"/>
              </w:rPr>
              <w:t>表4-9  废气监测计划表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381"/>
              <w:gridCol w:w="2008"/>
              <w:gridCol w:w="795"/>
              <w:gridCol w:w="1160"/>
              <w:gridCol w:w="3506"/>
            </w:tblGrid>
            <w:tr w14:paraId="5EB245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780" w:type="pct"/>
                  <w:vAlign w:val="center"/>
                </w:tcPr>
                <w:p w14:paraId="11EEC363">
                  <w:pPr>
                    <w:pStyle w:val="5"/>
                    <w:bidi w:val="0"/>
                    <w:rPr>
                      <w:b/>
                      <w:bCs/>
                      <w:lang w:val="en-US" w:eastAsia="zh-CN"/>
                    </w:rPr>
                  </w:pPr>
                  <w:r>
                    <w:rPr>
                      <w:b/>
                      <w:bCs/>
                      <w:lang w:val="en-US" w:eastAsia="zh-CN"/>
                    </w:rPr>
                    <w:t>类型</w:t>
                  </w:r>
                </w:p>
              </w:tc>
              <w:tc>
                <w:tcPr>
                  <w:tcW w:w="1134" w:type="pct"/>
                  <w:vAlign w:val="center"/>
                </w:tcPr>
                <w:p w14:paraId="4B30481C">
                  <w:pPr>
                    <w:pStyle w:val="5"/>
                    <w:bidi w:val="0"/>
                    <w:rPr>
                      <w:b/>
                      <w:bCs/>
                      <w:lang w:val="en-US" w:eastAsia="zh-CN"/>
                    </w:rPr>
                  </w:pPr>
                  <w:r>
                    <w:rPr>
                      <w:b/>
                      <w:bCs/>
                      <w:lang w:val="en-US" w:eastAsia="zh-CN"/>
                    </w:rPr>
                    <w:t>监测点位</w:t>
                  </w:r>
                </w:p>
              </w:tc>
              <w:tc>
                <w:tcPr>
                  <w:tcW w:w="449" w:type="pct"/>
                  <w:vAlign w:val="center"/>
                </w:tcPr>
                <w:p w14:paraId="74A99470">
                  <w:pPr>
                    <w:pStyle w:val="5"/>
                    <w:bidi w:val="0"/>
                    <w:rPr>
                      <w:b/>
                      <w:bCs/>
                      <w:lang w:val="en-US" w:eastAsia="zh-CN"/>
                    </w:rPr>
                  </w:pPr>
                  <w:r>
                    <w:rPr>
                      <w:b/>
                      <w:bCs/>
                      <w:lang w:val="en-US" w:eastAsia="zh-CN"/>
                    </w:rPr>
                    <w:t>监测指标</w:t>
                  </w:r>
                </w:p>
              </w:tc>
              <w:tc>
                <w:tcPr>
                  <w:tcW w:w="655" w:type="pct"/>
                  <w:vAlign w:val="center"/>
                </w:tcPr>
                <w:p w14:paraId="1900077D">
                  <w:pPr>
                    <w:pStyle w:val="5"/>
                    <w:bidi w:val="0"/>
                    <w:rPr>
                      <w:b/>
                      <w:bCs/>
                      <w:lang w:val="en-US" w:eastAsia="zh-CN"/>
                    </w:rPr>
                  </w:pPr>
                  <w:r>
                    <w:rPr>
                      <w:b/>
                      <w:bCs/>
                      <w:lang w:val="en-US" w:eastAsia="zh-CN"/>
                    </w:rPr>
                    <w:t>监测频次</w:t>
                  </w:r>
                </w:p>
              </w:tc>
              <w:tc>
                <w:tcPr>
                  <w:tcW w:w="1980" w:type="pct"/>
                  <w:vAlign w:val="center"/>
                </w:tcPr>
                <w:p w14:paraId="76A66DB1">
                  <w:pPr>
                    <w:pStyle w:val="5"/>
                    <w:bidi w:val="0"/>
                    <w:rPr>
                      <w:b/>
                      <w:bCs/>
                      <w:lang w:val="en-US" w:eastAsia="zh-CN"/>
                    </w:rPr>
                  </w:pPr>
                  <w:r>
                    <w:rPr>
                      <w:b/>
                      <w:bCs/>
                      <w:lang w:val="en-US" w:eastAsia="zh-CN"/>
                    </w:rPr>
                    <w:t>执行排放标准</w:t>
                  </w:r>
                </w:p>
              </w:tc>
            </w:tr>
            <w:tr w14:paraId="76B5A78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586" w:hRule="atLeast"/>
                <w:jc w:val="center"/>
              </w:trPr>
              <w:tc>
                <w:tcPr>
                  <w:tcW w:w="780" w:type="pct"/>
                  <w:tcBorders>
                    <w:tl2br w:val="nil"/>
                    <w:tr2bl w:val="nil"/>
                  </w:tcBorders>
                  <w:shd w:val="clear" w:color="auto" w:fill="auto"/>
                  <w:vAlign w:val="center"/>
                </w:tcPr>
                <w:p w14:paraId="7167FA08">
                  <w:pPr>
                    <w:pStyle w:val="5"/>
                    <w:bidi w:val="0"/>
                    <w:ind w:firstLine="0" w:firstLineChars="0"/>
                    <w:rPr>
                      <w:rFonts w:ascii="Times New Roman" w:hAnsi="Times New Roman" w:eastAsia="宋体" w:cs="Times New Roman"/>
                      <w:kern w:val="2"/>
                      <w:sz w:val="21"/>
                      <w:lang w:val="en-US" w:eastAsia="zh-CN" w:bidi="ar-SA"/>
                    </w:rPr>
                  </w:pPr>
                  <w:r>
                    <w:rPr>
                      <w:lang w:val="en-US" w:eastAsia="zh-CN"/>
                    </w:rPr>
                    <w:t>有组织废气</w:t>
                  </w:r>
                </w:p>
              </w:tc>
              <w:tc>
                <w:tcPr>
                  <w:tcW w:w="1134" w:type="pct"/>
                  <w:tcBorders>
                    <w:tl2br w:val="nil"/>
                    <w:tr2bl w:val="nil"/>
                  </w:tcBorders>
                  <w:shd w:val="clear" w:color="auto" w:fill="auto"/>
                  <w:vAlign w:val="center"/>
                </w:tcPr>
                <w:p w14:paraId="42EEB20A">
                  <w:pPr>
                    <w:pStyle w:val="5"/>
                    <w:bidi w:val="0"/>
                    <w:ind w:firstLine="0" w:firstLineChars="0"/>
                    <w:rPr>
                      <w:rFonts w:ascii="Times New Roman" w:hAnsi="Times New Roman" w:eastAsia="宋体" w:cs="Times New Roman"/>
                      <w:kern w:val="2"/>
                      <w:sz w:val="21"/>
                      <w:lang w:val="en-US" w:eastAsia="zh-CN" w:bidi="ar-SA"/>
                    </w:rPr>
                  </w:pPr>
                  <w:r>
                    <w:rPr>
                      <w:lang w:val="en-US" w:eastAsia="zh-CN"/>
                    </w:rPr>
                    <w:t>DA00</w:t>
                  </w:r>
                  <w:r>
                    <w:rPr>
                      <w:rFonts w:hint="eastAsia"/>
                      <w:lang w:val="en-US" w:eastAsia="zh-CN"/>
                    </w:rPr>
                    <w:t>1（新建）</w:t>
                  </w:r>
                </w:p>
              </w:tc>
              <w:tc>
                <w:tcPr>
                  <w:tcW w:w="449" w:type="pct"/>
                  <w:vMerge w:val="restart"/>
                  <w:tcBorders>
                    <w:tl2br w:val="nil"/>
                    <w:tr2bl w:val="nil"/>
                  </w:tcBorders>
                  <w:vAlign w:val="center"/>
                </w:tcPr>
                <w:p w14:paraId="38BE67D2">
                  <w:pPr>
                    <w:pStyle w:val="5"/>
                    <w:bidi w:val="0"/>
                    <w:rPr>
                      <w:lang w:val="en-US" w:eastAsia="zh-CN"/>
                    </w:rPr>
                  </w:pPr>
                  <w:r>
                    <w:rPr>
                      <w:lang w:val="en-US" w:eastAsia="zh-CN"/>
                    </w:rPr>
                    <w:t>VOCs</w:t>
                  </w:r>
                </w:p>
              </w:tc>
              <w:tc>
                <w:tcPr>
                  <w:tcW w:w="655" w:type="pct"/>
                  <w:vMerge w:val="restart"/>
                  <w:tcBorders>
                    <w:tl2br w:val="nil"/>
                    <w:tr2bl w:val="nil"/>
                  </w:tcBorders>
                  <w:vAlign w:val="center"/>
                </w:tcPr>
                <w:p w14:paraId="3289BA3D">
                  <w:pPr>
                    <w:pStyle w:val="5"/>
                    <w:bidi w:val="0"/>
                    <w:rPr>
                      <w:lang w:val="en-US" w:eastAsia="zh-CN"/>
                    </w:rPr>
                  </w:pPr>
                  <w:r>
                    <w:rPr>
                      <w:rFonts w:hint="eastAsia"/>
                      <w:lang w:val="en-US" w:eastAsia="zh-CN"/>
                    </w:rPr>
                    <w:t>1次/年</w:t>
                  </w:r>
                </w:p>
              </w:tc>
              <w:tc>
                <w:tcPr>
                  <w:tcW w:w="1980" w:type="pct"/>
                  <w:vMerge w:val="restart"/>
                  <w:tcBorders>
                    <w:tl2br w:val="nil"/>
                    <w:tr2bl w:val="nil"/>
                  </w:tcBorders>
                  <w:vAlign w:val="center"/>
                </w:tcPr>
                <w:p w14:paraId="0EE1E68A">
                  <w:pPr>
                    <w:pStyle w:val="5"/>
                    <w:bidi w:val="0"/>
                    <w:rPr>
                      <w:rFonts w:hint="default"/>
                      <w:lang w:val="en-US" w:eastAsia="zh-CN"/>
                    </w:rPr>
                  </w:pPr>
                  <w:r>
                    <w:rPr>
                      <w:lang w:val="en-US" w:eastAsia="zh-CN"/>
                    </w:rPr>
                    <w:t>《四川省固定污染源大气挥发性有机物排放标准》（DB51/2377-2017）</w:t>
                  </w:r>
                  <w:r>
                    <w:rPr>
                      <w:rFonts w:hint="eastAsia"/>
                      <w:lang w:val="en-US" w:eastAsia="zh-CN"/>
                    </w:rPr>
                    <w:t>、</w:t>
                  </w:r>
                </w:p>
              </w:tc>
            </w:tr>
            <w:tr w14:paraId="3836CA4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586" w:hRule="atLeast"/>
                <w:jc w:val="center"/>
              </w:trPr>
              <w:tc>
                <w:tcPr>
                  <w:tcW w:w="780" w:type="pct"/>
                  <w:vMerge w:val="restart"/>
                  <w:tcBorders>
                    <w:tl2br w:val="nil"/>
                    <w:tr2bl w:val="nil"/>
                  </w:tcBorders>
                  <w:shd w:val="clear" w:color="auto" w:fill="auto"/>
                  <w:vAlign w:val="center"/>
                </w:tcPr>
                <w:p w14:paraId="6B1BA1E6">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无组织废气</w:t>
                  </w:r>
                </w:p>
              </w:tc>
              <w:tc>
                <w:tcPr>
                  <w:tcW w:w="1134" w:type="pct"/>
                  <w:tcBorders>
                    <w:tl2br w:val="nil"/>
                    <w:tr2bl w:val="nil"/>
                  </w:tcBorders>
                  <w:shd w:val="clear" w:color="auto" w:fill="auto"/>
                  <w:vAlign w:val="center"/>
                </w:tcPr>
                <w:p w14:paraId="181F3ED3">
                  <w:pPr>
                    <w:pStyle w:val="5"/>
                    <w:bidi w:val="0"/>
                    <w:ind w:firstLine="0" w:firstLineChars="0"/>
                    <w:rPr>
                      <w:rFonts w:ascii="Times New Roman" w:hAnsi="Times New Roman" w:eastAsia="宋体" w:cs="Times New Roman"/>
                      <w:kern w:val="2"/>
                      <w:sz w:val="21"/>
                      <w:lang w:val="en-US" w:eastAsia="zh-CN" w:bidi="ar-SA"/>
                    </w:rPr>
                  </w:pPr>
                  <w:r>
                    <w:rPr>
                      <w:rFonts w:hint="eastAsia"/>
                      <w:szCs w:val="21"/>
                    </w:rPr>
                    <w:t>本项目厂界</w:t>
                  </w:r>
                  <w:r>
                    <w:rPr>
                      <w:rFonts w:hint="eastAsia"/>
                      <w:lang w:val="en-US" w:eastAsia="zh-CN"/>
                    </w:rPr>
                    <w:t>上、</w:t>
                  </w:r>
                  <w:r>
                    <w:rPr>
                      <w:rFonts w:hint="eastAsia"/>
                      <w:szCs w:val="21"/>
                    </w:rPr>
                    <w:t>下风向</w:t>
                  </w:r>
                </w:p>
              </w:tc>
              <w:tc>
                <w:tcPr>
                  <w:tcW w:w="449" w:type="pct"/>
                  <w:vMerge w:val="continue"/>
                  <w:tcBorders>
                    <w:tl2br w:val="nil"/>
                    <w:tr2bl w:val="nil"/>
                  </w:tcBorders>
                  <w:vAlign w:val="center"/>
                </w:tcPr>
                <w:p w14:paraId="655EE9D2">
                  <w:pPr>
                    <w:pStyle w:val="5"/>
                    <w:bidi w:val="0"/>
                    <w:rPr>
                      <w:lang w:val="en-US" w:eastAsia="zh-CN"/>
                    </w:rPr>
                  </w:pPr>
                </w:p>
              </w:tc>
              <w:tc>
                <w:tcPr>
                  <w:tcW w:w="655" w:type="pct"/>
                  <w:vMerge w:val="continue"/>
                  <w:tcBorders>
                    <w:tl2br w:val="nil"/>
                    <w:tr2bl w:val="nil"/>
                  </w:tcBorders>
                  <w:vAlign w:val="center"/>
                </w:tcPr>
                <w:p w14:paraId="7A960896">
                  <w:pPr>
                    <w:pStyle w:val="5"/>
                    <w:bidi w:val="0"/>
                    <w:rPr>
                      <w:lang w:val="en-US" w:eastAsia="zh-CN"/>
                    </w:rPr>
                  </w:pPr>
                </w:p>
              </w:tc>
              <w:tc>
                <w:tcPr>
                  <w:tcW w:w="1980" w:type="pct"/>
                  <w:vMerge w:val="continue"/>
                  <w:tcBorders>
                    <w:tl2br w:val="nil"/>
                    <w:tr2bl w:val="nil"/>
                  </w:tcBorders>
                  <w:vAlign w:val="center"/>
                </w:tcPr>
                <w:p w14:paraId="13E26D52">
                  <w:pPr>
                    <w:pStyle w:val="5"/>
                    <w:bidi w:val="0"/>
                    <w:rPr>
                      <w:rFonts w:hint="default"/>
                      <w:lang w:val="en-US" w:eastAsia="zh-CN"/>
                    </w:rPr>
                  </w:pPr>
                </w:p>
              </w:tc>
            </w:tr>
            <w:tr w14:paraId="6E1212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563" w:hRule="atLeast"/>
                <w:jc w:val="center"/>
              </w:trPr>
              <w:tc>
                <w:tcPr>
                  <w:tcW w:w="780" w:type="pct"/>
                  <w:vMerge w:val="continue"/>
                  <w:tcBorders>
                    <w:tl2br w:val="nil"/>
                    <w:tr2bl w:val="nil"/>
                  </w:tcBorders>
                  <w:vAlign w:val="center"/>
                </w:tcPr>
                <w:p w14:paraId="41C15765">
                  <w:pPr>
                    <w:pStyle w:val="5"/>
                    <w:bidi w:val="0"/>
                    <w:rPr>
                      <w:rFonts w:hint="default"/>
                      <w:lang w:val="en-US" w:eastAsia="zh-CN"/>
                    </w:rPr>
                  </w:pPr>
                </w:p>
              </w:tc>
              <w:tc>
                <w:tcPr>
                  <w:tcW w:w="1134" w:type="pct"/>
                  <w:tcBorders>
                    <w:tl2br w:val="nil"/>
                    <w:tr2bl w:val="nil"/>
                  </w:tcBorders>
                  <w:vAlign w:val="center"/>
                </w:tcPr>
                <w:p w14:paraId="2DD3166E">
                  <w:pPr>
                    <w:pStyle w:val="5"/>
                    <w:bidi w:val="0"/>
                    <w:rPr>
                      <w:lang w:val="en-US" w:eastAsia="zh-CN"/>
                    </w:rPr>
                  </w:pPr>
                  <w:r>
                    <w:t>厂房外监控点位</w:t>
                  </w:r>
                </w:p>
              </w:tc>
              <w:tc>
                <w:tcPr>
                  <w:tcW w:w="449" w:type="pct"/>
                  <w:vMerge w:val="continue"/>
                  <w:tcBorders>
                    <w:tl2br w:val="nil"/>
                    <w:tr2bl w:val="nil"/>
                  </w:tcBorders>
                  <w:vAlign w:val="center"/>
                </w:tcPr>
                <w:p w14:paraId="2BFBF93A">
                  <w:pPr>
                    <w:pStyle w:val="5"/>
                    <w:bidi w:val="0"/>
                    <w:rPr>
                      <w:lang w:val="en-US" w:eastAsia="zh-CN"/>
                    </w:rPr>
                  </w:pPr>
                </w:p>
              </w:tc>
              <w:tc>
                <w:tcPr>
                  <w:tcW w:w="655" w:type="pct"/>
                  <w:vMerge w:val="continue"/>
                  <w:tcBorders>
                    <w:tl2br w:val="nil"/>
                    <w:tr2bl w:val="nil"/>
                  </w:tcBorders>
                  <w:vAlign w:val="center"/>
                </w:tcPr>
                <w:p w14:paraId="7833D9E1">
                  <w:pPr>
                    <w:pStyle w:val="5"/>
                    <w:bidi w:val="0"/>
                    <w:rPr>
                      <w:rFonts w:hint="eastAsia"/>
                      <w:lang w:val="en-US" w:eastAsia="zh-CN"/>
                    </w:rPr>
                  </w:pPr>
                </w:p>
              </w:tc>
              <w:tc>
                <w:tcPr>
                  <w:tcW w:w="1980" w:type="pct"/>
                  <w:tcBorders>
                    <w:tl2br w:val="nil"/>
                    <w:tr2bl w:val="nil"/>
                  </w:tcBorders>
                  <w:vAlign w:val="center"/>
                </w:tcPr>
                <w:p w14:paraId="1B84CC82">
                  <w:pPr>
                    <w:pStyle w:val="5"/>
                    <w:bidi w:val="0"/>
                    <w:rPr>
                      <w:lang w:val="en-US" w:eastAsia="zh-CN"/>
                    </w:rPr>
                  </w:pPr>
                  <w:r>
                    <w:rPr>
                      <w:color w:val="auto"/>
                    </w:rPr>
                    <w:t>《挥发性有机物无组织排放控制标准》（GB37822-2019）</w:t>
                  </w:r>
                </w:p>
              </w:tc>
            </w:tr>
          </w:tbl>
          <w:p w14:paraId="2A994B13">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2、废水</w:t>
            </w:r>
          </w:p>
          <w:p w14:paraId="13681A0F">
            <w:pPr>
              <w:bidi w:val="0"/>
            </w:pPr>
            <w:r>
              <w:t>本项目</w:t>
            </w:r>
            <w:r>
              <w:rPr>
                <w:rFonts w:hint="eastAsia"/>
              </w:rPr>
              <w:t>不涉及新增生产废水，不涉及新增生活污水</w:t>
            </w:r>
            <w:r>
              <w:t>。</w:t>
            </w:r>
            <w:r>
              <w:rPr>
                <w:rFonts w:hint="eastAsia"/>
              </w:rPr>
              <w:t>因此，本项目实施后不涉及新增废水污染物。现有废水治理措施情况如下：</w:t>
            </w:r>
          </w:p>
          <w:p w14:paraId="1BBC61EE">
            <w:pPr>
              <w:bidi w:val="0"/>
              <w:rPr>
                <w:b/>
                <w:bCs/>
              </w:rPr>
            </w:pPr>
            <w:r>
              <w:rPr>
                <w:rFonts w:hint="eastAsia"/>
                <w:b/>
                <w:bCs/>
              </w:rPr>
              <w:t>（1）</w:t>
            </w:r>
            <w:r>
              <w:rPr>
                <w:b/>
                <w:bCs/>
              </w:rPr>
              <w:t>废水源强及治理措施</w:t>
            </w:r>
          </w:p>
          <w:p w14:paraId="1A8D9C11">
            <w:pPr>
              <w:bidi w:val="0"/>
              <w:rPr>
                <w:rFonts w:hint="eastAsia"/>
              </w:rPr>
            </w:pPr>
            <w:r>
              <w:rPr>
                <w:b/>
                <w:bCs/>
              </w:rPr>
              <w:t>废水源强</w:t>
            </w:r>
            <w:r>
              <w:rPr>
                <w:rFonts w:hint="eastAsia"/>
                <w:b/>
                <w:bCs/>
              </w:rPr>
              <w:t>：</w:t>
            </w:r>
            <w:r>
              <w:rPr>
                <w:rFonts w:hint="eastAsia"/>
              </w:rPr>
              <w:t>根据水平衡，现有</w:t>
            </w:r>
            <w:r>
              <w:rPr>
                <w:rFonts w:hint="eastAsia"/>
                <w:lang w:val="en-US" w:eastAsia="zh-CN"/>
              </w:rPr>
              <w:t>废水为生活污水，</w:t>
            </w:r>
            <w:r>
              <w:rPr>
                <w:rFonts w:hint="eastAsia"/>
              </w:rPr>
              <w:t>排放量</w:t>
            </w:r>
            <w:r>
              <w:rPr>
                <w:rFonts w:hint="eastAsia"/>
                <w:lang w:val="en-US" w:eastAsia="zh-CN"/>
              </w:rPr>
              <w:t>3.84</w:t>
            </w:r>
            <w:r>
              <w:rPr>
                <w:rFonts w:hint="eastAsia"/>
              </w:rPr>
              <w:t>m</w:t>
            </w:r>
            <w:r>
              <w:rPr>
                <w:rFonts w:hint="eastAsia"/>
                <w:vertAlign w:val="superscript"/>
              </w:rPr>
              <w:t>3</w:t>
            </w:r>
            <w:r>
              <w:rPr>
                <w:rFonts w:hint="eastAsia"/>
              </w:rPr>
              <w:t>/d（</w:t>
            </w:r>
            <w:r>
              <w:rPr>
                <w:rFonts w:hint="eastAsia"/>
                <w:lang w:val="en-US" w:eastAsia="zh-CN"/>
              </w:rPr>
              <w:t>921.6t</w:t>
            </w:r>
            <w:r>
              <w:rPr>
                <w:rFonts w:hint="eastAsia"/>
              </w:rPr>
              <w:t>/a）。</w:t>
            </w:r>
          </w:p>
          <w:p w14:paraId="1BF98E52">
            <w:pPr>
              <w:pStyle w:val="29"/>
              <w:spacing w:after="0" w:line="360" w:lineRule="auto"/>
              <w:ind w:left="0" w:leftChars="0" w:firstLine="480"/>
            </w:pPr>
            <w:r>
              <w:rPr>
                <w:rFonts w:hint="eastAsia"/>
                <w:b/>
                <w:bCs/>
              </w:rPr>
              <w:t>现有</w:t>
            </w:r>
            <w:r>
              <w:rPr>
                <w:b/>
                <w:bCs/>
              </w:rPr>
              <w:t>治理措施</w:t>
            </w:r>
            <w:r>
              <w:rPr>
                <w:rFonts w:hint="eastAsia"/>
                <w:b/>
                <w:bCs/>
              </w:rPr>
              <w:t>：</w:t>
            </w:r>
            <w:r>
              <w:rPr>
                <w:rFonts w:hint="eastAsia"/>
                <w:kern w:val="2"/>
                <w:szCs w:val="32"/>
              </w:rPr>
              <w:t>生活污水</w:t>
            </w:r>
            <w:r>
              <w:rPr>
                <w:rFonts w:hint="eastAsia"/>
                <w:kern w:val="2"/>
                <w:szCs w:val="32"/>
                <w:lang w:val="en-US" w:eastAsia="zh-CN"/>
              </w:rPr>
              <w:t>经园区已建的一体化污水处理设施处理</w:t>
            </w:r>
            <w:r>
              <w:rPr>
                <w:color w:val="auto"/>
              </w:rPr>
              <w:t>达到《污水综合排放标准》（GB8978-1996）三级标准</w:t>
            </w:r>
            <w:r>
              <w:rPr>
                <w:rFonts w:hint="eastAsia"/>
                <w:kern w:val="2"/>
                <w:szCs w:val="32"/>
                <w:lang w:val="en-US" w:eastAsia="zh-CN"/>
              </w:rPr>
              <w:t>后，排入</w:t>
            </w:r>
            <w:r>
              <w:rPr>
                <w:rFonts w:hint="eastAsia"/>
                <w:kern w:val="2"/>
                <w:szCs w:val="32"/>
              </w:rPr>
              <w:t>园区</w:t>
            </w:r>
            <w:r>
              <w:rPr>
                <w:rFonts w:hint="eastAsia"/>
                <w:kern w:val="2"/>
                <w:szCs w:val="32"/>
                <w:lang w:val="en-US" w:eastAsia="zh-CN"/>
              </w:rPr>
              <w:t>市政污水管网，输送至</w:t>
            </w:r>
            <w:r>
              <w:rPr>
                <w:rFonts w:hint="eastAsia"/>
                <w:color w:val="auto"/>
                <w:lang w:val="en-US" w:eastAsia="zh-CN"/>
              </w:rPr>
              <w:t>魏兴场镇污水处理厂处理后达《城镇污水处理厂污染物排放标准》（GB18918—2002）一级A标准后，排入州河。</w:t>
            </w:r>
          </w:p>
          <w:p w14:paraId="14080A98">
            <w:pPr>
              <w:bidi w:val="0"/>
              <w:rPr>
                <w:b/>
                <w:bCs/>
              </w:rPr>
            </w:pPr>
            <w:r>
              <w:rPr>
                <w:rFonts w:hint="eastAsia"/>
                <w:b/>
                <w:bCs/>
              </w:rPr>
              <w:t>（2）</w:t>
            </w:r>
            <w:r>
              <w:rPr>
                <w:b/>
                <w:bCs/>
              </w:rPr>
              <w:t>废水处理设施的可行性分析</w:t>
            </w:r>
          </w:p>
          <w:p w14:paraId="0F0B8C3F">
            <w:pPr>
              <w:bidi w:val="0"/>
            </w:pPr>
            <w:r>
              <w:rPr>
                <w:rFonts w:hint="eastAsia"/>
              </w:rPr>
              <w:t>生活污水</w:t>
            </w:r>
            <w:r>
              <w:rPr>
                <w:rFonts w:hint="eastAsia"/>
                <w:lang w:eastAsia="zh-CN"/>
              </w:rPr>
              <w:t>进入</w:t>
            </w:r>
            <w:r>
              <w:rPr>
                <w:rFonts w:hint="eastAsia"/>
                <w:kern w:val="2"/>
                <w:szCs w:val="32"/>
                <w:lang w:val="en-US" w:eastAsia="zh-CN"/>
              </w:rPr>
              <w:t>一体化污水处理设施</w:t>
            </w:r>
            <w:r>
              <w:t>处理</w:t>
            </w:r>
            <w:r>
              <w:rPr>
                <w:rFonts w:hint="eastAsia"/>
                <w:lang w:eastAsia="zh-CN"/>
              </w:rPr>
              <w:t>，</w:t>
            </w:r>
            <w:r>
              <w:t>达到《污水综合排放标准》（GB8978-1996）三级标准</w:t>
            </w:r>
            <w:r>
              <w:rPr>
                <w:rFonts w:hint="eastAsia"/>
                <w:lang w:eastAsia="zh-CN"/>
              </w:rPr>
              <w:t>，</w:t>
            </w:r>
            <w:r>
              <w:rPr>
                <w:rFonts w:hint="eastAsia"/>
                <w:lang w:val="en-US" w:eastAsia="zh-CN"/>
              </w:rPr>
              <w:t>排入魏兴场镇污水处理厂达到《城镇污水处理厂污染物排放标准》（GB18918—2002）一级A标准后，排入州河。</w:t>
            </w:r>
          </w:p>
          <w:p w14:paraId="300C29B5">
            <w:pPr>
              <w:bidi w:val="0"/>
            </w:pPr>
            <w:r>
              <w:rPr>
                <w:rFonts w:hint="eastAsia"/>
              </w:rPr>
              <w:t>①</w:t>
            </w:r>
            <w:r>
              <w:t>处理能力</w:t>
            </w:r>
          </w:p>
          <w:p w14:paraId="76D8D455">
            <w:pPr>
              <w:bidi w:val="0"/>
              <w:rPr>
                <w:rFonts w:hint="eastAsia"/>
                <w:lang w:eastAsia="zh-CN"/>
              </w:rPr>
            </w:pPr>
            <w:r>
              <w:rPr>
                <w:rFonts w:hint="eastAsia"/>
                <w:lang w:val="en-US" w:eastAsia="zh-CN"/>
              </w:rPr>
              <w:t>园区一体化污水处理设施设计处理规模为20m</w:t>
            </w:r>
            <w:r>
              <w:rPr>
                <w:rFonts w:hint="eastAsia"/>
                <w:vertAlign w:val="superscript"/>
                <w:lang w:val="en-US" w:eastAsia="zh-CN"/>
              </w:rPr>
              <w:t>3</w:t>
            </w:r>
            <w:r>
              <w:rPr>
                <w:rFonts w:hint="eastAsia"/>
                <w:lang w:val="en-US" w:eastAsia="zh-CN"/>
              </w:rPr>
              <w:t>/d，现阶段污水实际处理量为10m</w:t>
            </w:r>
            <w:r>
              <w:rPr>
                <w:rFonts w:hint="eastAsia"/>
                <w:vertAlign w:val="superscript"/>
                <w:lang w:val="en-US" w:eastAsia="zh-CN"/>
              </w:rPr>
              <w:t>3</w:t>
            </w:r>
            <w:r>
              <w:rPr>
                <w:rFonts w:hint="eastAsia"/>
                <w:lang w:val="en-US" w:eastAsia="zh-CN"/>
              </w:rPr>
              <w:t>/d，本项目不新增废水产生和排放，现有工程核算污水排放量为3.84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，未超过现有一体化设施的处理规模。</w:t>
            </w:r>
            <w:r>
              <w:t>项目周边市政雨污管网完善，污水最终接入</w:t>
            </w:r>
            <w:r>
              <w:rPr>
                <w:rFonts w:hint="eastAsia"/>
                <w:lang w:val="en-US" w:eastAsia="zh-CN"/>
              </w:rPr>
              <w:t>魏兴场镇污水处理厂</w:t>
            </w:r>
            <w:r>
              <w:t>。根据查阅相关资料</w:t>
            </w:r>
            <w:r>
              <w:rPr>
                <w:rFonts w:hint="eastAsia"/>
                <w:lang w:val="en-US" w:eastAsia="zh-CN"/>
              </w:rPr>
              <w:t>魏兴场镇污水处理厂</w:t>
            </w:r>
            <w:r>
              <w:t>工程于201</w:t>
            </w:r>
            <w:r>
              <w:rPr>
                <w:rFonts w:hint="eastAsia"/>
                <w:lang w:val="en-US" w:eastAsia="zh-CN"/>
              </w:rPr>
              <w:t>6</w:t>
            </w:r>
            <w:r>
              <w:t>年投入运营，处理规模为日处理5000m</w:t>
            </w:r>
            <w:r>
              <w:rPr>
                <w:vertAlign w:val="superscript"/>
              </w:rPr>
              <w:t>3</w:t>
            </w:r>
            <w:r>
              <w:t>/d</w:t>
            </w:r>
            <w:r>
              <w:rPr>
                <w:rFonts w:hint="eastAsia"/>
                <w:lang w:eastAsia="zh-CN"/>
              </w:rPr>
              <w:t>，</w:t>
            </w:r>
            <w:r>
              <w:t>2021年5月，魏兴场镇污水处理厂又新建3000m</w:t>
            </w:r>
            <w:r>
              <w:rPr>
                <w:vertAlign w:val="superscript"/>
              </w:rPr>
              <w:t>3</w:t>
            </w:r>
            <w:r>
              <w:t>/d的污水处理一体化设备，目前已正常运行；加上既有污水处理厂的设施，该污水处理厂目前总处理能力达8000m</w:t>
            </w:r>
            <w:r>
              <w:rPr>
                <w:vertAlign w:val="superscript"/>
              </w:rPr>
              <w:t>3</w:t>
            </w:r>
            <w:r>
              <w:t>/d。</w:t>
            </w:r>
            <w:r>
              <w:rPr>
                <w:rFonts w:hint="eastAsia"/>
                <w:lang w:eastAsia="zh-CN"/>
              </w:rPr>
              <w:t>根据调查，达州市金地水务有限公司拟投资23756万元，启动“通川区魏兴污水处理工程（二期）建设项目”的建设，总设计处理规模1.5万m</w:t>
            </w:r>
            <w:r>
              <w:rPr>
                <w:rFonts w:hint="eastAsia"/>
                <w:vertAlign w:val="superscript"/>
                <w:lang w:eastAsia="zh-CN"/>
              </w:rPr>
              <w:t>3</w:t>
            </w:r>
            <w:r>
              <w:rPr>
                <w:rFonts w:hint="eastAsia"/>
                <w:lang w:eastAsia="zh-CN"/>
              </w:rPr>
              <w:t>/d，预计2025年建成投运。</w:t>
            </w:r>
          </w:p>
          <w:p w14:paraId="00988D36">
            <w:pPr>
              <w:bidi w:val="0"/>
              <w:rPr>
                <w:rFonts w:hint="eastAsia"/>
                <w:lang w:val="en-US" w:eastAsia="zh-CN"/>
              </w:rPr>
            </w:pPr>
            <w:r>
              <w:rPr>
                <w:rFonts w:hint="eastAsia"/>
                <w:lang w:val="en-US" w:eastAsia="zh-CN"/>
              </w:rPr>
              <w:t>本项目属于魏兴场镇污水处理厂的纳污范围，项目技改完成后不新增污水排水量（维持原有：3.84m</w:t>
            </w:r>
            <w:r>
              <w:rPr>
                <w:rFonts w:hint="eastAsia"/>
                <w:vertAlign w:val="superscript"/>
                <w:lang w:val="en-US" w:eastAsia="zh-CN"/>
              </w:rPr>
              <w:t>3</w:t>
            </w:r>
            <w:r>
              <w:rPr>
                <w:rFonts w:hint="eastAsia"/>
                <w:lang w:val="en-US" w:eastAsia="zh-CN"/>
              </w:rPr>
              <w:t>/d），约占魏兴场镇污水处理厂规模的0.048%，水质和水量均不会对其处理能力造成冲击。</w:t>
            </w:r>
          </w:p>
          <w:p w14:paraId="252B6060">
            <w:pPr>
              <w:bidi w:val="0"/>
            </w:pPr>
            <w:r>
              <w:rPr>
                <w:rFonts w:hint="eastAsia"/>
              </w:rPr>
              <w:t>②</w:t>
            </w:r>
            <w:r>
              <w:t>污水处理工艺</w:t>
            </w:r>
          </w:p>
          <w:p w14:paraId="69CC9D33">
            <w:pPr>
              <w:bidi w:val="0"/>
            </w:pPr>
            <w:r>
              <w:rPr>
                <w:rFonts w:hint="eastAsia"/>
                <w:lang w:val="en-US" w:eastAsia="zh-CN"/>
              </w:rPr>
              <w:t>魏兴场镇污水处理厂</w:t>
            </w:r>
            <w:r>
              <w:t>一期工程污水处理工艺</w:t>
            </w:r>
            <w:r>
              <w:rPr>
                <w:rFonts w:hint="eastAsia"/>
                <w:lang w:val="en-US" w:eastAsia="zh-CN"/>
              </w:rPr>
              <w:t>为：“水解酸化+改良Orbal氧化沟+滤布滤池+次氯酸钠、紫外消毒方式”工艺；此外另有一套处理能力为3000m</w:t>
            </w:r>
            <w:r>
              <w:rPr>
                <w:rFonts w:hint="eastAsia"/>
                <w:vertAlign w:val="superscript"/>
                <w:lang w:val="en-US" w:eastAsia="zh-CN"/>
              </w:rPr>
              <w:t>3</w:t>
            </w:r>
            <w:r>
              <w:rPr>
                <w:rFonts w:hint="eastAsia"/>
                <w:lang w:val="en-US" w:eastAsia="zh-CN"/>
              </w:rPr>
              <w:t>/d的污水处理应急工程，处理工艺为“A</w:t>
            </w:r>
            <w:r>
              <w:rPr>
                <w:rFonts w:hint="eastAsia"/>
                <w:vertAlign w:val="superscript"/>
                <w:lang w:val="en-US" w:eastAsia="zh-CN"/>
              </w:rPr>
              <w:t>2</w:t>
            </w:r>
            <w:r>
              <w:rPr>
                <w:rFonts w:hint="eastAsia"/>
                <w:lang w:val="en-US" w:eastAsia="zh-CN"/>
              </w:rPr>
              <w:t>O+MBBR”</w:t>
            </w:r>
          </w:p>
          <w:p w14:paraId="309A1EBB">
            <w:pPr>
              <w:bidi w:val="0"/>
              <w:rPr>
                <w:rFonts w:hint="eastAsia"/>
                <w:lang w:eastAsia="zh-CN"/>
              </w:rPr>
            </w:pPr>
            <w:r>
              <w:t>根据《排污许可证申请与核发技术规范 水处理通用工序》（HJ1120-2020）附录A废水污染防治技术参考表，工艺组合逻辑合理，符合水处理的常规流程</w:t>
            </w:r>
            <w:r>
              <w:rPr>
                <w:rFonts w:hint="eastAsia"/>
                <w:lang w:eastAsia="zh-CN"/>
              </w:rPr>
              <w:t>，工艺上具有可行性。</w:t>
            </w:r>
          </w:p>
          <w:p w14:paraId="4730889D">
            <w:pPr>
              <w:bidi w:val="0"/>
            </w:pPr>
            <w:r>
              <w:rPr>
                <w:rFonts w:hint="eastAsia"/>
              </w:rPr>
              <w:t>（3）废水非正常排放分析</w:t>
            </w:r>
          </w:p>
          <w:p w14:paraId="2C0106CB">
            <w:pPr>
              <w:bidi w:val="0"/>
            </w:pPr>
            <w:r>
              <w:rPr>
                <w:rFonts w:hint="eastAsia"/>
              </w:rPr>
              <w:t>本项目废水非正常工况主要考虑厂区</w:t>
            </w:r>
            <w:r>
              <w:rPr>
                <w:rFonts w:hint="eastAsia"/>
                <w:lang w:val="en-US" w:eastAsia="zh-CN"/>
              </w:rPr>
              <w:t>一体化处理设施</w:t>
            </w:r>
            <w:r>
              <w:rPr>
                <w:rFonts w:hint="eastAsia"/>
              </w:rPr>
              <w:t>损坏，导致项目废水不能达标排放的情况。主要处理措施为：项目暂停员工生活用水，确保无废水排放，同时及时对</w:t>
            </w:r>
            <w:r>
              <w:rPr>
                <w:rFonts w:hint="eastAsia"/>
                <w:lang w:val="en-US" w:eastAsia="zh-CN"/>
              </w:rPr>
              <w:t>一体化处理设施</w:t>
            </w:r>
            <w:r>
              <w:rPr>
                <w:rFonts w:hint="eastAsia"/>
              </w:rPr>
              <w:t>进行维护和检修，且</w:t>
            </w:r>
            <w:r>
              <w:rPr>
                <w:rFonts w:hint="eastAsia"/>
                <w:lang w:val="en-US" w:eastAsia="zh-CN"/>
              </w:rPr>
              <w:t>一体化处理设施</w:t>
            </w:r>
            <w:r>
              <w:rPr>
                <w:rFonts w:hint="eastAsia"/>
              </w:rPr>
              <w:t>维护和检修完成后，方可恢复员工生活正常用水。</w:t>
            </w:r>
          </w:p>
          <w:p w14:paraId="1069FC91">
            <w:pPr>
              <w:pStyle w:val="38"/>
              <w:ind w:firstLine="482"/>
              <w:rPr>
                <w:rFonts w:hint="eastAsia" w:eastAsia="宋体"/>
                <w:b/>
                <w:bCs/>
                <w:color w:val="auto"/>
                <w:lang w:eastAsia="zh-CN"/>
              </w:rPr>
            </w:pPr>
            <w:r>
              <w:rPr>
                <w:rFonts w:hint="eastAsia"/>
                <w:b/>
                <w:bCs/>
                <w:color w:val="auto"/>
              </w:rPr>
              <w:t>（4）废水排放口信息</w:t>
            </w:r>
          </w:p>
          <w:p w14:paraId="4D0AF881">
            <w:pPr>
              <w:pStyle w:val="38"/>
              <w:ind w:firstLine="480"/>
              <w:rPr>
                <w:color w:val="auto"/>
              </w:rPr>
            </w:pPr>
            <w:r>
              <w:rPr>
                <w:color w:val="auto"/>
              </w:rPr>
              <w:t>本项目</w:t>
            </w:r>
            <w:r>
              <w:rPr>
                <w:rFonts w:hint="eastAsia"/>
                <w:color w:val="auto"/>
                <w:lang w:val="en-US" w:eastAsia="zh-CN"/>
              </w:rPr>
              <w:t>不涉及新增废水排放</w:t>
            </w:r>
            <w:r>
              <w:rPr>
                <w:rFonts w:hint="eastAsia"/>
                <w:color w:val="auto"/>
              </w:rPr>
              <w:t>。</w:t>
            </w:r>
            <w:r>
              <w:rPr>
                <w:rFonts w:hint="eastAsia"/>
                <w:color w:val="auto"/>
                <w:lang w:val="en-US" w:eastAsia="zh-CN"/>
              </w:rPr>
              <w:t>原项目依托的园区</w:t>
            </w:r>
            <w:r>
              <w:rPr>
                <w:rFonts w:hint="eastAsia"/>
                <w:color w:val="auto"/>
              </w:rPr>
              <w:t>废水排放口</w:t>
            </w:r>
            <w:r>
              <w:rPr>
                <w:color w:val="auto"/>
              </w:rPr>
              <w:t>位于厂房</w:t>
            </w:r>
            <w:r>
              <w:rPr>
                <w:rFonts w:hint="eastAsia"/>
                <w:color w:val="auto"/>
                <w:lang w:val="en-US" w:eastAsia="zh-CN"/>
              </w:rPr>
              <w:t>西北</w:t>
            </w:r>
            <w:r>
              <w:rPr>
                <w:color w:val="auto"/>
              </w:rPr>
              <w:t>侧</w:t>
            </w:r>
            <w:r>
              <w:rPr>
                <w:rFonts w:hint="eastAsia"/>
                <w:color w:val="auto"/>
              </w:rPr>
              <w:t>，具体信息见下表。</w:t>
            </w:r>
          </w:p>
          <w:p w14:paraId="38EC3EB0">
            <w:pPr>
              <w:pStyle w:val="7"/>
              <w:ind w:firstLineChars="0"/>
            </w:pPr>
            <w:r>
              <w:rPr>
                <w:rFonts w:hint="eastAsia"/>
              </w:rPr>
              <w:t>表4-</w:t>
            </w:r>
            <w:r>
              <w:rPr>
                <w:rFonts w:hint="eastAsia"/>
                <w:lang w:val="en-US" w:eastAsia="zh-CN"/>
              </w:rPr>
              <w:t>10</w:t>
            </w:r>
            <w:r>
              <w:rPr>
                <w:rFonts w:hint="eastAsia"/>
              </w:rPr>
              <w:t xml:space="preserve">  废水排放口基本信息表</w:t>
            </w:r>
          </w:p>
          <w:tbl>
            <w:tblPr>
              <w:tblStyle w:val="31"/>
              <w:tblW w:w="487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88"/>
              <w:gridCol w:w="836"/>
              <w:gridCol w:w="750"/>
              <w:gridCol w:w="662"/>
              <w:gridCol w:w="588"/>
              <w:gridCol w:w="511"/>
              <w:gridCol w:w="2575"/>
              <w:gridCol w:w="1025"/>
            </w:tblGrid>
            <w:tr w14:paraId="36517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77" w:type="pct"/>
                  <w:vMerge w:val="restart"/>
                  <w:vAlign w:val="center"/>
                </w:tcPr>
                <w:p w14:paraId="5A2DA6E6">
                  <w:pPr>
                    <w:pStyle w:val="5"/>
                    <w:rPr>
                      <w:b/>
                      <w:bCs/>
                    </w:rPr>
                  </w:pPr>
                  <w:r>
                    <w:rPr>
                      <w:rFonts w:hint="eastAsia"/>
                      <w:b/>
                      <w:bCs/>
                    </w:rPr>
                    <w:t>排口名称</w:t>
                  </w:r>
                </w:p>
              </w:tc>
              <w:tc>
                <w:tcPr>
                  <w:tcW w:w="484" w:type="pct"/>
                  <w:vMerge w:val="restart"/>
                  <w:vAlign w:val="center"/>
                </w:tcPr>
                <w:p w14:paraId="2468B1E7">
                  <w:pPr>
                    <w:pStyle w:val="5"/>
                    <w:rPr>
                      <w:b/>
                      <w:bCs/>
                    </w:rPr>
                  </w:pPr>
                  <w:r>
                    <w:rPr>
                      <w:rFonts w:hint="eastAsia"/>
                      <w:b/>
                      <w:bCs/>
                    </w:rPr>
                    <w:t>排放口编号</w:t>
                  </w:r>
                </w:p>
              </w:tc>
              <w:tc>
                <w:tcPr>
                  <w:tcW w:w="817" w:type="pct"/>
                  <w:gridSpan w:val="2"/>
                  <w:vAlign w:val="center"/>
                </w:tcPr>
                <w:p w14:paraId="5F7DB76B">
                  <w:pPr>
                    <w:pStyle w:val="5"/>
                    <w:rPr>
                      <w:b/>
                      <w:bCs/>
                    </w:rPr>
                  </w:pPr>
                  <w:r>
                    <w:rPr>
                      <w:rFonts w:hint="eastAsia"/>
                      <w:b/>
                      <w:bCs/>
                    </w:rPr>
                    <w:t>排放口坐标</w:t>
                  </w:r>
                </w:p>
              </w:tc>
              <w:tc>
                <w:tcPr>
                  <w:tcW w:w="340" w:type="pct"/>
                  <w:vMerge w:val="restart"/>
                  <w:tcBorders>
                    <w:bottom w:val="single" w:color="auto" w:sz="12" w:space="0"/>
                  </w:tcBorders>
                  <w:vAlign w:val="center"/>
                </w:tcPr>
                <w:p w14:paraId="74F26F2A">
                  <w:pPr>
                    <w:pStyle w:val="5"/>
                    <w:rPr>
                      <w:b/>
                      <w:bCs/>
                    </w:rPr>
                  </w:pPr>
                  <w:r>
                    <w:rPr>
                      <w:rFonts w:hint="eastAsia"/>
                      <w:b/>
                      <w:bCs/>
                    </w:rPr>
                    <w:t>排放口类型</w:t>
                  </w:r>
                </w:p>
              </w:tc>
              <w:tc>
                <w:tcPr>
                  <w:tcW w:w="296" w:type="pct"/>
                  <w:vMerge w:val="restart"/>
                  <w:tcBorders>
                    <w:bottom w:val="single" w:color="auto" w:sz="12" w:space="0"/>
                  </w:tcBorders>
                  <w:vAlign w:val="center"/>
                </w:tcPr>
                <w:p w14:paraId="139FA2A9">
                  <w:pPr>
                    <w:pStyle w:val="5"/>
                    <w:rPr>
                      <w:b/>
                      <w:bCs/>
                    </w:rPr>
                  </w:pPr>
                  <w:r>
                    <w:rPr>
                      <w:rFonts w:hint="eastAsia"/>
                      <w:b/>
                      <w:bCs/>
                    </w:rPr>
                    <w:t>排放规律</w:t>
                  </w:r>
                </w:p>
              </w:tc>
              <w:tc>
                <w:tcPr>
                  <w:tcW w:w="1490" w:type="pct"/>
                  <w:vMerge w:val="restart"/>
                  <w:tcBorders>
                    <w:bottom w:val="single" w:color="auto" w:sz="12" w:space="0"/>
                  </w:tcBorders>
                  <w:vAlign w:val="center"/>
                </w:tcPr>
                <w:p w14:paraId="6E2FDF5F">
                  <w:pPr>
                    <w:pStyle w:val="5"/>
                    <w:rPr>
                      <w:b/>
                      <w:bCs/>
                    </w:rPr>
                  </w:pPr>
                  <w:r>
                    <w:rPr>
                      <w:rFonts w:hint="eastAsia"/>
                      <w:b/>
                      <w:bCs/>
                    </w:rPr>
                    <w:t>排放标准</w:t>
                  </w:r>
                </w:p>
              </w:tc>
              <w:tc>
                <w:tcPr>
                  <w:tcW w:w="593" w:type="pct"/>
                  <w:vMerge w:val="restart"/>
                  <w:tcBorders>
                    <w:bottom w:val="single" w:color="auto" w:sz="12" w:space="0"/>
                  </w:tcBorders>
                  <w:vAlign w:val="center"/>
                </w:tcPr>
                <w:p w14:paraId="3D991F45">
                  <w:pPr>
                    <w:pStyle w:val="5"/>
                    <w:rPr>
                      <w:b/>
                      <w:bCs/>
                    </w:rPr>
                  </w:pPr>
                  <w:r>
                    <w:rPr>
                      <w:rFonts w:hint="eastAsia"/>
                      <w:b/>
                      <w:bCs/>
                    </w:rPr>
                    <w:t>排放去向</w:t>
                  </w:r>
                </w:p>
              </w:tc>
            </w:tr>
            <w:tr w14:paraId="0F20C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77" w:type="pct"/>
                  <w:vMerge w:val="continue"/>
                  <w:tcBorders>
                    <w:bottom w:val="single" w:color="auto" w:sz="4" w:space="0"/>
                  </w:tcBorders>
                  <w:vAlign w:val="center"/>
                </w:tcPr>
                <w:p w14:paraId="6EA753A4">
                  <w:pPr>
                    <w:pStyle w:val="5"/>
                  </w:pPr>
                </w:p>
              </w:tc>
              <w:tc>
                <w:tcPr>
                  <w:tcW w:w="484" w:type="pct"/>
                  <w:vMerge w:val="continue"/>
                  <w:tcBorders>
                    <w:bottom w:val="single" w:color="auto" w:sz="4" w:space="0"/>
                  </w:tcBorders>
                  <w:vAlign w:val="center"/>
                </w:tcPr>
                <w:p w14:paraId="24409E29">
                  <w:pPr>
                    <w:pStyle w:val="5"/>
                  </w:pPr>
                </w:p>
              </w:tc>
              <w:tc>
                <w:tcPr>
                  <w:tcW w:w="434" w:type="pct"/>
                  <w:tcBorders>
                    <w:bottom w:val="single" w:color="auto" w:sz="4" w:space="0"/>
                  </w:tcBorders>
                  <w:vAlign w:val="center"/>
                </w:tcPr>
                <w:p w14:paraId="5E004DCE">
                  <w:pPr>
                    <w:pStyle w:val="5"/>
                    <w:rPr>
                      <w:b/>
                      <w:bCs/>
                    </w:rPr>
                  </w:pPr>
                  <w:r>
                    <w:rPr>
                      <w:rFonts w:hint="eastAsia"/>
                      <w:b/>
                      <w:bCs/>
                    </w:rPr>
                    <w:t>经度</w:t>
                  </w:r>
                </w:p>
              </w:tc>
              <w:tc>
                <w:tcPr>
                  <w:tcW w:w="383" w:type="pct"/>
                  <w:tcBorders>
                    <w:bottom w:val="single" w:color="auto" w:sz="4" w:space="0"/>
                  </w:tcBorders>
                  <w:vAlign w:val="center"/>
                </w:tcPr>
                <w:p w14:paraId="4CB5B98B">
                  <w:pPr>
                    <w:pStyle w:val="5"/>
                    <w:rPr>
                      <w:b/>
                      <w:bCs/>
                    </w:rPr>
                  </w:pPr>
                  <w:r>
                    <w:rPr>
                      <w:rFonts w:hint="eastAsia"/>
                      <w:b/>
                      <w:bCs/>
                    </w:rPr>
                    <w:t>纬度</w:t>
                  </w:r>
                </w:p>
              </w:tc>
              <w:tc>
                <w:tcPr>
                  <w:tcW w:w="340" w:type="pct"/>
                  <w:vMerge w:val="continue"/>
                  <w:tcBorders>
                    <w:top w:val="single" w:color="auto" w:sz="12" w:space="0"/>
                    <w:bottom w:val="single" w:color="auto" w:sz="4" w:space="0"/>
                    <w:tl2br w:val="nil"/>
                    <w:tr2bl w:val="nil"/>
                  </w:tcBorders>
                  <w:vAlign w:val="center"/>
                </w:tcPr>
                <w:p w14:paraId="729BDDF0">
                  <w:pPr>
                    <w:pStyle w:val="5"/>
                  </w:pPr>
                </w:p>
              </w:tc>
              <w:tc>
                <w:tcPr>
                  <w:tcW w:w="296" w:type="pct"/>
                  <w:vMerge w:val="continue"/>
                  <w:tcBorders>
                    <w:top w:val="single" w:color="auto" w:sz="12" w:space="0"/>
                    <w:bottom w:val="single" w:color="auto" w:sz="4" w:space="0"/>
                    <w:tl2br w:val="nil"/>
                    <w:tr2bl w:val="nil"/>
                  </w:tcBorders>
                  <w:vAlign w:val="center"/>
                </w:tcPr>
                <w:p w14:paraId="609E3539">
                  <w:pPr>
                    <w:pStyle w:val="5"/>
                  </w:pPr>
                </w:p>
              </w:tc>
              <w:tc>
                <w:tcPr>
                  <w:tcW w:w="1490" w:type="pct"/>
                  <w:vMerge w:val="continue"/>
                  <w:tcBorders>
                    <w:top w:val="single" w:color="auto" w:sz="12" w:space="0"/>
                    <w:bottom w:val="single" w:color="auto" w:sz="4" w:space="0"/>
                    <w:tl2br w:val="nil"/>
                    <w:tr2bl w:val="nil"/>
                  </w:tcBorders>
                  <w:vAlign w:val="center"/>
                </w:tcPr>
                <w:p w14:paraId="306CC16C">
                  <w:pPr>
                    <w:pStyle w:val="5"/>
                  </w:pPr>
                </w:p>
              </w:tc>
              <w:tc>
                <w:tcPr>
                  <w:tcW w:w="593" w:type="pct"/>
                  <w:vMerge w:val="continue"/>
                  <w:tcBorders>
                    <w:top w:val="single" w:color="auto" w:sz="12" w:space="0"/>
                    <w:bottom w:val="single" w:color="auto" w:sz="4" w:space="0"/>
                    <w:tl2br w:val="nil"/>
                    <w:tr2bl w:val="nil"/>
                  </w:tcBorders>
                  <w:vAlign w:val="center"/>
                </w:tcPr>
                <w:p w14:paraId="57450D6C">
                  <w:pPr>
                    <w:pStyle w:val="5"/>
                  </w:pPr>
                </w:p>
              </w:tc>
            </w:tr>
            <w:tr w14:paraId="57B7E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98" w:hRule="atLeast"/>
                <w:jc w:val="center"/>
              </w:trPr>
              <w:tc>
                <w:tcPr>
                  <w:tcW w:w="977" w:type="pct"/>
                  <w:tcBorders>
                    <w:top w:val="single" w:color="auto" w:sz="4" w:space="0"/>
                    <w:tl2br w:val="nil"/>
                    <w:tr2bl w:val="nil"/>
                  </w:tcBorders>
                  <w:vAlign w:val="center"/>
                </w:tcPr>
                <w:p w14:paraId="76EA62C3">
                  <w:pPr>
                    <w:pStyle w:val="5"/>
                  </w:pPr>
                  <w:r>
                    <w:rPr>
                      <w:rFonts w:hint="eastAsia"/>
                      <w:lang w:val="en-US" w:eastAsia="zh-CN"/>
                    </w:rPr>
                    <w:t>废</w:t>
                  </w:r>
                  <w:r>
                    <w:t>水总排口</w:t>
                  </w:r>
                </w:p>
              </w:tc>
              <w:tc>
                <w:tcPr>
                  <w:tcW w:w="484" w:type="pct"/>
                  <w:tcBorders>
                    <w:top w:val="single" w:color="auto" w:sz="4" w:space="0"/>
                    <w:tl2br w:val="nil"/>
                    <w:tr2bl w:val="nil"/>
                  </w:tcBorders>
                  <w:vAlign w:val="center"/>
                </w:tcPr>
                <w:p w14:paraId="18DBBF44">
                  <w:pPr>
                    <w:pStyle w:val="5"/>
                  </w:pPr>
                  <w:r>
                    <w:rPr>
                      <w:rFonts w:hint="eastAsia"/>
                    </w:rPr>
                    <w:t>DW001</w:t>
                  </w:r>
                </w:p>
              </w:tc>
              <w:tc>
                <w:tcPr>
                  <w:tcW w:w="434" w:type="pct"/>
                  <w:tcBorders>
                    <w:top w:val="single" w:color="auto" w:sz="4" w:space="0"/>
                    <w:tl2br w:val="nil"/>
                    <w:tr2bl w:val="nil"/>
                  </w:tcBorders>
                  <w:vAlign w:val="center"/>
                </w:tcPr>
                <w:p w14:paraId="414540E3">
                  <w:pPr>
                    <w:pStyle w:val="5"/>
                  </w:pPr>
                  <w:r>
                    <w:rPr>
                      <w:rFonts w:hint="eastAsia"/>
                    </w:rPr>
                    <w:t>107.51087234</w:t>
                  </w:r>
                </w:p>
              </w:tc>
              <w:tc>
                <w:tcPr>
                  <w:tcW w:w="383" w:type="pct"/>
                  <w:tcBorders>
                    <w:top w:val="single" w:color="auto" w:sz="4" w:space="0"/>
                    <w:tl2br w:val="nil"/>
                    <w:tr2bl w:val="nil"/>
                  </w:tcBorders>
                  <w:vAlign w:val="center"/>
                </w:tcPr>
                <w:p w14:paraId="18D70C40">
                  <w:pPr>
                    <w:pStyle w:val="5"/>
                  </w:pPr>
                  <w:r>
                    <w:rPr>
                      <w:rFonts w:hint="eastAsia"/>
                    </w:rPr>
                    <w:t>31.35978182</w:t>
                  </w:r>
                </w:p>
              </w:tc>
              <w:tc>
                <w:tcPr>
                  <w:tcW w:w="340" w:type="pct"/>
                  <w:tcBorders>
                    <w:top w:val="single" w:color="auto" w:sz="4" w:space="0"/>
                  </w:tcBorders>
                  <w:vAlign w:val="center"/>
                </w:tcPr>
                <w:p w14:paraId="0CFDA72E">
                  <w:pPr>
                    <w:pStyle w:val="5"/>
                    <w:widowControl/>
                    <w:rPr>
                      <w:rFonts w:hint="eastAsia"/>
                    </w:rPr>
                  </w:pPr>
                  <w:r>
                    <w:rPr>
                      <w:rFonts w:hint="eastAsia"/>
                    </w:rPr>
                    <w:t>一般</w:t>
                  </w:r>
                </w:p>
                <w:p w14:paraId="7A033E77">
                  <w:pPr>
                    <w:pStyle w:val="5"/>
                    <w:widowControl/>
                  </w:pPr>
                  <w:r>
                    <w:rPr>
                      <w:rFonts w:hint="eastAsia"/>
                    </w:rPr>
                    <w:t>排口</w:t>
                  </w:r>
                </w:p>
              </w:tc>
              <w:tc>
                <w:tcPr>
                  <w:tcW w:w="296" w:type="pct"/>
                  <w:tcBorders>
                    <w:top w:val="single" w:color="auto" w:sz="4" w:space="0"/>
                  </w:tcBorders>
                  <w:vAlign w:val="center"/>
                </w:tcPr>
                <w:p w14:paraId="69804241">
                  <w:pPr>
                    <w:pStyle w:val="5"/>
                    <w:jc w:val="both"/>
                  </w:pPr>
                  <w:r>
                    <w:rPr>
                      <w:rFonts w:hint="eastAsia"/>
                      <w:lang w:val="en-US" w:eastAsia="zh-CN"/>
                    </w:rPr>
                    <w:t>连续</w:t>
                  </w:r>
                  <w:r>
                    <w:rPr>
                      <w:rFonts w:hint="eastAsia"/>
                    </w:rPr>
                    <w:t>排放</w:t>
                  </w:r>
                </w:p>
              </w:tc>
              <w:tc>
                <w:tcPr>
                  <w:tcW w:w="1490" w:type="pct"/>
                  <w:tcBorders>
                    <w:top w:val="single" w:color="auto" w:sz="4" w:space="0"/>
                  </w:tcBorders>
                  <w:vAlign w:val="center"/>
                </w:tcPr>
                <w:p w14:paraId="787AAE85">
                  <w:pPr>
                    <w:pStyle w:val="5"/>
                    <w:rPr>
                      <w:rFonts w:hint="eastAsia" w:eastAsia="宋体"/>
                      <w:lang w:eastAsia="zh-CN"/>
                    </w:rPr>
                  </w:pPr>
                  <w:r>
                    <w:t>氨氮、总磷参照《污水排入城镇下水道水质标准》（GB/T</w:t>
                  </w:r>
                  <w:r>
                    <w:rPr>
                      <w:rFonts w:hint="eastAsia"/>
                    </w:rPr>
                    <w:t xml:space="preserve"> </w:t>
                  </w:r>
                  <w:r>
                    <w:t>31962-2015）</w:t>
                  </w:r>
                  <w:r>
                    <w:rPr>
                      <w:rFonts w:hint="eastAsia"/>
                    </w:rPr>
                    <w:t>中表1B级</w:t>
                  </w:r>
                  <w:r>
                    <w:rPr>
                      <w:rFonts w:hint="eastAsia"/>
                      <w:lang w:val="en-US" w:eastAsia="zh-CN"/>
                    </w:rPr>
                    <w:t>标准；其他执行</w:t>
                  </w:r>
                  <w:r>
                    <w:t>《污水综合排放标准》（GB</w:t>
                  </w:r>
                  <w:r>
                    <w:rPr>
                      <w:rFonts w:hint="eastAsia"/>
                    </w:rPr>
                    <w:t xml:space="preserve"> </w:t>
                  </w:r>
                  <w:r>
                    <w:t>8978-1996）中</w:t>
                  </w:r>
                  <w:r>
                    <w:rPr>
                      <w:rFonts w:hint="eastAsia"/>
                    </w:rPr>
                    <w:t>表2</w:t>
                  </w:r>
                  <w:r>
                    <w:t>三级标准</w:t>
                  </w:r>
                  <w:r>
                    <w:rPr>
                      <w:rFonts w:hint="eastAsia"/>
                      <w:lang w:eastAsia="zh-CN"/>
                    </w:rPr>
                    <w:t>。</w:t>
                  </w:r>
                </w:p>
              </w:tc>
              <w:tc>
                <w:tcPr>
                  <w:tcW w:w="593" w:type="pct"/>
                  <w:tcBorders>
                    <w:top w:val="single" w:color="auto" w:sz="4" w:space="0"/>
                  </w:tcBorders>
                  <w:vAlign w:val="center"/>
                </w:tcPr>
                <w:p w14:paraId="15862EA3">
                  <w:pPr>
                    <w:pStyle w:val="5"/>
                    <w:rPr>
                      <w:rFonts w:hint="eastAsia" w:eastAsia="宋体"/>
                      <w:lang w:eastAsia="zh-CN"/>
                    </w:rPr>
                  </w:pPr>
                  <w:r>
                    <w:t>经</w:t>
                  </w:r>
                  <w:r>
                    <w:rPr>
                      <w:rFonts w:hint="eastAsia"/>
                    </w:rPr>
                    <w:t>市政管网排入</w:t>
                  </w:r>
                  <w:r>
                    <w:rPr>
                      <w:rFonts w:hint="eastAsia"/>
                      <w:lang w:val="en-US" w:eastAsia="zh-CN"/>
                    </w:rPr>
                    <w:t>魏兴场镇污水处理厂</w:t>
                  </w:r>
                  <w:r>
                    <w:t>处理后</w:t>
                  </w:r>
                  <w:r>
                    <w:rPr>
                      <w:rFonts w:hint="eastAsia"/>
                    </w:rPr>
                    <w:t>排入</w:t>
                  </w:r>
                  <w:r>
                    <w:rPr>
                      <w:rFonts w:hint="eastAsia"/>
                      <w:lang w:val="en-US" w:eastAsia="zh-CN"/>
                    </w:rPr>
                    <w:t>州河。</w:t>
                  </w:r>
                </w:p>
              </w:tc>
            </w:tr>
          </w:tbl>
          <w:p w14:paraId="38080535">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ascii="Times New Roman" w:hAnsi="Times New Roman" w:cs="Times New Roman"/>
                <w:b/>
                <w:bCs/>
                <w:color w:val="auto"/>
                <w:sz w:val="24"/>
                <w:szCs w:val="28"/>
                <w:highlight w:val="none"/>
                <w:lang w:eastAsia="zh-CN"/>
              </w:rPr>
              <w:t>（</w:t>
            </w:r>
            <w:r>
              <w:rPr>
                <w:rFonts w:hint="eastAsia" w:ascii="Times New Roman" w:hAnsi="Times New Roman" w:cs="Times New Roman"/>
                <w:b/>
                <w:bCs/>
                <w:color w:val="auto"/>
                <w:sz w:val="24"/>
                <w:szCs w:val="28"/>
                <w:highlight w:val="none"/>
                <w:lang w:val="en-US" w:eastAsia="zh-CN"/>
              </w:rPr>
              <w:t>5</w:t>
            </w:r>
            <w:r>
              <w:rPr>
                <w:rFonts w:hint="eastAsia" w:ascii="Times New Roman" w:hAnsi="Times New Roman" w:cs="Times New Roman"/>
                <w:b/>
                <w:bCs/>
                <w:color w:val="auto"/>
                <w:sz w:val="24"/>
                <w:szCs w:val="28"/>
                <w:highlight w:val="none"/>
                <w:lang w:eastAsia="zh-CN"/>
              </w:rPr>
              <w:t>）</w:t>
            </w:r>
            <w:r>
              <w:rPr>
                <w:rFonts w:hint="default" w:ascii="Times New Roman" w:hAnsi="Times New Roman" w:eastAsia="宋体" w:cs="Times New Roman"/>
                <w:b/>
                <w:bCs/>
                <w:color w:val="auto"/>
                <w:sz w:val="24"/>
                <w:szCs w:val="28"/>
                <w:highlight w:val="none"/>
              </w:rPr>
              <w:t>监测要求</w:t>
            </w:r>
          </w:p>
          <w:p w14:paraId="36ED2102">
            <w:pPr>
              <w:spacing w:line="360" w:lineRule="auto"/>
              <w:ind w:firstLine="480" w:firstLineChars="20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依据《排污单位自行监测技术指南总则》（HJ819-2017）和本项目废水实际排放情况，本项目废水监测要求见下表：</w:t>
            </w:r>
          </w:p>
          <w:p w14:paraId="73354F88">
            <w:pPr>
              <w:pStyle w:val="7"/>
              <w:ind w:left="0"/>
              <w:jc w:val="center"/>
              <w:rPr>
                <w:rFonts w:hint="default"/>
              </w:rPr>
            </w:pPr>
            <w:r>
              <w:rPr>
                <w:rFonts w:hint="default"/>
                <w:lang w:val="en-US" w:eastAsia="zh-CN"/>
              </w:rPr>
              <w:t>表4-</w:t>
            </w:r>
            <w:r>
              <w:rPr>
                <w:rFonts w:hint="eastAsia"/>
                <w:lang w:val="en-US" w:eastAsia="zh-CN"/>
              </w:rPr>
              <w:t xml:space="preserve">11  </w:t>
            </w:r>
            <w:r>
              <w:rPr>
                <w:rFonts w:hint="default"/>
              </w:rPr>
              <w:t>项目废水监测要求</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2"/>
              <w:gridCol w:w="1358"/>
              <w:gridCol w:w="3324"/>
              <w:gridCol w:w="1210"/>
              <w:gridCol w:w="1971"/>
            </w:tblGrid>
            <w:tr w14:paraId="642EE05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60" w:type="pct"/>
                  <w:tcBorders>
                    <w:tl2br w:val="nil"/>
                    <w:tr2bl w:val="nil"/>
                  </w:tcBorders>
                  <w:noWrap w:val="0"/>
                  <w:vAlign w:val="center"/>
                </w:tcPr>
                <w:p w14:paraId="026B3A1A">
                  <w:pPr>
                    <w:pStyle w:val="5"/>
                    <w:jc w:val="center"/>
                    <w:rPr>
                      <w:rFonts w:hint="default"/>
                      <w:b/>
                      <w:bCs/>
                    </w:rPr>
                  </w:pPr>
                  <w:r>
                    <w:rPr>
                      <w:rFonts w:hint="default"/>
                      <w:b/>
                      <w:bCs/>
                    </w:rPr>
                    <w:t>类别</w:t>
                  </w:r>
                </w:p>
              </w:tc>
              <w:tc>
                <w:tcPr>
                  <w:tcW w:w="767" w:type="pct"/>
                  <w:tcBorders>
                    <w:tl2br w:val="nil"/>
                    <w:tr2bl w:val="nil"/>
                  </w:tcBorders>
                  <w:noWrap w:val="0"/>
                  <w:vAlign w:val="center"/>
                </w:tcPr>
                <w:p w14:paraId="64EE4BE8">
                  <w:pPr>
                    <w:pStyle w:val="5"/>
                    <w:jc w:val="center"/>
                    <w:rPr>
                      <w:rFonts w:hint="default"/>
                      <w:b/>
                      <w:bCs/>
                    </w:rPr>
                  </w:pPr>
                  <w:r>
                    <w:rPr>
                      <w:rFonts w:hint="default"/>
                      <w:b/>
                      <w:bCs/>
                    </w:rPr>
                    <w:t>监测点位</w:t>
                  </w:r>
                </w:p>
              </w:tc>
              <w:tc>
                <w:tcPr>
                  <w:tcW w:w="1877" w:type="pct"/>
                  <w:tcBorders>
                    <w:tl2br w:val="nil"/>
                    <w:tr2bl w:val="nil"/>
                  </w:tcBorders>
                  <w:noWrap w:val="0"/>
                  <w:vAlign w:val="center"/>
                </w:tcPr>
                <w:p w14:paraId="5ECCC0B9">
                  <w:pPr>
                    <w:pStyle w:val="5"/>
                    <w:jc w:val="center"/>
                    <w:rPr>
                      <w:rFonts w:hint="default"/>
                      <w:b/>
                      <w:bCs/>
                    </w:rPr>
                  </w:pPr>
                  <w:r>
                    <w:rPr>
                      <w:rFonts w:hint="default"/>
                      <w:b/>
                      <w:bCs/>
                    </w:rPr>
                    <w:t>监测项目</w:t>
                  </w:r>
                </w:p>
              </w:tc>
              <w:tc>
                <w:tcPr>
                  <w:tcW w:w="683" w:type="pct"/>
                  <w:tcBorders>
                    <w:tl2br w:val="nil"/>
                    <w:tr2bl w:val="nil"/>
                  </w:tcBorders>
                  <w:noWrap w:val="0"/>
                  <w:vAlign w:val="center"/>
                </w:tcPr>
                <w:p w14:paraId="3FC1BD92">
                  <w:pPr>
                    <w:pStyle w:val="5"/>
                    <w:jc w:val="center"/>
                    <w:rPr>
                      <w:rFonts w:hint="default"/>
                      <w:b/>
                      <w:bCs/>
                    </w:rPr>
                  </w:pPr>
                  <w:r>
                    <w:rPr>
                      <w:rFonts w:hint="default"/>
                      <w:b/>
                      <w:bCs/>
                    </w:rPr>
                    <w:t>监测频次</w:t>
                  </w:r>
                </w:p>
              </w:tc>
              <w:tc>
                <w:tcPr>
                  <w:tcW w:w="1114" w:type="pct"/>
                  <w:tcBorders>
                    <w:tl2br w:val="nil"/>
                    <w:tr2bl w:val="nil"/>
                  </w:tcBorders>
                  <w:noWrap w:val="0"/>
                  <w:vAlign w:val="top"/>
                </w:tcPr>
                <w:p w14:paraId="4E88EA43">
                  <w:pPr>
                    <w:pStyle w:val="5"/>
                    <w:jc w:val="center"/>
                    <w:rPr>
                      <w:rFonts w:hint="default"/>
                      <w:b/>
                      <w:bCs/>
                    </w:rPr>
                  </w:pPr>
                  <w:r>
                    <w:rPr>
                      <w:rFonts w:hint="default"/>
                      <w:b/>
                      <w:bCs/>
                    </w:rPr>
                    <w:t>执行标准</w:t>
                  </w:r>
                </w:p>
              </w:tc>
            </w:tr>
            <w:tr w14:paraId="308283B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0" w:type="pct"/>
                  <w:tcBorders>
                    <w:tl2br w:val="nil"/>
                    <w:tr2bl w:val="nil"/>
                  </w:tcBorders>
                  <w:noWrap w:val="0"/>
                  <w:vAlign w:val="center"/>
                </w:tcPr>
                <w:p w14:paraId="4E9CF9EE">
                  <w:pPr>
                    <w:pStyle w:val="5"/>
                    <w:snapToGrid w:val="0"/>
                    <w:jc w:val="center"/>
                    <w:rPr>
                      <w:rFonts w:hint="default"/>
                    </w:rPr>
                  </w:pPr>
                  <w:r>
                    <w:rPr>
                      <w:rFonts w:hint="default"/>
                    </w:rPr>
                    <w:t>废水</w:t>
                  </w:r>
                </w:p>
              </w:tc>
              <w:tc>
                <w:tcPr>
                  <w:tcW w:w="767" w:type="pct"/>
                  <w:tcBorders>
                    <w:tl2br w:val="nil"/>
                    <w:tr2bl w:val="nil"/>
                  </w:tcBorders>
                  <w:noWrap w:val="0"/>
                  <w:vAlign w:val="center"/>
                </w:tcPr>
                <w:p w14:paraId="380894F5">
                  <w:pPr>
                    <w:pStyle w:val="5"/>
                    <w:snapToGrid w:val="0"/>
                    <w:jc w:val="center"/>
                    <w:rPr>
                      <w:rFonts w:hint="default"/>
                    </w:rPr>
                  </w:pPr>
                  <w:r>
                    <w:rPr>
                      <w:rFonts w:hint="default"/>
                    </w:rPr>
                    <w:t>废水总排口</w:t>
                  </w:r>
                </w:p>
              </w:tc>
              <w:tc>
                <w:tcPr>
                  <w:tcW w:w="1877" w:type="pct"/>
                  <w:tcBorders>
                    <w:tl2br w:val="nil"/>
                    <w:tr2bl w:val="nil"/>
                  </w:tcBorders>
                  <w:noWrap w:val="0"/>
                  <w:vAlign w:val="center"/>
                </w:tcPr>
                <w:p w14:paraId="3193BCBC">
                  <w:pPr>
                    <w:pStyle w:val="5"/>
                    <w:snapToGrid w:val="0"/>
                    <w:jc w:val="center"/>
                    <w:rPr>
                      <w:rFonts w:hint="default"/>
                    </w:rPr>
                  </w:pPr>
                  <w:r>
                    <w:rPr>
                      <w:rFonts w:hint="default"/>
                    </w:rPr>
                    <w:t>流量、pH值、悬浮物、化学需氧量、五日生化需氧量、氨氮、总氮、总磷、石油类</w:t>
                  </w:r>
                </w:p>
              </w:tc>
              <w:tc>
                <w:tcPr>
                  <w:tcW w:w="683" w:type="pct"/>
                  <w:tcBorders>
                    <w:tl2br w:val="nil"/>
                    <w:tr2bl w:val="nil"/>
                  </w:tcBorders>
                  <w:noWrap w:val="0"/>
                  <w:vAlign w:val="center"/>
                </w:tcPr>
                <w:p w14:paraId="76044857">
                  <w:pPr>
                    <w:pStyle w:val="5"/>
                    <w:snapToGrid w:val="0"/>
                    <w:jc w:val="center"/>
                    <w:rPr>
                      <w:rFonts w:hint="default"/>
                    </w:rPr>
                  </w:pPr>
                  <w:r>
                    <w:rPr>
                      <w:rFonts w:hint="default"/>
                    </w:rPr>
                    <w:t>1次/年</w:t>
                  </w:r>
                </w:p>
              </w:tc>
              <w:tc>
                <w:tcPr>
                  <w:tcW w:w="1114" w:type="pct"/>
                  <w:tcBorders>
                    <w:tl2br w:val="nil"/>
                    <w:tr2bl w:val="nil"/>
                  </w:tcBorders>
                  <w:noWrap w:val="0"/>
                  <w:vAlign w:val="top"/>
                </w:tcPr>
                <w:p w14:paraId="1C7E2A3D">
                  <w:pPr>
                    <w:pStyle w:val="5"/>
                    <w:wordWrap w:val="0"/>
                    <w:snapToGrid w:val="0"/>
                    <w:jc w:val="center"/>
                    <w:rPr>
                      <w:rFonts w:hint="default"/>
                    </w:rPr>
                  </w:pPr>
                  <w:r>
                    <w:rPr>
                      <w:rFonts w:hint="default"/>
                    </w:rPr>
                    <w:t>《污水综合排放标准》（GB8978-1996）中三级标准</w:t>
                  </w:r>
                </w:p>
              </w:tc>
            </w:tr>
          </w:tbl>
          <w:p w14:paraId="64BD12F4">
            <w:pPr>
              <w:pStyle w:val="38"/>
              <w:ind w:firstLine="482"/>
              <w:rPr>
                <w:b/>
                <w:bCs/>
                <w:color w:val="auto"/>
              </w:rPr>
            </w:pPr>
            <w:r>
              <w:rPr>
                <w:rFonts w:hint="eastAsia"/>
                <w:b/>
                <w:bCs/>
                <w:color w:val="auto"/>
              </w:rPr>
              <w:t>3、噪声</w:t>
            </w:r>
          </w:p>
          <w:p w14:paraId="1D1336C2">
            <w:pPr>
              <w:pStyle w:val="38"/>
              <w:ind w:firstLine="480"/>
              <w:rPr>
                <w:b/>
                <w:bCs/>
                <w:color w:val="auto"/>
              </w:rPr>
            </w:pPr>
            <w:r>
              <w:rPr>
                <w:rFonts w:hint="eastAsia"/>
                <w:b/>
                <w:bCs/>
                <w:color w:val="auto"/>
              </w:rPr>
              <w:t>（1）噪声产生源强</w:t>
            </w:r>
          </w:p>
          <w:p w14:paraId="57565AAF">
            <w:pPr>
              <w:pStyle w:val="38"/>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rPr>
            </w:pPr>
            <w:r>
              <w:rPr>
                <w:rFonts w:hint="default" w:ascii="Times New Roman" w:hAnsi="Times New Roman" w:eastAsia="宋体" w:cs="Times New Roman"/>
                <w:color w:val="auto"/>
                <w:sz w:val="24"/>
                <w:szCs w:val="28"/>
                <w:highlight w:val="none"/>
              </w:rPr>
              <w:t>本项目运营期的噪声主要为设备噪声，产噪设备主要有</w:t>
            </w:r>
            <w:r>
              <w:rPr>
                <w:rFonts w:hint="eastAsia" w:cs="Times New Roman"/>
                <w:color w:val="auto"/>
                <w:sz w:val="24"/>
                <w:szCs w:val="28"/>
                <w:highlight w:val="none"/>
                <w:lang w:val="en-US" w:eastAsia="zh-CN"/>
              </w:rPr>
              <w:t>点胶机、固化箱和影像测量仪</w:t>
            </w:r>
            <w:r>
              <w:rPr>
                <w:rFonts w:hint="default" w:ascii="Times New Roman" w:hAnsi="Times New Roman" w:eastAsia="宋体" w:cs="Times New Roman"/>
                <w:color w:val="auto"/>
                <w:sz w:val="24"/>
                <w:szCs w:val="28"/>
                <w:highlight w:val="none"/>
              </w:rPr>
              <w:t>，噪声值约在</w:t>
            </w:r>
            <w:r>
              <w:rPr>
                <w:rFonts w:hint="eastAsia" w:cs="Times New Roman"/>
                <w:color w:val="auto"/>
                <w:sz w:val="24"/>
                <w:szCs w:val="28"/>
                <w:highlight w:val="none"/>
                <w:lang w:val="en-US" w:eastAsia="zh-CN"/>
              </w:rPr>
              <w:t>70-82</w:t>
            </w:r>
            <w:r>
              <w:rPr>
                <w:rFonts w:hint="default" w:ascii="Times New Roman" w:hAnsi="Times New Roman" w:eastAsia="宋体" w:cs="Times New Roman"/>
                <w:color w:val="auto"/>
                <w:sz w:val="24"/>
                <w:szCs w:val="28"/>
                <w:highlight w:val="none"/>
              </w:rPr>
              <w:t>dB（A）。</w:t>
            </w:r>
          </w:p>
          <w:p w14:paraId="072A5AA4">
            <w:pPr>
              <w:pStyle w:val="38"/>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color w:val="auto"/>
              </w:rPr>
              <w:t>项目主要设备噪声源强见下表。</w:t>
            </w:r>
          </w:p>
          <w:p w14:paraId="326BCE42">
            <w:pPr>
              <w:pStyle w:val="7"/>
              <w:bidi w:val="0"/>
            </w:pPr>
            <w:r>
              <w:rPr>
                <w:rFonts w:hint="eastAsia"/>
                <w:lang w:val="zh-CN" w:eastAsia="zh-CN"/>
              </w:rPr>
              <w:t>表4-</w:t>
            </w:r>
            <w:r>
              <w:rPr>
                <w:rFonts w:hint="eastAsia"/>
                <w:lang w:val="en-US" w:eastAsia="zh-CN"/>
              </w:rPr>
              <w:t>12  本项目新增</w:t>
            </w:r>
            <w:r>
              <w:rPr>
                <w:rFonts w:hint="eastAsia"/>
                <w:lang w:val="zh-CN" w:eastAsia="zh-CN"/>
              </w:rPr>
              <w:t>噪声源强</w:t>
            </w:r>
            <w:r>
              <w:rPr>
                <w:rFonts w:hint="eastAsia"/>
                <w:lang w:val="en-US" w:eastAsia="zh-CN"/>
              </w:rPr>
              <w:t>调查清单</w:t>
            </w:r>
            <w:r>
              <w:rPr>
                <w:rFonts w:hint="eastAsia"/>
                <w:lang w:val="zh-CN" w:eastAsia="zh-CN"/>
              </w:rPr>
              <w:t>（室</w:t>
            </w:r>
            <w:r>
              <w:rPr>
                <w:rFonts w:hint="eastAsia"/>
                <w:lang w:val="en-US" w:eastAsia="zh-CN"/>
              </w:rPr>
              <w:t>内</w:t>
            </w:r>
            <w:r>
              <w:rPr>
                <w:rFonts w:hint="eastAsia"/>
                <w:lang w:val="zh-CN" w:eastAsia="zh-CN"/>
              </w:rPr>
              <w:t>声源）</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834"/>
              <w:gridCol w:w="427"/>
              <w:gridCol w:w="790"/>
              <w:gridCol w:w="445"/>
              <w:gridCol w:w="399"/>
              <w:gridCol w:w="432"/>
              <w:gridCol w:w="540"/>
              <w:gridCol w:w="813"/>
              <w:gridCol w:w="790"/>
              <w:gridCol w:w="473"/>
              <w:gridCol w:w="790"/>
              <w:gridCol w:w="790"/>
              <w:gridCol w:w="480"/>
            </w:tblGrid>
            <w:tr w14:paraId="485F52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0" w:type="pct"/>
                  <w:vMerge w:val="restart"/>
                  <w:tcBorders>
                    <w:tl2br w:val="nil"/>
                    <w:tr2bl w:val="nil"/>
                  </w:tcBorders>
                  <w:noWrap w:val="0"/>
                  <w:vAlign w:val="center"/>
                </w:tcPr>
                <w:p w14:paraId="4638E3A6">
                  <w:pPr>
                    <w:pStyle w:val="5"/>
                    <w:bidi w:val="0"/>
                    <w:rPr>
                      <w:rFonts w:hint="eastAsia"/>
                      <w:b/>
                      <w:bCs/>
                      <w:lang w:val="zh-CN" w:eastAsia="zh-CN"/>
                    </w:rPr>
                  </w:pPr>
                  <w:r>
                    <w:rPr>
                      <w:rFonts w:hint="eastAsia"/>
                      <w:b/>
                      <w:bCs/>
                      <w:lang w:val="zh-CN" w:eastAsia="zh-CN"/>
                    </w:rPr>
                    <w:t>序号</w:t>
                  </w:r>
                </w:p>
              </w:tc>
              <w:tc>
                <w:tcPr>
                  <w:tcW w:w="240" w:type="pct"/>
                  <w:vMerge w:val="restart"/>
                  <w:tcBorders>
                    <w:tl2br w:val="nil"/>
                    <w:tr2bl w:val="nil"/>
                  </w:tcBorders>
                  <w:noWrap w:val="0"/>
                  <w:vAlign w:val="center"/>
                </w:tcPr>
                <w:p w14:paraId="5254EBBD">
                  <w:pPr>
                    <w:pStyle w:val="5"/>
                    <w:bidi w:val="0"/>
                    <w:rPr>
                      <w:rFonts w:hint="eastAsia"/>
                      <w:b/>
                      <w:bCs/>
                      <w:lang w:val="zh-CN" w:eastAsia="zh-CN"/>
                    </w:rPr>
                  </w:pPr>
                  <w:r>
                    <w:rPr>
                      <w:rFonts w:hint="eastAsia"/>
                      <w:b/>
                      <w:bCs/>
                      <w:lang w:val="zh-CN" w:eastAsia="zh-CN"/>
                    </w:rPr>
                    <w:t>建筑物名称</w:t>
                  </w:r>
                </w:p>
              </w:tc>
              <w:tc>
                <w:tcPr>
                  <w:tcW w:w="470" w:type="pct"/>
                  <w:vMerge w:val="restart"/>
                  <w:tcBorders>
                    <w:tl2br w:val="nil"/>
                    <w:tr2bl w:val="nil"/>
                  </w:tcBorders>
                  <w:noWrap w:val="0"/>
                  <w:vAlign w:val="center"/>
                </w:tcPr>
                <w:p w14:paraId="4BF329AB">
                  <w:pPr>
                    <w:pStyle w:val="5"/>
                    <w:bidi w:val="0"/>
                    <w:rPr>
                      <w:rFonts w:hint="eastAsia"/>
                      <w:b/>
                      <w:bCs/>
                      <w:lang w:val="zh-CN" w:eastAsia="zh-CN"/>
                    </w:rPr>
                  </w:pPr>
                  <w:r>
                    <w:rPr>
                      <w:rFonts w:hint="eastAsia"/>
                      <w:b/>
                      <w:bCs/>
                      <w:lang w:val="zh-CN" w:eastAsia="zh-CN"/>
                    </w:rPr>
                    <w:t>声源名称</w:t>
                  </w:r>
                </w:p>
              </w:tc>
              <w:tc>
                <w:tcPr>
                  <w:tcW w:w="241" w:type="pct"/>
                  <w:vMerge w:val="restart"/>
                  <w:tcBorders>
                    <w:tl2br w:val="nil"/>
                    <w:tr2bl w:val="nil"/>
                  </w:tcBorders>
                  <w:noWrap w:val="0"/>
                  <w:vAlign w:val="center"/>
                </w:tcPr>
                <w:p w14:paraId="6BF20901">
                  <w:pPr>
                    <w:pStyle w:val="5"/>
                    <w:bidi w:val="0"/>
                    <w:rPr>
                      <w:rFonts w:hint="eastAsia"/>
                      <w:b/>
                      <w:bCs/>
                      <w:lang w:val="zh-CN" w:eastAsia="zh-CN"/>
                    </w:rPr>
                  </w:pPr>
                  <w:r>
                    <w:rPr>
                      <w:rFonts w:hint="eastAsia"/>
                      <w:b/>
                      <w:bCs/>
                      <w:lang w:val="zh-CN" w:eastAsia="zh-CN"/>
                    </w:rPr>
                    <w:t>台数</w:t>
                  </w:r>
                </w:p>
              </w:tc>
              <w:tc>
                <w:tcPr>
                  <w:tcW w:w="446" w:type="pct"/>
                  <w:vMerge w:val="restart"/>
                  <w:tcBorders>
                    <w:tl2br w:val="nil"/>
                    <w:tr2bl w:val="nil"/>
                  </w:tcBorders>
                  <w:noWrap w:val="0"/>
                  <w:vAlign w:val="center"/>
                </w:tcPr>
                <w:p w14:paraId="07A46C0E">
                  <w:pPr>
                    <w:pStyle w:val="5"/>
                    <w:bidi w:val="0"/>
                    <w:rPr>
                      <w:rFonts w:hint="eastAsia"/>
                      <w:b/>
                      <w:bCs/>
                      <w:lang w:val="zh-CN" w:eastAsia="zh-CN"/>
                    </w:rPr>
                  </w:pPr>
                  <w:r>
                    <w:rPr>
                      <w:rFonts w:hint="eastAsia"/>
                      <w:b/>
                      <w:bCs/>
                      <w:lang w:val="zh-CN" w:eastAsia="zh-CN"/>
                    </w:rPr>
                    <w:t>声源源强</w:t>
                  </w:r>
                </w:p>
              </w:tc>
              <w:tc>
                <w:tcPr>
                  <w:tcW w:w="251" w:type="pct"/>
                  <w:vMerge w:val="restart"/>
                  <w:tcBorders>
                    <w:tl2br w:val="nil"/>
                    <w:tr2bl w:val="nil"/>
                  </w:tcBorders>
                  <w:noWrap w:val="0"/>
                  <w:vAlign w:val="center"/>
                </w:tcPr>
                <w:p w14:paraId="31FEAFC5">
                  <w:pPr>
                    <w:pStyle w:val="5"/>
                    <w:bidi w:val="0"/>
                    <w:rPr>
                      <w:rFonts w:hint="eastAsia"/>
                      <w:b/>
                      <w:bCs/>
                      <w:lang w:val="zh-CN" w:eastAsia="zh-CN"/>
                    </w:rPr>
                  </w:pPr>
                  <w:r>
                    <w:rPr>
                      <w:rFonts w:hint="eastAsia"/>
                      <w:b/>
                      <w:bCs/>
                      <w:lang w:val="zh-CN" w:eastAsia="zh-CN"/>
                    </w:rPr>
                    <w:t>声源控制措施</w:t>
                  </w:r>
                </w:p>
              </w:tc>
              <w:tc>
                <w:tcPr>
                  <w:tcW w:w="774" w:type="pct"/>
                  <w:gridSpan w:val="3"/>
                  <w:vMerge w:val="restart"/>
                  <w:tcBorders>
                    <w:tl2br w:val="nil"/>
                    <w:tr2bl w:val="nil"/>
                  </w:tcBorders>
                  <w:noWrap w:val="0"/>
                  <w:vAlign w:val="center"/>
                </w:tcPr>
                <w:p w14:paraId="14262676">
                  <w:pPr>
                    <w:pStyle w:val="5"/>
                    <w:bidi w:val="0"/>
                    <w:rPr>
                      <w:rFonts w:hint="eastAsia"/>
                      <w:b/>
                      <w:bCs/>
                      <w:lang w:val="zh-CN" w:eastAsia="zh-CN"/>
                    </w:rPr>
                  </w:pPr>
                  <w:r>
                    <w:rPr>
                      <w:rFonts w:hint="eastAsia"/>
                      <w:b/>
                      <w:bCs/>
                      <w:lang w:val="zh-CN" w:eastAsia="zh-CN"/>
                    </w:rPr>
                    <w:t>空间相对位置</w:t>
                  </w:r>
                </w:p>
                <w:p w14:paraId="261BC2F6">
                  <w:pPr>
                    <w:pStyle w:val="5"/>
                    <w:bidi w:val="0"/>
                    <w:rPr>
                      <w:rFonts w:hint="eastAsia"/>
                      <w:b/>
                      <w:bCs/>
                      <w:lang w:val="zh-CN" w:eastAsia="zh-CN"/>
                    </w:rPr>
                  </w:pPr>
                  <w:r>
                    <w:rPr>
                      <w:rFonts w:hint="eastAsia"/>
                      <w:b/>
                      <w:bCs/>
                      <w:lang w:val="zh-CN" w:eastAsia="zh-CN"/>
                    </w:rPr>
                    <w:t>m</w:t>
                  </w:r>
                </w:p>
              </w:tc>
              <w:tc>
                <w:tcPr>
                  <w:tcW w:w="459" w:type="pct"/>
                  <w:vMerge w:val="restart"/>
                  <w:tcBorders>
                    <w:tl2br w:val="nil"/>
                    <w:tr2bl w:val="nil"/>
                  </w:tcBorders>
                  <w:noWrap w:val="0"/>
                  <w:vAlign w:val="center"/>
                </w:tcPr>
                <w:p w14:paraId="0C271BC6">
                  <w:pPr>
                    <w:pStyle w:val="5"/>
                    <w:bidi w:val="0"/>
                    <w:rPr>
                      <w:rFonts w:hint="eastAsia"/>
                      <w:b/>
                      <w:bCs/>
                      <w:lang w:val="zh-CN" w:eastAsia="zh-CN"/>
                    </w:rPr>
                  </w:pPr>
                  <w:r>
                    <w:rPr>
                      <w:rFonts w:hint="eastAsia"/>
                      <w:b/>
                      <w:bCs/>
                      <w:lang w:val="zh-CN" w:eastAsia="zh-CN"/>
                    </w:rPr>
                    <w:t>距室内边界距离（m）</w:t>
                  </w:r>
                </w:p>
              </w:tc>
              <w:tc>
                <w:tcPr>
                  <w:tcW w:w="446" w:type="pct"/>
                  <w:vMerge w:val="restart"/>
                  <w:tcBorders>
                    <w:tl2br w:val="nil"/>
                    <w:tr2bl w:val="nil"/>
                  </w:tcBorders>
                  <w:noWrap w:val="0"/>
                  <w:vAlign w:val="center"/>
                </w:tcPr>
                <w:p w14:paraId="1A3B617C">
                  <w:pPr>
                    <w:pStyle w:val="5"/>
                    <w:bidi w:val="0"/>
                    <w:rPr>
                      <w:rFonts w:hint="eastAsia"/>
                      <w:b/>
                      <w:bCs/>
                      <w:lang w:val="zh-CN" w:eastAsia="zh-CN"/>
                    </w:rPr>
                  </w:pPr>
                  <w:r>
                    <w:rPr>
                      <w:rFonts w:hint="eastAsia"/>
                      <w:b/>
                      <w:bCs/>
                      <w:lang w:val="zh-CN" w:eastAsia="zh-CN"/>
                    </w:rPr>
                    <w:t>室内边界声级</w:t>
                  </w:r>
                </w:p>
                <w:p w14:paraId="0C57CA71">
                  <w:pPr>
                    <w:pStyle w:val="5"/>
                    <w:bidi w:val="0"/>
                    <w:rPr>
                      <w:rFonts w:hint="eastAsia"/>
                      <w:b/>
                      <w:bCs/>
                      <w:lang w:val="zh-CN" w:eastAsia="zh-CN"/>
                    </w:rPr>
                  </w:pPr>
                  <w:r>
                    <w:rPr>
                      <w:rFonts w:hint="eastAsia"/>
                      <w:b/>
                      <w:bCs/>
                      <w:lang w:val="zh-CN" w:eastAsia="zh-CN"/>
                    </w:rPr>
                    <w:t>dB（A）</w:t>
                  </w:r>
                </w:p>
              </w:tc>
              <w:tc>
                <w:tcPr>
                  <w:tcW w:w="267" w:type="pct"/>
                  <w:vMerge w:val="restart"/>
                  <w:tcBorders>
                    <w:tl2br w:val="nil"/>
                    <w:tr2bl w:val="nil"/>
                  </w:tcBorders>
                  <w:noWrap w:val="0"/>
                  <w:vAlign w:val="center"/>
                </w:tcPr>
                <w:p w14:paraId="07067E97">
                  <w:pPr>
                    <w:pStyle w:val="5"/>
                    <w:bidi w:val="0"/>
                    <w:rPr>
                      <w:rFonts w:hint="eastAsia"/>
                      <w:b/>
                      <w:bCs/>
                      <w:lang w:val="zh-CN" w:eastAsia="zh-CN"/>
                    </w:rPr>
                  </w:pPr>
                  <w:r>
                    <w:rPr>
                      <w:rFonts w:hint="eastAsia"/>
                      <w:b/>
                      <w:bCs/>
                      <w:lang w:val="zh-CN" w:eastAsia="zh-CN"/>
                    </w:rPr>
                    <w:t>运行时段</w:t>
                  </w:r>
                </w:p>
              </w:tc>
              <w:tc>
                <w:tcPr>
                  <w:tcW w:w="446" w:type="pct"/>
                  <w:vMerge w:val="restart"/>
                  <w:tcBorders>
                    <w:tl2br w:val="nil"/>
                    <w:tr2bl w:val="nil"/>
                  </w:tcBorders>
                  <w:noWrap w:val="0"/>
                  <w:vAlign w:val="center"/>
                </w:tcPr>
                <w:p w14:paraId="57BA57EA">
                  <w:pPr>
                    <w:pStyle w:val="5"/>
                    <w:bidi w:val="0"/>
                    <w:rPr>
                      <w:rFonts w:hint="eastAsia"/>
                      <w:b/>
                      <w:bCs/>
                      <w:lang w:val="zh-CN" w:eastAsia="zh-CN"/>
                    </w:rPr>
                  </w:pPr>
                  <w:r>
                    <w:rPr>
                      <w:rFonts w:hint="eastAsia"/>
                      <w:b/>
                      <w:bCs/>
                      <w:lang w:val="zh-CN" w:eastAsia="zh-CN"/>
                    </w:rPr>
                    <w:t>建筑物插入损失</w:t>
                  </w:r>
                </w:p>
                <w:p w14:paraId="135D2592">
                  <w:pPr>
                    <w:pStyle w:val="5"/>
                    <w:bidi w:val="0"/>
                    <w:rPr>
                      <w:rFonts w:hint="eastAsia"/>
                      <w:b/>
                      <w:bCs/>
                      <w:lang w:val="zh-CN" w:eastAsia="zh-CN"/>
                    </w:rPr>
                  </w:pPr>
                  <w:r>
                    <w:rPr>
                      <w:rFonts w:hint="eastAsia"/>
                      <w:b/>
                      <w:bCs/>
                      <w:lang w:val="zh-CN" w:eastAsia="zh-CN"/>
                    </w:rPr>
                    <w:t>dB（A）</w:t>
                  </w:r>
                </w:p>
              </w:tc>
              <w:tc>
                <w:tcPr>
                  <w:tcW w:w="717" w:type="pct"/>
                  <w:gridSpan w:val="2"/>
                  <w:tcBorders>
                    <w:tl2br w:val="nil"/>
                    <w:tr2bl w:val="nil"/>
                  </w:tcBorders>
                  <w:noWrap w:val="0"/>
                  <w:vAlign w:val="center"/>
                </w:tcPr>
                <w:p w14:paraId="34E2635D">
                  <w:pPr>
                    <w:pStyle w:val="5"/>
                    <w:bidi w:val="0"/>
                    <w:rPr>
                      <w:rFonts w:hint="eastAsia"/>
                      <w:b/>
                      <w:bCs/>
                      <w:lang w:val="zh-CN" w:eastAsia="zh-CN"/>
                    </w:rPr>
                  </w:pPr>
                  <w:r>
                    <w:rPr>
                      <w:rFonts w:hint="eastAsia"/>
                      <w:b/>
                      <w:bCs/>
                      <w:lang w:val="zh-CN" w:eastAsia="zh-CN"/>
                    </w:rPr>
                    <w:t>建筑物外噪声</w:t>
                  </w:r>
                </w:p>
              </w:tc>
            </w:tr>
            <w:tr w14:paraId="1163B9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40" w:type="pct"/>
                  <w:vMerge w:val="continue"/>
                  <w:tcBorders>
                    <w:tl2br w:val="nil"/>
                    <w:tr2bl w:val="nil"/>
                  </w:tcBorders>
                  <w:noWrap w:val="0"/>
                  <w:vAlign w:val="center"/>
                </w:tcPr>
                <w:p w14:paraId="205DB56B">
                  <w:pPr>
                    <w:pStyle w:val="5"/>
                    <w:bidi w:val="0"/>
                    <w:rPr>
                      <w:rFonts w:hint="eastAsia"/>
                      <w:b/>
                      <w:bCs/>
                      <w:lang w:val="zh-CN" w:eastAsia="zh-CN"/>
                    </w:rPr>
                  </w:pPr>
                </w:p>
              </w:tc>
              <w:tc>
                <w:tcPr>
                  <w:tcW w:w="240" w:type="pct"/>
                  <w:vMerge w:val="continue"/>
                  <w:tcBorders>
                    <w:tl2br w:val="nil"/>
                    <w:tr2bl w:val="nil"/>
                  </w:tcBorders>
                  <w:noWrap w:val="0"/>
                  <w:vAlign w:val="center"/>
                </w:tcPr>
                <w:p w14:paraId="2E54449E">
                  <w:pPr>
                    <w:pStyle w:val="5"/>
                    <w:bidi w:val="0"/>
                    <w:rPr>
                      <w:rFonts w:hint="eastAsia"/>
                      <w:b/>
                      <w:bCs/>
                      <w:lang w:val="zh-CN" w:eastAsia="zh-CN"/>
                    </w:rPr>
                  </w:pPr>
                </w:p>
              </w:tc>
              <w:tc>
                <w:tcPr>
                  <w:tcW w:w="470" w:type="pct"/>
                  <w:vMerge w:val="continue"/>
                  <w:tcBorders>
                    <w:tl2br w:val="nil"/>
                    <w:tr2bl w:val="nil"/>
                  </w:tcBorders>
                  <w:noWrap w:val="0"/>
                  <w:vAlign w:val="center"/>
                </w:tcPr>
                <w:p w14:paraId="51ACA9F7">
                  <w:pPr>
                    <w:pStyle w:val="5"/>
                    <w:bidi w:val="0"/>
                    <w:rPr>
                      <w:rFonts w:hint="eastAsia"/>
                      <w:b/>
                      <w:bCs/>
                      <w:lang w:val="zh-CN" w:eastAsia="zh-CN"/>
                    </w:rPr>
                  </w:pPr>
                </w:p>
              </w:tc>
              <w:tc>
                <w:tcPr>
                  <w:tcW w:w="241" w:type="pct"/>
                  <w:vMerge w:val="continue"/>
                  <w:tcBorders>
                    <w:tl2br w:val="nil"/>
                    <w:tr2bl w:val="nil"/>
                  </w:tcBorders>
                  <w:noWrap w:val="0"/>
                  <w:vAlign w:val="center"/>
                </w:tcPr>
                <w:p w14:paraId="66FF54D7">
                  <w:pPr>
                    <w:pStyle w:val="5"/>
                    <w:bidi w:val="0"/>
                    <w:rPr>
                      <w:rFonts w:hint="eastAsia"/>
                      <w:b/>
                      <w:bCs/>
                      <w:lang w:val="zh-CN" w:eastAsia="zh-CN"/>
                    </w:rPr>
                  </w:pPr>
                </w:p>
              </w:tc>
              <w:tc>
                <w:tcPr>
                  <w:tcW w:w="446" w:type="pct"/>
                  <w:vMerge w:val="continue"/>
                  <w:tcBorders>
                    <w:tl2br w:val="nil"/>
                    <w:tr2bl w:val="nil"/>
                  </w:tcBorders>
                  <w:noWrap w:val="0"/>
                  <w:vAlign w:val="center"/>
                </w:tcPr>
                <w:p w14:paraId="52093AA7">
                  <w:pPr>
                    <w:pStyle w:val="5"/>
                    <w:bidi w:val="0"/>
                    <w:rPr>
                      <w:rFonts w:hint="eastAsia"/>
                      <w:b/>
                      <w:bCs/>
                      <w:lang w:val="zh-CN" w:eastAsia="zh-CN"/>
                    </w:rPr>
                  </w:pPr>
                </w:p>
              </w:tc>
              <w:tc>
                <w:tcPr>
                  <w:tcW w:w="251" w:type="pct"/>
                  <w:vMerge w:val="continue"/>
                  <w:tcBorders>
                    <w:tl2br w:val="nil"/>
                    <w:tr2bl w:val="nil"/>
                  </w:tcBorders>
                  <w:noWrap w:val="0"/>
                  <w:vAlign w:val="center"/>
                </w:tcPr>
                <w:p w14:paraId="6553367D">
                  <w:pPr>
                    <w:pStyle w:val="5"/>
                    <w:bidi w:val="0"/>
                    <w:rPr>
                      <w:rFonts w:hint="eastAsia"/>
                      <w:b/>
                      <w:bCs/>
                      <w:lang w:val="zh-CN" w:eastAsia="zh-CN"/>
                    </w:rPr>
                  </w:pPr>
                </w:p>
              </w:tc>
              <w:tc>
                <w:tcPr>
                  <w:tcW w:w="774" w:type="pct"/>
                  <w:gridSpan w:val="3"/>
                  <w:vMerge w:val="continue"/>
                  <w:tcBorders>
                    <w:tl2br w:val="nil"/>
                    <w:tr2bl w:val="nil"/>
                  </w:tcBorders>
                  <w:noWrap w:val="0"/>
                  <w:vAlign w:val="center"/>
                </w:tcPr>
                <w:p w14:paraId="352B708F">
                  <w:pPr>
                    <w:pStyle w:val="5"/>
                    <w:bidi w:val="0"/>
                    <w:rPr>
                      <w:rFonts w:hint="eastAsia"/>
                      <w:b/>
                      <w:bCs/>
                      <w:lang w:val="zh-CN" w:eastAsia="zh-CN"/>
                    </w:rPr>
                  </w:pPr>
                </w:p>
              </w:tc>
              <w:tc>
                <w:tcPr>
                  <w:tcW w:w="459" w:type="pct"/>
                  <w:vMerge w:val="continue"/>
                  <w:tcBorders>
                    <w:tl2br w:val="nil"/>
                    <w:tr2bl w:val="nil"/>
                  </w:tcBorders>
                  <w:noWrap w:val="0"/>
                  <w:vAlign w:val="center"/>
                </w:tcPr>
                <w:p w14:paraId="31FB004B">
                  <w:pPr>
                    <w:pStyle w:val="5"/>
                    <w:bidi w:val="0"/>
                    <w:rPr>
                      <w:rFonts w:hint="eastAsia"/>
                      <w:b/>
                      <w:bCs/>
                      <w:lang w:val="zh-CN" w:eastAsia="zh-CN"/>
                    </w:rPr>
                  </w:pPr>
                </w:p>
              </w:tc>
              <w:tc>
                <w:tcPr>
                  <w:tcW w:w="446" w:type="pct"/>
                  <w:vMerge w:val="continue"/>
                  <w:tcBorders>
                    <w:tl2br w:val="nil"/>
                    <w:tr2bl w:val="nil"/>
                  </w:tcBorders>
                  <w:noWrap w:val="0"/>
                  <w:vAlign w:val="center"/>
                </w:tcPr>
                <w:p w14:paraId="5E89E8D1">
                  <w:pPr>
                    <w:pStyle w:val="5"/>
                    <w:bidi w:val="0"/>
                    <w:rPr>
                      <w:rFonts w:hint="eastAsia"/>
                      <w:b/>
                      <w:bCs/>
                      <w:lang w:val="zh-CN" w:eastAsia="zh-CN"/>
                    </w:rPr>
                  </w:pPr>
                </w:p>
              </w:tc>
              <w:tc>
                <w:tcPr>
                  <w:tcW w:w="267" w:type="pct"/>
                  <w:vMerge w:val="continue"/>
                  <w:tcBorders>
                    <w:tl2br w:val="nil"/>
                    <w:tr2bl w:val="nil"/>
                  </w:tcBorders>
                  <w:noWrap w:val="0"/>
                  <w:vAlign w:val="center"/>
                </w:tcPr>
                <w:p w14:paraId="0CF036D9">
                  <w:pPr>
                    <w:pStyle w:val="5"/>
                    <w:bidi w:val="0"/>
                    <w:rPr>
                      <w:rFonts w:hint="eastAsia"/>
                      <w:b/>
                      <w:bCs/>
                      <w:lang w:val="zh-CN" w:eastAsia="zh-CN"/>
                    </w:rPr>
                  </w:pPr>
                </w:p>
              </w:tc>
              <w:tc>
                <w:tcPr>
                  <w:tcW w:w="446" w:type="pct"/>
                  <w:vMerge w:val="continue"/>
                  <w:tcBorders>
                    <w:tl2br w:val="nil"/>
                    <w:tr2bl w:val="nil"/>
                  </w:tcBorders>
                  <w:noWrap w:val="0"/>
                  <w:vAlign w:val="center"/>
                </w:tcPr>
                <w:p w14:paraId="096BDB18">
                  <w:pPr>
                    <w:pStyle w:val="5"/>
                    <w:bidi w:val="0"/>
                    <w:rPr>
                      <w:rFonts w:hint="eastAsia"/>
                      <w:b/>
                      <w:bCs/>
                      <w:lang w:val="zh-CN" w:eastAsia="zh-CN"/>
                    </w:rPr>
                  </w:pPr>
                </w:p>
              </w:tc>
              <w:tc>
                <w:tcPr>
                  <w:tcW w:w="446" w:type="pct"/>
                  <w:vMerge w:val="restart"/>
                  <w:tcBorders>
                    <w:tl2br w:val="nil"/>
                    <w:tr2bl w:val="nil"/>
                  </w:tcBorders>
                  <w:noWrap w:val="0"/>
                  <w:vAlign w:val="center"/>
                </w:tcPr>
                <w:p w14:paraId="48FAA6C0">
                  <w:pPr>
                    <w:pStyle w:val="5"/>
                    <w:bidi w:val="0"/>
                    <w:rPr>
                      <w:rFonts w:hint="eastAsia"/>
                      <w:b/>
                      <w:bCs/>
                      <w:lang w:val="zh-CN" w:eastAsia="zh-CN"/>
                    </w:rPr>
                  </w:pPr>
                  <w:r>
                    <w:rPr>
                      <w:rFonts w:hint="eastAsia"/>
                      <w:b/>
                      <w:bCs/>
                      <w:lang w:val="zh-CN" w:eastAsia="zh-CN"/>
                    </w:rPr>
                    <w:t>声压级</w:t>
                  </w:r>
                </w:p>
                <w:p w14:paraId="32177517">
                  <w:pPr>
                    <w:pStyle w:val="5"/>
                    <w:bidi w:val="0"/>
                    <w:rPr>
                      <w:rFonts w:hint="eastAsia"/>
                      <w:b/>
                      <w:bCs/>
                      <w:lang w:val="zh-CN" w:eastAsia="zh-CN"/>
                    </w:rPr>
                  </w:pPr>
                  <w:r>
                    <w:rPr>
                      <w:rFonts w:hint="eastAsia"/>
                      <w:b/>
                      <w:bCs/>
                      <w:lang w:val="zh-CN" w:eastAsia="zh-CN"/>
                    </w:rPr>
                    <w:t>dB（A）</w:t>
                  </w:r>
                </w:p>
              </w:tc>
              <w:tc>
                <w:tcPr>
                  <w:tcW w:w="271" w:type="pct"/>
                  <w:vMerge w:val="restart"/>
                  <w:tcBorders>
                    <w:tl2br w:val="nil"/>
                    <w:tr2bl w:val="nil"/>
                  </w:tcBorders>
                  <w:noWrap w:val="0"/>
                  <w:vAlign w:val="center"/>
                </w:tcPr>
                <w:p w14:paraId="5A65CD37">
                  <w:pPr>
                    <w:pStyle w:val="5"/>
                    <w:bidi w:val="0"/>
                    <w:rPr>
                      <w:rFonts w:hint="eastAsia"/>
                      <w:b/>
                      <w:bCs/>
                      <w:lang w:val="zh-CN" w:eastAsia="zh-CN"/>
                    </w:rPr>
                  </w:pPr>
                  <w:r>
                    <w:rPr>
                      <w:rFonts w:hint="eastAsia"/>
                      <w:b/>
                      <w:bCs/>
                      <w:lang w:val="zh-CN" w:eastAsia="zh-CN"/>
                    </w:rPr>
                    <w:t>建筑物外距离</w:t>
                  </w:r>
                </w:p>
              </w:tc>
            </w:tr>
            <w:tr w14:paraId="220A68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0" w:type="pct"/>
                  <w:vMerge w:val="continue"/>
                  <w:tcBorders>
                    <w:tl2br w:val="nil"/>
                    <w:tr2bl w:val="nil"/>
                  </w:tcBorders>
                  <w:noWrap w:val="0"/>
                  <w:vAlign w:val="center"/>
                </w:tcPr>
                <w:p w14:paraId="315BBEE9">
                  <w:pPr>
                    <w:pStyle w:val="5"/>
                    <w:bidi w:val="0"/>
                    <w:rPr>
                      <w:rFonts w:hint="eastAsia"/>
                      <w:lang w:val="zh-CN" w:eastAsia="zh-CN"/>
                    </w:rPr>
                  </w:pPr>
                </w:p>
              </w:tc>
              <w:tc>
                <w:tcPr>
                  <w:tcW w:w="240" w:type="pct"/>
                  <w:vMerge w:val="continue"/>
                  <w:tcBorders>
                    <w:tl2br w:val="nil"/>
                    <w:tr2bl w:val="nil"/>
                  </w:tcBorders>
                  <w:noWrap w:val="0"/>
                  <w:vAlign w:val="center"/>
                </w:tcPr>
                <w:p w14:paraId="1EF59770">
                  <w:pPr>
                    <w:pStyle w:val="5"/>
                    <w:bidi w:val="0"/>
                    <w:rPr>
                      <w:rFonts w:hint="eastAsia"/>
                      <w:lang w:val="zh-CN" w:eastAsia="zh-CN"/>
                    </w:rPr>
                  </w:pPr>
                </w:p>
              </w:tc>
              <w:tc>
                <w:tcPr>
                  <w:tcW w:w="470" w:type="pct"/>
                  <w:vMerge w:val="continue"/>
                  <w:tcBorders>
                    <w:tl2br w:val="nil"/>
                    <w:tr2bl w:val="nil"/>
                  </w:tcBorders>
                  <w:noWrap w:val="0"/>
                  <w:vAlign w:val="center"/>
                </w:tcPr>
                <w:p w14:paraId="635F4739">
                  <w:pPr>
                    <w:pStyle w:val="5"/>
                    <w:bidi w:val="0"/>
                    <w:rPr>
                      <w:rFonts w:hint="eastAsia"/>
                      <w:lang w:val="zh-CN" w:eastAsia="zh-CN"/>
                    </w:rPr>
                  </w:pPr>
                </w:p>
              </w:tc>
              <w:tc>
                <w:tcPr>
                  <w:tcW w:w="241" w:type="pct"/>
                  <w:vMerge w:val="continue"/>
                  <w:tcBorders>
                    <w:tl2br w:val="nil"/>
                    <w:tr2bl w:val="nil"/>
                  </w:tcBorders>
                  <w:noWrap w:val="0"/>
                  <w:vAlign w:val="center"/>
                </w:tcPr>
                <w:p w14:paraId="71F5A63B">
                  <w:pPr>
                    <w:pStyle w:val="5"/>
                    <w:bidi w:val="0"/>
                    <w:rPr>
                      <w:rFonts w:hint="eastAsia"/>
                      <w:lang w:val="zh-CN" w:eastAsia="zh-CN"/>
                    </w:rPr>
                  </w:pPr>
                </w:p>
              </w:tc>
              <w:tc>
                <w:tcPr>
                  <w:tcW w:w="446" w:type="pct"/>
                  <w:tcBorders>
                    <w:tl2br w:val="nil"/>
                    <w:tr2bl w:val="nil"/>
                  </w:tcBorders>
                  <w:noWrap w:val="0"/>
                  <w:vAlign w:val="center"/>
                </w:tcPr>
                <w:p w14:paraId="22B23F61">
                  <w:pPr>
                    <w:pStyle w:val="5"/>
                    <w:bidi w:val="0"/>
                    <w:rPr>
                      <w:rFonts w:hint="eastAsia"/>
                      <w:b/>
                      <w:bCs/>
                      <w:lang w:val="zh-CN" w:eastAsia="zh-CN"/>
                    </w:rPr>
                  </w:pPr>
                  <w:r>
                    <w:rPr>
                      <w:rFonts w:hint="eastAsia"/>
                      <w:b/>
                      <w:bCs/>
                      <w:lang w:val="zh-CN" w:eastAsia="zh-CN"/>
                    </w:rPr>
                    <w:t>声功率级</w:t>
                  </w:r>
                </w:p>
                <w:p w14:paraId="44E1254C">
                  <w:pPr>
                    <w:pStyle w:val="5"/>
                    <w:bidi w:val="0"/>
                    <w:rPr>
                      <w:rFonts w:hint="eastAsia"/>
                      <w:b/>
                      <w:bCs/>
                      <w:lang w:val="zh-CN" w:eastAsia="zh-CN"/>
                    </w:rPr>
                  </w:pPr>
                  <w:r>
                    <w:rPr>
                      <w:rFonts w:hint="eastAsia"/>
                      <w:b/>
                      <w:bCs/>
                      <w:lang w:val="zh-CN" w:eastAsia="zh-CN"/>
                    </w:rPr>
                    <w:t>dB</w:t>
                  </w:r>
                </w:p>
                <w:p w14:paraId="32BF45E0">
                  <w:pPr>
                    <w:pStyle w:val="5"/>
                    <w:bidi w:val="0"/>
                    <w:rPr>
                      <w:rFonts w:hint="eastAsia"/>
                      <w:b/>
                      <w:bCs/>
                      <w:lang w:val="zh-CN" w:eastAsia="zh-CN"/>
                    </w:rPr>
                  </w:pPr>
                  <w:r>
                    <w:rPr>
                      <w:rFonts w:hint="eastAsia"/>
                      <w:b/>
                      <w:bCs/>
                      <w:lang w:val="zh-CN" w:eastAsia="zh-CN"/>
                    </w:rPr>
                    <w:t>（A）</w:t>
                  </w:r>
                </w:p>
              </w:tc>
              <w:tc>
                <w:tcPr>
                  <w:tcW w:w="251" w:type="pct"/>
                  <w:vMerge w:val="continue"/>
                  <w:tcBorders>
                    <w:tl2br w:val="nil"/>
                    <w:tr2bl w:val="nil"/>
                  </w:tcBorders>
                  <w:noWrap w:val="0"/>
                  <w:vAlign w:val="center"/>
                </w:tcPr>
                <w:p w14:paraId="3B9CB5FB">
                  <w:pPr>
                    <w:pStyle w:val="5"/>
                    <w:bidi w:val="0"/>
                    <w:rPr>
                      <w:rFonts w:hint="eastAsia"/>
                      <w:b/>
                      <w:bCs/>
                      <w:lang w:val="zh-CN" w:eastAsia="zh-CN"/>
                    </w:rPr>
                  </w:pPr>
                </w:p>
              </w:tc>
              <w:tc>
                <w:tcPr>
                  <w:tcW w:w="225" w:type="pct"/>
                  <w:tcBorders>
                    <w:tl2br w:val="nil"/>
                    <w:tr2bl w:val="nil"/>
                  </w:tcBorders>
                  <w:noWrap w:val="0"/>
                  <w:vAlign w:val="center"/>
                </w:tcPr>
                <w:p w14:paraId="68041DC6">
                  <w:pPr>
                    <w:pStyle w:val="5"/>
                    <w:bidi w:val="0"/>
                    <w:rPr>
                      <w:rFonts w:hint="eastAsia"/>
                      <w:b/>
                      <w:bCs/>
                      <w:lang w:val="zh-CN" w:eastAsia="zh-CN"/>
                    </w:rPr>
                  </w:pPr>
                  <w:r>
                    <w:rPr>
                      <w:rFonts w:hint="eastAsia"/>
                      <w:b/>
                      <w:bCs/>
                      <w:lang w:val="zh-CN" w:eastAsia="zh-CN"/>
                    </w:rPr>
                    <w:t>x</w:t>
                  </w:r>
                </w:p>
              </w:tc>
              <w:tc>
                <w:tcPr>
                  <w:tcW w:w="243" w:type="pct"/>
                  <w:tcBorders>
                    <w:tl2br w:val="nil"/>
                    <w:tr2bl w:val="nil"/>
                  </w:tcBorders>
                  <w:noWrap w:val="0"/>
                  <w:vAlign w:val="center"/>
                </w:tcPr>
                <w:p w14:paraId="082764C3">
                  <w:pPr>
                    <w:pStyle w:val="5"/>
                    <w:bidi w:val="0"/>
                    <w:rPr>
                      <w:rFonts w:hint="eastAsia"/>
                      <w:b/>
                      <w:bCs/>
                      <w:lang w:val="zh-CN" w:eastAsia="zh-CN"/>
                    </w:rPr>
                  </w:pPr>
                  <w:r>
                    <w:rPr>
                      <w:rFonts w:hint="eastAsia"/>
                      <w:b/>
                      <w:bCs/>
                      <w:lang w:val="zh-CN" w:eastAsia="zh-CN"/>
                    </w:rPr>
                    <w:t>y</w:t>
                  </w:r>
                </w:p>
              </w:tc>
              <w:tc>
                <w:tcPr>
                  <w:tcW w:w="304" w:type="pct"/>
                  <w:tcBorders>
                    <w:tl2br w:val="nil"/>
                    <w:tr2bl w:val="nil"/>
                  </w:tcBorders>
                  <w:noWrap w:val="0"/>
                  <w:vAlign w:val="center"/>
                </w:tcPr>
                <w:p w14:paraId="5332CA6F">
                  <w:pPr>
                    <w:pStyle w:val="5"/>
                    <w:bidi w:val="0"/>
                    <w:rPr>
                      <w:rFonts w:hint="eastAsia"/>
                      <w:b/>
                      <w:bCs/>
                      <w:lang w:val="zh-CN" w:eastAsia="zh-CN"/>
                    </w:rPr>
                  </w:pPr>
                  <w:r>
                    <w:rPr>
                      <w:rFonts w:hint="eastAsia"/>
                      <w:b/>
                      <w:bCs/>
                      <w:lang w:val="zh-CN" w:eastAsia="zh-CN"/>
                    </w:rPr>
                    <w:t>z</w:t>
                  </w:r>
                </w:p>
              </w:tc>
              <w:tc>
                <w:tcPr>
                  <w:tcW w:w="459" w:type="pct"/>
                  <w:vMerge w:val="continue"/>
                  <w:tcBorders>
                    <w:tl2br w:val="nil"/>
                    <w:tr2bl w:val="nil"/>
                  </w:tcBorders>
                  <w:noWrap w:val="0"/>
                  <w:vAlign w:val="center"/>
                </w:tcPr>
                <w:p w14:paraId="12939159">
                  <w:pPr>
                    <w:pStyle w:val="5"/>
                    <w:bidi w:val="0"/>
                    <w:rPr>
                      <w:rFonts w:hint="eastAsia"/>
                      <w:b/>
                      <w:bCs/>
                      <w:lang w:val="zh-CN" w:eastAsia="zh-CN"/>
                    </w:rPr>
                  </w:pPr>
                </w:p>
              </w:tc>
              <w:tc>
                <w:tcPr>
                  <w:tcW w:w="446" w:type="pct"/>
                  <w:vMerge w:val="continue"/>
                  <w:tcBorders>
                    <w:tl2br w:val="nil"/>
                    <w:tr2bl w:val="nil"/>
                  </w:tcBorders>
                  <w:noWrap w:val="0"/>
                  <w:vAlign w:val="center"/>
                </w:tcPr>
                <w:p w14:paraId="05D3026E">
                  <w:pPr>
                    <w:pStyle w:val="5"/>
                    <w:bidi w:val="0"/>
                    <w:rPr>
                      <w:rFonts w:hint="eastAsia"/>
                      <w:lang w:val="zh-CN" w:eastAsia="zh-CN"/>
                    </w:rPr>
                  </w:pPr>
                </w:p>
              </w:tc>
              <w:tc>
                <w:tcPr>
                  <w:tcW w:w="267" w:type="pct"/>
                  <w:vMerge w:val="continue"/>
                  <w:tcBorders>
                    <w:tl2br w:val="nil"/>
                    <w:tr2bl w:val="nil"/>
                  </w:tcBorders>
                  <w:noWrap w:val="0"/>
                  <w:vAlign w:val="center"/>
                </w:tcPr>
                <w:p w14:paraId="017E561C">
                  <w:pPr>
                    <w:pStyle w:val="5"/>
                    <w:bidi w:val="0"/>
                    <w:rPr>
                      <w:rFonts w:hint="eastAsia"/>
                      <w:lang w:val="zh-CN" w:eastAsia="zh-CN"/>
                    </w:rPr>
                  </w:pPr>
                </w:p>
              </w:tc>
              <w:tc>
                <w:tcPr>
                  <w:tcW w:w="446" w:type="pct"/>
                  <w:vMerge w:val="continue"/>
                  <w:tcBorders>
                    <w:tl2br w:val="nil"/>
                    <w:tr2bl w:val="nil"/>
                  </w:tcBorders>
                  <w:noWrap w:val="0"/>
                  <w:vAlign w:val="center"/>
                </w:tcPr>
                <w:p w14:paraId="0B719F93">
                  <w:pPr>
                    <w:pStyle w:val="5"/>
                    <w:bidi w:val="0"/>
                    <w:rPr>
                      <w:rFonts w:hint="eastAsia"/>
                      <w:lang w:val="zh-CN" w:eastAsia="zh-CN"/>
                    </w:rPr>
                  </w:pPr>
                </w:p>
              </w:tc>
              <w:tc>
                <w:tcPr>
                  <w:tcW w:w="446" w:type="pct"/>
                  <w:vMerge w:val="continue"/>
                  <w:tcBorders>
                    <w:tl2br w:val="nil"/>
                    <w:tr2bl w:val="nil"/>
                  </w:tcBorders>
                  <w:noWrap w:val="0"/>
                  <w:vAlign w:val="center"/>
                </w:tcPr>
                <w:p w14:paraId="404ACDE7">
                  <w:pPr>
                    <w:pStyle w:val="5"/>
                    <w:bidi w:val="0"/>
                    <w:rPr>
                      <w:rFonts w:hint="eastAsia"/>
                      <w:lang w:val="zh-CN" w:eastAsia="zh-CN"/>
                    </w:rPr>
                  </w:pPr>
                </w:p>
              </w:tc>
              <w:tc>
                <w:tcPr>
                  <w:tcW w:w="271" w:type="pct"/>
                  <w:vMerge w:val="continue"/>
                  <w:tcBorders>
                    <w:tl2br w:val="nil"/>
                    <w:tr2bl w:val="nil"/>
                  </w:tcBorders>
                  <w:noWrap w:val="0"/>
                  <w:vAlign w:val="center"/>
                </w:tcPr>
                <w:p w14:paraId="4BA6C783">
                  <w:pPr>
                    <w:pStyle w:val="5"/>
                    <w:bidi w:val="0"/>
                    <w:rPr>
                      <w:rFonts w:hint="eastAsia"/>
                      <w:lang w:val="zh-CN" w:eastAsia="zh-CN"/>
                    </w:rPr>
                  </w:pPr>
                </w:p>
              </w:tc>
            </w:tr>
            <w:tr w14:paraId="5CF59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40" w:type="pct"/>
                  <w:tcBorders>
                    <w:tl2br w:val="nil"/>
                    <w:tr2bl w:val="nil"/>
                  </w:tcBorders>
                  <w:noWrap w:val="0"/>
                  <w:vAlign w:val="center"/>
                </w:tcPr>
                <w:p w14:paraId="7FF840FB">
                  <w:pPr>
                    <w:pStyle w:val="5"/>
                    <w:bidi w:val="0"/>
                    <w:rPr>
                      <w:rFonts w:hint="default"/>
                      <w:lang w:val="en-US" w:eastAsia="zh-CN"/>
                    </w:rPr>
                  </w:pPr>
                  <w:r>
                    <w:rPr>
                      <w:rFonts w:hint="eastAsia"/>
                      <w:lang w:val="en-US" w:eastAsia="zh-CN"/>
                    </w:rPr>
                    <w:t>1</w:t>
                  </w:r>
                </w:p>
              </w:tc>
              <w:tc>
                <w:tcPr>
                  <w:tcW w:w="240" w:type="pct"/>
                  <w:vMerge w:val="restart"/>
                  <w:tcBorders>
                    <w:tl2br w:val="nil"/>
                    <w:tr2bl w:val="nil"/>
                  </w:tcBorders>
                  <w:noWrap w:val="0"/>
                  <w:vAlign w:val="center"/>
                </w:tcPr>
                <w:p w14:paraId="5C37930E">
                  <w:pPr>
                    <w:pStyle w:val="5"/>
                    <w:bidi w:val="0"/>
                    <w:rPr>
                      <w:rFonts w:hint="eastAsia"/>
                      <w:lang w:val="zh-CN" w:eastAsia="zh-CN"/>
                    </w:rPr>
                  </w:pPr>
                  <w:r>
                    <w:rPr>
                      <w:rFonts w:hint="eastAsia"/>
                      <w:lang w:val="zh-CN" w:eastAsia="zh-CN"/>
                    </w:rPr>
                    <w:t>生产车间</w:t>
                  </w:r>
                </w:p>
              </w:tc>
              <w:tc>
                <w:tcPr>
                  <w:tcW w:w="470" w:type="pct"/>
                  <w:tcBorders>
                    <w:tl2br w:val="nil"/>
                    <w:tr2bl w:val="nil"/>
                  </w:tcBorders>
                  <w:noWrap w:val="0"/>
                  <w:vAlign w:val="center"/>
                </w:tcPr>
                <w:p w14:paraId="53D6F076">
                  <w:pPr>
                    <w:pStyle w:val="5"/>
                    <w:bidi w:val="0"/>
                    <w:rPr>
                      <w:rFonts w:hint="eastAsia"/>
                      <w:lang w:val="zh-CN" w:eastAsia="zh-CN"/>
                    </w:rPr>
                  </w:pPr>
                  <w:r>
                    <w:rPr>
                      <w:rFonts w:hint="eastAsia"/>
                      <w:sz w:val="21"/>
                      <w:szCs w:val="21"/>
                      <w:lang w:val="en-US" w:eastAsia="zh-CN"/>
                    </w:rPr>
                    <w:t>点胶机</w:t>
                  </w:r>
                </w:p>
              </w:tc>
              <w:tc>
                <w:tcPr>
                  <w:tcW w:w="241" w:type="pct"/>
                  <w:tcBorders>
                    <w:tl2br w:val="nil"/>
                    <w:tr2bl w:val="nil"/>
                  </w:tcBorders>
                  <w:noWrap w:val="0"/>
                  <w:vAlign w:val="center"/>
                </w:tcPr>
                <w:p w14:paraId="7B6ADFC4">
                  <w:pPr>
                    <w:pStyle w:val="5"/>
                    <w:bidi w:val="0"/>
                    <w:jc w:val="both"/>
                    <w:rPr>
                      <w:rFonts w:hint="default"/>
                      <w:lang w:val="en-US" w:eastAsia="zh-CN"/>
                    </w:rPr>
                  </w:pPr>
                  <w:r>
                    <w:rPr>
                      <w:rFonts w:hint="eastAsia"/>
                      <w:lang w:val="en-US" w:eastAsia="zh-CN"/>
                    </w:rPr>
                    <w:t>15</w:t>
                  </w:r>
                </w:p>
              </w:tc>
              <w:tc>
                <w:tcPr>
                  <w:tcW w:w="446" w:type="pct"/>
                  <w:tcBorders>
                    <w:tl2br w:val="nil"/>
                    <w:tr2bl w:val="nil"/>
                  </w:tcBorders>
                  <w:noWrap w:val="0"/>
                  <w:vAlign w:val="center"/>
                </w:tcPr>
                <w:p w14:paraId="1D3BB632">
                  <w:pPr>
                    <w:pStyle w:val="5"/>
                    <w:bidi w:val="0"/>
                    <w:rPr>
                      <w:rFonts w:hint="default"/>
                      <w:lang w:val="en-US" w:eastAsia="zh-CN"/>
                    </w:rPr>
                  </w:pPr>
                  <w:r>
                    <w:rPr>
                      <w:rFonts w:hint="eastAsia"/>
                      <w:lang w:val="en-US" w:eastAsia="zh-CN"/>
                    </w:rPr>
                    <w:t>82</w:t>
                  </w:r>
                </w:p>
              </w:tc>
              <w:tc>
                <w:tcPr>
                  <w:tcW w:w="251" w:type="pct"/>
                  <w:vMerge w:val="restart"/>
                  <w:tcBorders>
                    <w:tl2br w:val="nil"/>
                    <w:tr2bl w:val="nil"/>
                  </w:tcBorders>
                  <w:noWrap w:val="0"/>
                  <w:vAlign w:val="center"/>
                </w:tcPr>
                <w:p w14:paraId="64D04F48">
                  <w:pPr>
                    <w:pStyle w:val="5"/>
                    <w:bidi w:val="0"/>
                    <w:rPr>
                      <w:rFonts w:hint="eastAsia"/>
                      <w:lang w:val="zh-CN" w:eastAsia="zh-CN"/>
                    </w:rPr>
                  </w:pPr>
                  <w:r>
                    <w:rPr>
                      <w:rFonts w:hint="eastAsia"/>
                      <w:lang w:val="zh-CN" w:eastAsia="zh-CN"/>
                    </w:rPr>
                    <w:t>选择低噪声机型，基础减振</w:t>
                  </w:r>
                </w:p>
              </w:tc>
              <w:tc>
                <w:tcPr>
                  <w:tcW w:w="225" w:type="pct"/>
                  <w:tcBorders>
                    <w:tl2br w:val="nil"/>
                    <w:tr2bl w:val="nil"/>
                  </w:tcBorders>
                  <w:noWrap w:val="0"/>
                  <w:vAlign w:val="center"/>
                </w:tcPr>
                <w:p w14:paraId="0A7EFECA">
                  <w:pPr>
                    <w:pStyle w:val="5"/>
                    <w:bidi w:val="0"/>
                    <w:rPr>
                      <w:rFonts w:hint="default"/>
                      <w:lang w:val="en-US" w:eastAsia="zh-CN"/>
                    </w:rPr>
                  </w:pPr>
                  <w:r>
                    <w:rPr>
                      <w:rFonts w:hint="eastAsia"/>
                      <w:lang w:val="en-US" w:eastAsia="zh-CN"/>
                    </w:rPr>
                    <w:t>12</w:t>
                  </w:r>
                </w:p>
              </w:tc>
              <w:tc>
                <w:tcPr>
                  <w:tcW w:w="243" w:type="pct"/>
                  <w:tcBorders>
                    <w:tl2br w:val="nil"/>
                    <w:tr2bl w:val="nil"/>
                  </w:tcBorders>
                  <w:noWrap w:val="0"/>
                  <w:vAlign w:val="center"/>
                </w:tcPr>
                <w:p w14:paraId="653C13FD">
                  <w:pPr>
                    <w:pStyle w:val="5"/>
                    <w:bidi w:val="0"/>
                    <w:rPr>
                      <w:rFonts w:hint="default"/>
                      <w:lang w:val="en-US" w:eastAsia="zh-CN"/>
                    </w:rPr>
                  </w:pPr>
                  <w:r>
                    <w:rPr>
                      <w:rFonts w:hint="eastAsia"/>
                      <w:lang w:val="en-US" w:eastAsia="zh-CN"/>
                    </w:rPr>
                    <w:t>141</w:t>
                  </w:r>
                </w:p>
              </w:tc>
              <w:tc>
                <w:tcPr>
                  <w:tcW w:w="304" w:type="pct"/>
                  <w:tcBorders>
                    <w:tl2br w:val="nil"/>
                    <w:tr2bl w:val="nil"/>
                  </w:tcBorders>
                  <w:noWrap w:val="0"/>
                  <w:vAlign w:val="center"/>
                </w:tcPr>
                <w:p w14:paraId="481AEC7C">
                  <w:pPr>
                    <w:pStyle w:val="5"/>
                    <w:bidi w:val="0"/>
                    <w:rPr>
                      <w:rFonts w:hint="eastAsia"/>
                      <w:lang w:val="zh-CN" w:eastAsia="zh-CN"/>
                    </w:rPr>
                  </w:pPr>
                  <w:r>
                    <w:rPr>
                      <w:rFonts w:hint="eastAsia"/>
                      <w:lang w:val="en-US" w:eastAsia="zh-CN"/>
                    </w:rPr>
                    <w:t>16.5</w:t>
                  </w:r>
                </w:p>
              </w:tc>
              <w:tc>
                <w:tcPr>
                  <w:tcW w:w="459" w:type="pct"/>
                  <w:tcBorders>
                    <w:tl2br w:val="nil"/>
                    <w:tr2bl w:val="nil"/>
                  </w:tcBorders>
                  <w:noWrap w:val="0"/>
                  <w:vAlign w:val="center"/>
                </w:tcPr>
                <w:p w14:paraId="0BA95591">
                  <w:pPr>
                    <w:pStyle w:val="5"/>
                    <w:bidi w:val="0"/>
                    <w:rPr>
                      <w:rFonts w:hint="default"/>
                      <w:lang w:val="en-US" w:eastAsia="zh-CN"/>
                    </w:rPr>
                  </w:pPr>
                  <w:r>
                    <w:rPr>
                      <w:rFonts w:hint="eastAsia"/>
                      <w:lang w:val="en-US" w:eastAsia="zh-CN"/>
                    </w:rPr>
                    <w:t>1.5</w:t>
                  </w:r>
                </w:p>
              </w:tc>
              <w:tc>
                <w:tcPr>
                  <w:tcW w:w="446" w:type="pct"/>
                  <w:tcBorders>
                    <w:tl2br w:val="nil"/>
                    <w:tr2bl w:val="nil"/>
                  </w:tcBorders>
                  <w:noWrap w:val="0"/>
                  <w:vAlign w:val="center"/>
                </w:tcPr>
                <w:p w14:paraId="723BDF8F">
                  <w:pPr>
                    <w:pStyle w:val="5"/>
                    <w:bidi w:val="0"/>
                    <w:rPr>
                      <w:rFonts w:hint="default"/>
                      <w:lang w:val="en-US" w:eastAsia="zh-CN"/>
                    </w:rPr>
                  </w:pPr>
                  <w:r>
                    <w:rPr>
                      <w:rFonts w:hint="eastAsia"/>
                      <w:lang w:val="en-US" w:eastAsia="zh-CN"/>
                    </w:rPr>
                    <w:t>78.48</w:t>
                  </w:r>
                </w:p>
              </w:tc>
              <w:tc>
                <w:tcPr>
                  <w:tcW w:w="267" w:type="pct"/>
                  <w:tcBorders>
                    <w:tl2br w:val="nil"/>
                    <w:tr2bl w:val="nil"/>
                  </w:tcBorders>
                  <w:noWrap w:val="0"/>
                  <w:vAlign w:val="center"/>
                </w:tcPr>
                <w:p w14:paraId="2F94CE52">
                  <w:pPr>
                    <w:pStyle w:val="5"/>
                    <w:bidi w:val="0"/>
                    <w:rPr>
                      <w:rFonts w:hint="default"/>
                      <w:lang w:val="en-US" w:eastAsia="zh-CN"/>
                    </w:rPr>
                  </w:pPr>
                  <w:r>
                    <w:rPr>
                      <w:rFonts w:hint="eastAsia"/>
                      <w:lang w:val="en-US" w:eastAsia="zh-CN"/>
                    </w:rPr>
                    <w:t>8h</w:t>
                  </w:r>
                </w:p>
              </w:tc>
              <w:tc>
                <w:tcPr>
                  <w:tcW w:w="446" w:type="pct"/>
                  <w:tcBorders>
                    <w:tl2br w:val="nil"/>
                    <w:tr2bl w:val="nil"/>
                  </w:tcBorders>
                  <w:noWrap w:val="0"/>
                  <w:vAlign w:val="center"/>
                </w:tcPr>
                <w:p w14:paraId="123B78E3">
                  <w:pPr>
                    <w:pStyle w:val="5"/>
                    <w:bidi w:val="0"/>
                    <w:rPr>
                      <w:rFonts w:hint="default"/>
                      <w:lang w:val="en-US" w:eastAsia="zh-CN"/>
                    </w:rPr>
                  </w:pPr>
                  <w:r>
                    <w:rPr>
                      <w:rFonts w:hint="eastAsia"/>
                      <w:lang w:val="zh-CN" w:eastAsia="zh-CN"/>
                    </w:rPr>
                    <w:t>2</w:t>
                  </w:r>
                  <w:r>
                    <w:rPr>
                      <w:rFonts w:hint="eastAsia"/>
                      <w:lang w:val="en-US" w:eastAsia="zh-CN"/>
                    </w:rPr>
                    <w:t>1</w:t>
                  </w:r>
                </w:p>
              </w:tc>
              <w:tc>
                <w:tcPr>
                  <w:tcW w:w="446" w:type="pct"/>
                  <w:tcBorders>
                    <w:tl2br w:val="nil"/>
                    <w:tr2bl w:val="nil"/>
                  </w:tcBorders>
                  <w:noWrap w:val="0"/>
                  <w:vAlign w:val="center"/>
                </w:tcPr>
                <w:p w14:paraId="2687D07A">
                  <w:pPr>
                    <w:pStyle w:val="5"/>
                    <w:bidi w:val="0"/>
                    <w:rPr>
                      <w:rFonts w:hint="default"/>
                      <w:lang w:val="en-US" w:eastAsia="zh-CN"/>
                    </w:rPr>
                  </w:pPr>
                  <w:r>
                    <w:rPr>
                      <w:rFonts w:hint="eastAsia"/>
                      <w:lang w:val="en-US" w:eastAsia="zh-CN"/>
                    </w:rPr>
                    <w:t>57.48</w:t>
                  </w:r>
                </w:p>
              </w:tc>
              <w:tc>
                <w:tcPr>
                  <w:tcW w:w="271" w:type="pct"/>
                  <w:tcBorders>
                    <w:tl2br w:val="nil"/>
                    <w:tr2bl w:val="nil"/>
                  </w:tcBorders>
                  <w:noWrap w:val="0"/>
                  <w:vAlign w:val="center"/>
                </w:tcPr>
                <w:p w14:paraId="7FF8B61E">
                  <w:pPr>
                    <w:pStyle w:val="5"/>
                    <w:bidi w:val="0"/>
                    <w:rPr>
                      <w:rFonts w:hint="default"/>
                      <w:lang w:val="en-US" w:eastAsia="zh-CN"/>
                    </w:rPr>
                  </w:pPr>
                  <w:r>
                    <w:rPr>
                      <w:rFonts w:hint="eastAsia"/>
                      <w:lang w:val="en-US" w:eastAsia="zh-CN"/>
                    </w:rPr>
                    <w:t>1</w:t>
                  </w:r>
                </w:p>
              </w:tc>
            </w:tr>
            <w:tr w14:paraId="4C3DD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noWrap w:val="0"/>
                  <w:vAlign w:val="center"/>
                </w:tcPr>
                <w:p w14:paraId="7DCB4CF4">
                  <w:pPr>
                    <w:pStyle w:val="5"/>
                    <w:bidi w:val="0"/>
                    <w:rPr>
                      <w:rFonts w:hint="default"/>
                      <w:lang w:val="en-US" w:eastAsia="zh-CN"/>
                    </w:rPr>
                  </w:pPr>
                  <w:r>
                    <w:rPr>
                      <w:rFonts w:hint="eastAsia"/>
                      <w:lang w:val="en-US" w:eastAsia="zh-CN"/>
                    </w:rPr>
                    <w:t>2</w:t>
                  </w:r>
                </w:p>
              </w:tc>
              <w:tc>
                <w:tcPr>
                  <w:tcW w:w="240" w:type="pct"/>
                  <w:vMerge w:val="continue"/>
                  <w:tcBorders>
                    <w:tl2br w:val="nil"/>
                    <w:tr2bl w:val="nil"/>
                  </w:tcBorders>
                  <w:noWrap w:val="0"/>
                  <w:vAlign w:val="center"/>
                </w:tcPr>
                <w:p w14:paraId="532CC759">
                  <w:pPr>
                    <w:pStyle w:val="5"/>
                    <w:bidi w:val="0"/>
                    <w:rPr>
                      <w:rFonts w:hint="eastAsia"/>
                      <w:lang w:val="zh-CN" w:eastAsia="zh-CN"/>
                    </w:rPr>
                  </w:pPr>
                </w:p>
              </w:tc>
              <w:tc>
                <w:tcPr>
                  <w:tcW w:w="470" w:type="pct"/>
                  <w:tcBorders>
                    <w:tl2br w:val="nil"/>
                    <w:tr2bl w:val="nil"/>
                  </w:tcBorders>
                  <w:noWrap w:val="0"/>
                  <w:vAlign w:val="center"/>
                </w:tcPr>
                <w:p w14:paraId="66293867">
                  <w:pPr>
                    <w:pStyle w:val="5"/>
                    <w:bidi w:val="0"/>
                    <w:rPr>
                      <w:rFonts w:hint="eastAsia"/>
                      <w:lang w:val="zh-CN" w:eastAsia="zh-CN"/>
                    </w:rPr>
                  </w:pPr>
                  <w:r>
                    <w:rPr>
                      <w:rFonts w:hint="eastAsia"/>
                      <w:sz w:val="21"/>
                      <w:szCs w:val="21"/>
                      <w:lang w:val="en-US" w:eastAsia="zh-CN"/>
                    </w:rPr>
                    <w:t>固化箱</w:t>
                  </w:r>
                </w:p>
              </w:tc>
              <w:tc>
                <w:tcPr>
                  <w:tcW w:w="241" w:type="pct"/>
                  <w:tcBorders>
                    <w:tl2br w:val="nil"/>
                    <w:tr2bl w:val="nil"/>
                  </w:tcBorders>
                  <w:noWrap w:val="0"/>
                  <w:vAlign w:val="center"/>
                </w:tcPr>
                <w:p w14:paraId="5EF67C1B">
                  <w:pPr>
                    <w:pStyle w:val="5"/>
                    <w:bidi w:val="0"/>
                    <w:rPr>
                      <w:rFonts w:hint="default"/>
                      <w:lang w:val="en-US" w:eastAsia="zh-CN"/>
                    </w:rPr>
                  </w:pPr>
                  <w:r>
                    <w:rPr>
                      <w:rFonts w:hint="eastAsia"/>
                      <w:lang w:val="en-US" w:eastAsia="zh-CN"/>
                    </w:rPr>
                    <w:t>4</w:t>
                  </w:r>
                </w:p>
              </w:tc>
              <w:tc>
                <w:tcPr>
                  <w:tcW w:w="446" w:type="pct"/>
                  <w:tcBorders>
                    <w:tl2br w:val="nil"/>
                    <w:tr2bl w:val="nil"/>
                  </w:tcBorders>
                  <w:noWrap w:val="0"/>
                  <w:vAlign w:val="center"/>
                </w:tcPr>
                <w:p w14:paraId="73C8961B">
                  <w:pPr>
                    <w:pStyle w:val="5"/>
                    <w:bidi w:val="0"/>
                    <w:rPr>
                      <w:rFonts w:hint="default"/>
                      <w:lang w:val="en-US" w:eastAsia="zh-CN"/>
                    </w:rPr>
                  </w:pPr>
                  <w:r>
                    <w:rPr>
                      <w:rFonts w:hint="eastAsia"/>
                      <w:lang w:val="en-US" w:eastAsia="zh-CN"/>
                    </w:rPr>
                    <w:t>81</w:t>
                  </w:r>
                </w:p>
              </w:tc>
              <w:tc>
                <w:tcPr>
                  <w:tcW w:w="251" w:type="pct"/>
                  <w:vMerge w:val="continue"/>
                  <w:tcBorders>
                    <w:tl2br w:val="nil"/>
                    <w:tr2bl w:val="nil"/>
                  </w:tcBorders>
                  <w:noWrap w:val="0"/>
                  <w:vAlign w:val="center"/>
                </w:tcPr>
                <w:p w14:paraId="4286413D">
                  <w:pPr>
                    <w:pStyle w:val="5"/>
                    <w:bidi w:val="0"/>
                    <w:rPr>
                      <w:rFonts w:hint="eastAsia"/>
                      <w:lang w:val="zh-CN" w:eastAsia="zh-CN"/>
                    </w:rPr>
                  </w:pPr>
                </w:p>
              </w:tc>
              <w:tc>
                <w:tcPr>
                  <w:tcW w:w="225" w:type="pct"/>
                  <w:tcBorders>
                    <w:tl2br w:val="nil"/>
                    <w:tr2bl w:val="nil"/>
                  </w:tcBorders>
                  <w:noWrap w:val="0"/>
                  <w:vAlign w:val="center"/>
                </w:tcPr>
                <w:p w14:paraId="20B31545">
                  <w:pPr>
                    <w:pStyle w:val="5"/>
                    <w:bidi w:val="0"/>
                    <w:rPr>
                      <w:rFonts w:hint="default"/>
                      <w:lang w:val="en-US" w:eastAsia="zh-CN"/>
                    </w:rPr>
                  </w:pPr>
                  <w:r>
                    <w:rPr>
                      <w:rFonts w:hint="eastAsia"/>
                      <w:lang w:val="en-US" w:eastAsia="zh-CN"/>
                    </w:rPr>
                    <w:t>8</w:t>
                  </w:r>
                </w:p>
              </w:tc>
              <w:tc>
                <w:tcPr>
                  <w:tcW w:w="243" w:type="pct"/>
                  <w:tcBorders>
                    <w:tl2br w:val="nil"/>
                    <w:tr2bl w:val="nil"/>
                  </w:tcBorders>
                  <w:noWrap w:val="0"/>
                  <w:vAlign w:val="center"/>
                </w:tcPr>
                <w:p w14:paraId="658D2062">
                  <w:pPr>
                    <w:pStyle w:val="5"/>
                    <w:bidi w:val="0"/>
                    <w:rPr>
                      <w:rFonts w:hint="default"/>
                      <w:lang w:val="en-US" w:eastAsia="zh-CN"/>
                    </w:rPr>
                  </w:pPr>
                  <w:r>
                    <w:rPr>
                      <w:rFonts w:hint="eastAsia"/>
                      <w:lang w:val="en-US" w:eastAsia="zh-CN"/>
                    </w:rPr>
                    <w:t>169</w:t>
                  </w:r>
                </w:p>
              </w:tc>
              <w:tc>
                <w:tcPr>
                  <w:tcW w:w="304" w:type="pct"/>
                  <w:tcBorders>
                    <w:tl2br w:val="nil"/>
                    <w:tr2bl w:val="nil"/>
                  </w:tcBorders>
                  <w:noWrap w:val="0"/>
                  <w:vAlign w:val="center"/>
                </w:tcPr>
                <w:p w14:paraId="7A02D26A">
                  <w:pPr>
                    <w:pStyle w:val="5"/>
                    <w:bidi w:val="0"/>
                    <w:rPr>
                      <w:rFonts w:hint="eastAsia"/>
                      <w:lang w:val="zh-CN" w:eastAsia="zh-CN"/>
                    </w:rPr>
                  </w:pPr>
                  <w:r>
                    <w:rPr>
                      <w:rFonts w:hint="eastAsia"/>
                      <w:lang w:val="en-US" w:eastAsia="zh-CN"/>
                    </w:rPr>
                    <w:t>16.5</w:t>
                  </w:r>
                </w:p>
              </w:tc>
              <w:tc>
                <w:tcPr>
                  <w:tcW w:w="459" w:type="pct"/>
                  <w:tcBorders>
                    <w:tl2br w:val="nil"/>
                    <w:tr2bl w:val="nil"/>
                  </w:tcBorders>
                  <w:noWrap w:val="0"/>
                  <w:vAlign w:val="center"/>
                </w:tcPr>
                <w:p w14:paraId="029EADAC">
                  <w:pPr>
                    <w:pStyle w:val="5"/>
                    <w:bidi w:val="0"/>
                    <w:rPr>
                      <w:rFonts w:hint="default"/>
                      <w:lang w:val="en-US" w:eastAsia="zh-CN"/>
                    </w:rPr>
                  </w:pPr>
                  <w:r>
                    <w:rPr>
                      <w:rFonts w:hint="eastAsia"/>
                      <w:lang w:val="en-US" w:eastAsia="zh-CN"/>
                    </w:rPr>
                    <w:t>0.5</w:t>
                  </w:r>
                </w:p>
              </w:tc>
              <w:tc>
                <w:tcPr>
                  <w:tcW w:w="446" w:type="pct"/>
                  <w:tcBorders>
                    <w:tl2br w:val="nil"/>
                    <w:tr2bl w:val="nil"/>
                  </w:tcBorders>
                  <w:noWrap w:val="0"/>
                  <w:vAlign w:val="center"/>
                </w:tcPr>
                <w:p w14:paraId="027808B7">
                  <w:pPr>
                    <w:pStyle w:val="5"/>
                    <w:bidi w:val="0"/>
                    <w:rPr>
                      <w:rFonts w:hint="default"/>
                      <w:lang w:val="en-US" w:eastAsia="zh-CN"/>
                    </w:rPr>
                  </w:pPr>
                  <w:r>
                    <w:rPr>
                      <w:rFonts w:hint="eastAsia"/>
                      <w:lang w:val="en-US" w:eastAsia="zh-CN"/>
                    </w:rPr>
                    <w:t>81</w:t>
                  </w:r>
                </w:p>
              </w:tc>
              <w:tc>
                <w:tcPr>
                  <w:tcW w:w="267" w:type="pct"/>
                  <w:tcBorders>
                    <w:tl2br w:val="nil"/>
                    <w:tr2bl w:val="nil"/>
                  </w:tcBorders>
                  <w:noWrap w:val="0"/>
                  <w:vAlign w:val="center"/>
                </w:tcPr>
                <w:p w14:paraId="64373550">
                  <w:pPr>
                    <w:pStyle w:val="5"/>
                    <w:bidi w:val="0"/>
                    <w:rPr>
                      <w:rFonts w:hint="eastAsia"/>
                      <w:lang w:val="zh-CN" w:eastAsia="zh-CN"/>
                    </w:rPr>
                  </w:pPr>
                  <w:r>
                    <w:rPr>
                      <w:rFonts w:hint="eastAsia"/>
                      <w:lang w:val="en-US" w:eastAsia="zh-CN"/>
                    </w:rPr>
                    <w:t>4h</w:t>
                  </w:r>
                </w:p>
              </w:tc>
              <w:tc>
                <w:tcPr>
                  <w:tcW w:w="446" w:type="pct"/>
                  <w:tcBorders>
                    <w:tl2br w:val="nil"/>
                    <w:tr2bl w:val="nil"/>
                  </w:tcBorders>
                  <w:noWrap w:val="0"/>
                  <w:vAlign w:val="center"/>
                </w:tcPr>
                <w:p w14:paraId="49C39123">
                  <w:pPr>
                    <w:pStyle w:val="5"/>
                    <w:bidi w:val="0"/>
                    <w:rPr>
                      <w:rFonts w:hint="default"/>
                      <w:lang w:val="en-US" w:eastAsia="zh-CN"/>
                    </w:rPr>
                  </w:pPr>
                  <w:r>
                    <w:rPr>
                      <w:rFonts w:hint="eastAsia"/>
                      <w:lang w:val="en-US" w:eastAsia="zh-CN"/>
                    </w:rPr>
                    <w:t>21</w:t>
                  </w:r>
                </w:p>
              </w:tc>
              <w:tc>
                <w:tcPr>
                  <w:tcW w:w="446" w:type="pct"/>
                  <w:tcBorders>
                    <w:tl2br w:val="nil"/>
                    <w:tr2bl w:val="nil"/>
                  </w:tcBorders>
                  <w:noWrap w:val="0"/>
                  <w:vAlign w:val="center"/>
                </w:tcPr>
                <w:p w14:paraId="3740F3E7">
                  <w:pPr>
                    <w:pStyle w:val="5"/>
                    <w:bidi w:val="0"/>
                    <w:rPr>
                      <w:rFonts w:hint="default"/>
                      <w:lang w:val="en-US" w:eastAsia="zh-CN"/>
                    </w:rPr>
                  </w:pPr>
                  <w:r>
                    <w:rPr>
                      <w:rFonts w:hint="eastAsia"/>
                      <w:lang w:val="en-US" w:eastAsia="zh-CN"/>
                    </w:rPr>
                    <w:t>60</w:t>
                  </w:r>
                </w:p>
              </w:tc>
              <w:tc>
                <w:tcPr>
                  <w:tcW w:w="271" w:type="pct"/>
                  <w:tcBorders>
                    <w:tl2br w:val="nil"/>
                    <w:tr2bl w:val="nil"/>
                  </w:tcBorders>
                  <w:noWrap w:val="0"/>
                  <w:vAlign w:val="center"/>
                </w:tcPr>
                <w:p w14:paraId="2818986A">
                  <w:pPr>
                    <w:pStyle w:val="5"/>
                    <w:bidi w:val="0"/>
                    <w:rPr>
                      <w:rFonts w:hint="default"/>
                      <w:lang w:val="en-US" w:eastAsia="zh-CN"/>
                    </w:rPr>
                  </w:pPr>
                  <w:r>
                    <w:rPr>
                      <w:rFonts w:hint="eastAsia"/>
                      <w:lang w:val="zh-CN" w:eastAsia="zh-CN"/>
                    </w:rPr>
                    <w:t>1</w:t>
                  </w:r>
                </w:p>
              </w:tc>
            </w:tr>
            <w:tr w14:paraId="7A0950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noWrap w:val="0"/>
                  <w:vAlign w:val="center"/>
                </w:tcPr>
                <w:p w14:paraId="7D6E7FC6">
                  <w:pPr>
                    <w:pStyle w:val="5"/>
                    <w:bidi w:val="0"/>
                    <w:rPr>
                      <w:rFonts w:hint="default"/>
                      <w:lang w:val="en-US" w:eastAsia="zh-CN"/>
                    </w:rPr>
                  </w:pPr>
                  <w:r>
                    <w:rPr>
                      <w:rFonts w:hint="eastAsia"/>
                      <w:lang w:val="en-US" w:eastAsia="zh-CN"/>
                    </w:rPr>
                    <w:t>3</w:t>
                  </w:r>
                </w:p>
              </w:tc>
              <w:tc>
                <w:tcPr>
                  <w:tcW w:w="240" w:type="pct"/>
                  <w:vMerge w:val="continue"/>
                  <w:tcBorders>
                    <w:tl2br w:val="nil"/>
                    <w:tr2bl w:val="nil"/>
                  </w:tcBorders>
                  <w:noWrap w:val="0"/>
                  <w:vAlign w:val="center"/>
                </w:tcPr>
                <w:p w14:paraId="4C80C19D">
                  <w:pPr>
                    <w:pStyle w:val="5"/>
                    <w:bidi w:val="0"/>
                    <w:rPr>
                      <w:rFonts w:hint="eastAsia"/>
                      <w:lang w:val="zh-CN" w:eastAsia="zh-CN"/>
                    </w:rPr>
                  </w:pPr>
                </w:p>
              </w:tc>
              <w:tc>
                <w:tcPr>
                  <w:tcW w:w="470" w:type="pct"/>
                  <w:tcBorders>
                    <w:tl2br w:val="nil"/>
                    <w:tr2bl w:val="nil"/>
                  </w:tcBorders>
                  <w:noWrap w:val="0"/>
                  <w:vAlign w:val="center"/>
                </w:tcPr>
                <w:p w14:paraId="316B9493">
                  <w:pPr>
                    <w:pStyle w:val="5"/>
                    <w:bidi w:val="0"/>
                    <w:rPr>
                      <w:rFonts w:hint="eastAsia"/>
                      <w:lang w:val="zh-CN" w:eastAsia="zh-CN"/>
                    </w:rPr>
                  </w:pPr>
                  <w:r>
                    <w:rPr>
                      <w:rFonts w:hint="eastAsia"/>
                      <w:sz w:val="21"/>
                      <w:szCs w:val="21"/>
                      <w:lang w:val="en-US" w:eastAsia="zh-CN"/>
                    </w:rPr>
                    <w:t>影像测量仪</w:t>
                  </w:r>
                </w:p>
              </w:tc>
              <w:tc>
                <w:tcPr>
                  <w:tcW w:w="241" w:type="pct"/>
                  <w:tcBorders>
                    <w:tl2br w:val="nil"/>
                    <w:tr2bl w:val="nil"/>
                  </w:tcBorders>
                  <w:noWrap w:val="0"/>
                  <w:vAlign w:val="center"/>
                </w:tcPr>
                <w:p w14:paraId="31BEE67E">
                  <w:pPr>
                    <w:pStyle w:val="5"/>
                    <w:bidi w:val="0"/>
                    <w:rPr>
                      <w:rFonts w:hint="eastAsia"/>
                      <w:lang w:val="zh-CN" w:eastAsia="zh-CN"/>
                    </w:rPr>
                  </w:pPr>
                  <w:r>
                    <w:rPr>
                      <w:rFonts w:hint="eastAsia"/>
                      <w:sz w:val="21"/>
                      <w:szCs w:val="21"/>
                      <w:lang w:val="en-US" w:eastAsia="zh-CN"/>
                    </w:rPr>
                    <w:t>1</w:t>
                  </w:r>
                </w:p>
              </w:tc>
              <w:tc>
                <w:tcPr>
                  <w:tcW w:w="446" w:type="pct"/>
                  <w:tcBorders>
                    <w:tl2br w:val="nil"/>
                    <w:tr2bl w:val="nil"/>
                  </w:tcBorders>
                  <w:noWrap w:val="0"/>
                  <w:vAlign w:val="center"/>
                </w:tcPr>
                <w:p w14:paraId="6613D770">
                  <w:pPr>
                    <w:pStyle w:val="5"/>
                    <w:bidi w:val="0"/>
                    <w:rPr>
                      <w:rFonts w:hint="eastAsia"/>
                      <w:lang w:val="zh-CN" w:eastAsia="zh-CN"/>
                    </w:rPr>
                  </w:pPr>
                  <w:r>
                    <w:rPr>
                      <w:rFonts w:hint="eastAsia"/>
                      <w:lang w:val="zh-CN" w:eastAsia="zh-CN"/>
                    </w:rPr>
                    <w:t>70</w:t>
                  </w:r>
                </w:p>
              </w:tc>
              <w:tc>
                <w:tcPr>
                  <w:tcW w:w="251" w:type="pct"/>
                  <w:vMerge w:val="continue"/>
                  <w:tcBorders>
                    <w:tl2br w:val="nil"/>
                    <w:tr2bl w:val="nil"/>
                  </w:tcBorders>
                  <w:noWrap w:val="0"/>
                  <w:vAlign w:val="center"/>
                </w:tcPr>
                <w:p w14:paraId="47F0487E">
                  <w:pPr>
                    <w:pStyle w:val="5"/>
                    <w:bidi w:val="0"/>
                    <w:rPr>
                      <w:rFonts w:hint="eastAsia"/>
                      <w:lang w:val="zh-CN" w:eastAsia="zh-CN"/>
                    </w:rPr>
                  </w:pPr>
                </w:p>
              </w:tc>
              <w:tc>
                <w:tcPr>
                  <w:tcW w:w="225" w:type="pct"/>
                  <w:tcBorders>
                    <w:tl2br w:val="nil"/>
                    <w:tr2bl w:val="nil"/>
                  </w:tcBorders>
                  <w:noWrap w:val="0"/>
                  <w:vAlign w:val="center"/>
                </w:tcPr>
                <w:p w14:paraId="69D37799">
                  <w:pPr>
                    <w:pStyle w:val="5"/>
                    <w:bidi w:val="0"/>
                    <w:rPr>
                      <w:rFonts w:hint="default"/>
                      <w:lang w:val="en-US" w:eastAsia="zh-CN"/>
                    </w:rPr>
                  </w:pPr>
                  <w:r>
                    <w:rPr>
                      <w:rFonts w:hint="eastAsia"/>
                      <w:lang w:val="en-US" w:eastAsia="zh-CN"/>
                    </w:rPr>
                    <w:t>25</w:t>
                  </w:r>
                </w:p>
              </w:tc>
              <w:tc>
                <w:tcPr>
                  <w:tcW w:w="243" w:type="pct"/>
                  <w:tcBorders>
                    <w:tl2br w:val="nil"/>
                    <w:tr2bl w:val="nil"/>
                  </w:tcBorders>
                  <w:noWrap w:val="0"/>
                  <w:vAlign w:val="center"/>
                </w:tcPr>
                <w:p w14:paraId="6132179E">
                  <w:pPr>
                    <w:pStyle w:val="5"/>
                    <w:bidi w:val="0"/>
                    <w:rPr>
                      <w:rFonts w:hint="default"/>
                      <w:lang w:val="en-US" w:eastAsia="zh-CN"/>
                    </w:rPr>
                  </w:pPr>
                  <w:r>
                    <w:rPr>
                      <w:rFonts w:hint="eastAsia"/>
                      <w:lang w:val="en-US" w:eastAsia="zh-CN"/>
                    </w:rPr>
                    <w:t>183</w:t>
                  </w:r>
                </w:p>
              </w:tc>
              <w:tc>
                <w:tcPr>
                  <w:tcW w:w="304" w:type="pct"/>
                  <w:tcBorders>
                    <w:tl2br w:val="nil"/>
                    <w:tr2bl w:val="nil"/>
                  </w:tcBorders>
                  <w:noWrap w:val="0"/>
                  <w:vAlign w:val="center"/>
                </w:tcPr>
                <w:p w14:paraId="7F4A6FAE">
                  <w:pPr>
                    <w:pStyle w:val="5"/>
                    <w:bidi w:val="0"/>
                    <w:rPr>
                      <w:rFonts w:hint="eastAsia"/>
                      <w:lang w:val="zh-CN" w:eastAsia="zh-CN"/>
                    </w:rPr>
                  </w:pPr>
                  <w:r>
                    <w:rPr>
                      <w:rFonts w:hint="eastAsia"/>
                      <w:lang w:val="en-US" w:eastAsia="zh-CN"/>
                    </w:rPr>
                    <w:t>16.5</w:t>
                  </w:r>
                </w:p>
              </w:tc>
              <w:tc>
                <w:tcPr>
                  <w:tcW w:w="459" w:type="pct"/>
                  <w:tcBorders>
                    <w:tl2br w:val="nil"/>
                    <w:tr2bl w:val="nil"/>
                  </w:tcBorders>
                  <w:noWrap w:val="0"/>
                  <w:vAlign w:val="center"/>
                </w:tcPr>
                <w:p w14:paraId="425B2161">
                  <w:pPr>
                    <w:pStyle w:val="5"/>
                    <w:bidi w:val="0"/>
                    <w:rPr>
                      <w:rFonts w:hint="default"/>
                      <w:lang w:val="en-US" w:eastAsia="zh-CN"/>
                    </w:rPr>
                  </w:pPr>
                  <w:r>
                    <w:rPr>
                      <w:rFonts w:hint="eastAsia"/>
                      <w:lang w:val="en-US" w:eastAsia="zh-CN"/>
                    </w:rPr>
                    <w:t>3</w:t>
                  </w:r>
                </w:p>
              </w:tc>
              <w:tc>
                <w:tcPr>
                  <w:tcW w:w="446" w:type="pct"/>
                  <w:tcBorders>
                    <w:tl2br w:val="nil"/>
                    <w:tr2bl w:val="nil"/>
                  </w:tcBorders>
                  <w:noWrap w:val="0"/>
                  <w:vAlign w:val="center"/>
                </w:tcPr>
                <w:p w14:paraId="482EE5F7">
                  <w:pPr>
                    <w:pStyle w:val="5"/>
                    <w:bidi w:val="0"/>
                    <w:rPr>
                      <w:rFonts w:hint="default"/>
                      <w:lang w:val="en-US" w:eastAsia="zh-CN"/>
                    </w:rPr>
                  </w:pPr>
                  <w:r>
                    <w:rPr>
                      <w:rFonts w:hint="eastAsia"/>
                      <w:lang w:val="en-US" w:eastAsia="zh-CN"/>
                    </w:rPr>
                    <w:t>60.46</w:t>
                  </w:r>
                </w:p>
              </w:tc>
              <w:tc>
                <w:tcPr>
                  <w:tcW w:w="267" w:type="pct"/>
                  <w:tcBorders>
                    <w:tl2br w:val="nil"/>
                    <w:tr2bl w:val="nil"/>
                  </w:tcBorders>
                  <w:noWrap w:val="0"/>
                  <w:vAlign w:val="center"/>
                </w:tcPr>
                <w:p w14:paraId="51E69163">
                  <w:pPr>
                    <w:pStyle w:val="5"/>
                    <w:bidi w:val="0"/>
                    <w:rPr>
                      <w:rFonts w:hint="default"/>
                      <w:lang w:val="en-US" w:eastAsia="zh-CN"/>
                    </w:rPr>
                  </w:pPr>
                  <w:r>
                    <w:rPr>
                      <w:rFonts w:hint="eastAsia"/>
                      <w:lang w:val="en-US" w:eastAsia="zh-CN"/>
                    </w:rPr>
                    <w:t>8h</w:t>
                  </w:r>
                </w:p>
              </w:tc>
              <w:tc>
                <w:tcPr>
                  <w:tcW w:w="446" w:type="pct"/>
                  <w:tcBorders>
                    <w:tl2br w:val="nil"/>
                    <w:tr2bl w:val="nil"/>
                  </w:tcBorders>
                  <w:noWrap w:val="0"/>
                  <w:vAlign w:val="center"/>
                </w:tcPr>
                <w:p w14:paraId="4706B63C">
                  <w:pPr>
                    <w:pStyle w:val="5"/>
                    <w:bidi w:val="0"/>
                    <w:rPr>
                      <w:rFonts w:hint="default"/>
                      <w:lang w:val="en-US" w:eastAsia="zh-CN"/>
                    </w:rPr>
                  </w:pPr>
                  <w:r>
                    <w:rPr>
                      <w:rFonts w:hint="eastAsia"/>
                      <w:lang w:val="en-US" w:eastAsia="zh-CN"/>
                    </w:rPr>
                    <w:t>21</w:t>
                  </w:r>
                </w:p>
              </w:tc>
              <w:tc>
                <w:tcPr>
                  <w:tcW w:w="446" w:type="pct"/>
                  <w:tcBorders>
                    <w:tl2br w:val="nil"/>
                    <w:tr2bl w:val="nil"/>
                  </w:tcBorders>
                  <w:noWrap w:val="0"/>
                  <w:vAlign w:val="center"/>
                </w:tcPr>
                <w:p w14:paraId="457581E0">
                  <w:pPr>
                    <w:pStyle w:val="5"/>
                    <w:bidi w:val="0"/>
                    <w:rPr>
                      <w:rFonts w:hint="default"/>
                      <w:lang w:val="en-US" w:eastAsia="zh-CN"/>
                    </w:rPr>
                  </w:pPr>
                  <w:r>
                    <w:rPr>
                      <w:rFonts w:hint="eastAsia"/>
                      <w:lang w:val="en-US" w:eastAsia="zh-CN"/>
                    </w:rPr>
                    <w:t>39.46</w:t>
                  </w:r>
                </w:p>
              </w:tc>
              <w:tc>
                <w:tcPr>
                  <w:tcW w:w="271" w:type="pct"/>
                  <w:tcBorders>
                    <w:tl2br w:val="nil"/>
                    <w:tr2bl w:val="nil"/>
                  </w:tcBorders>
                  <w:noWrap w:val="0"/>
                  <w:vAlign w:val="center"/>
                </w:tcPr>
                <w:p w14:paraId="15A85F1B">
                  <w:pPr>
                    <w:pStyle w:val="5"/>
                    <w:bidi w:val="0"/>
                    <w:rPr>
                      <w:rFonts w:hint="eastAsia"/>
                      <w:lang w:val="zh-CN" w:eastAsia="zh-CN"/>
                    </w:rPr>
                  </w:pPr>
                  <w:r>
                    <w:rPr>
                      <w:rFonts w:hint="eastAsia"/>
                      <w:lang w:val="en-US" w:eastAsia="zh-CN"/>
                    </w:rPr>
                    <w:t>1</w:t>
                  </w:r>
                </w:p>
              </w:tc>
            </w:tr>
            <w:tr w14:paraId="3C2A0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0" w:type="pct"/>
                  <w:tcBorders>
                    <w:tl2br w:val="nil"/>
                    <w:tr2bl w:val="nil"/>
                  </w:tcBorders>
                  <w:noWrap w:val="0"/>
                  <w:vAlign w:val="center"/>
                </w:tcPr>
                <w:p w14:paraId="4A8F3475">
                  <w:pPr>
                    <w:pStyle w:val="5"/>
                    <w:bidi w:val="0"/>
                    <w:rPr>
                      <w:rFonts w:hint="eastAsia"/>
                      <w:lang w:val="en-US" w:eastAsia="zh-CN"/>
                    </w:rPr>
                  </w:pPr>
                </w:p>
              </w:tc>
              <w:tc>
                <w:tcPr>
                  <w:tcW w:w="240" w:type="pct"/>
                  <w:vMerge w:val="continue"/>
                  <w:tcBorders>
                    <w:tl2br w:val="nil"/>
                    <w:tr2bl w:val="nil"/>
                  </w:tcBorders>
                  <w:noWrap w:val="0"/>
                  <w:vAlign w:val="center"/>
                </w:tcPr>
                <w:p w14:paraId="02A9174C">
                  <w:pPr>
                    <w:pStyle w:val="5"/>
                    <w:bidi w:val="0"/>
                    <w:rPr>
                      <w:rFonts w:hint="eastAsia"/>
                      <w:lang w:val="zh-CN" w:eastAsia="zh-CN"/>
                    </w:rPr>
                  </w:pPr>
                </w:p>
              </w:tc>
              <w:tc>
                <w:tcPr>
                  <w:tcW w:w="470" w:type="pct"/>
                  <w:tcBorders>
                    <w:tl2br w:val="nil"/>
                    <w:tr2bl w:val="nil"/>
                  </w:tcBorders>
                  <w:noWrap w:val="0"/>
                  <w:vAlign w:val="center"/>
                </w:tcPr>
                <w:p w14:paraId="10CEB0D4">
                  <w:pPr>
                    <w:pStyle w:val="5"/>
                    <w:bidi w:val="0"/>
                    <w:rPr>
                      <w:rFonts w:hint="default"/>
                      <w:sz w:val="21"/>
                      <w:szCs w:val="21"/>
                      <w:lang w:val="en-US" w:eastAsia="zh-CN"/>
                    </w:rPr>
                  </w:pPr>
                  <w:r>
                    <w:rPr>
                      <w:rFonts w:hint="eastAsia"/>
                      <w:sz w:val="21"/>
                      <w:szCs w:val="21"/>
                      <w:lang w:val="en-US" w:eastAsia="zh-CN"/>
                    </w:rPr>
                    <w:t>废气风机</w:t>
                  </w:r>
                </w:p>
              </w:tc>
              <w:tc>
                <w:tcPr>
                  <w:tcW w:w="241" w:type="pct"/>
                  <w:tcBorders>
                    <w:tl2br w:val="nil"/>
                    <w:tr2bl w:val="nil"/>
                  </w:tcBorders>
                  <w:noWrap w:val="0"/>
                  <w:vAlign w:val="center"/>
                </w:tcPr>
                <w:p w14:paraId="3A3B6DE3">
                  <w:pPr>
                    <w:pStyle w:val="5"/>
                    <w:bidi w:val="0"/>
                    <w:rPr>
                      <w:rFonts w:hint="default"/>
                      <w:sz w:val="21"/>
                      <w:szCs w:val="21"/>
                      <w:lang w:val="en-US" w:eastAsia="zh-CN"/>
                    </w:rPr>
                  </w:pPr>
                  <w:r>
                    <w:rPr>
                      <w:rFonts w:hint="eastAsia"/>
                      <w:sz w:val="21"/>
                      <w:szCs w:val="21"/>
                      <w:lang w:val="en-US" w:eastAsia="zh-CN"/>
                    </w:rPr>
                    <w:t>1</w:t>
                  </w:r>
                </w:p>
              </w:tc>
              <w:tc>
                <w:tcPr>
                  <w:tcW w:w="446" w:type="pct"/>
                  <w:tcBorders>
                    <w:tl2br w:val="nil"/>
                    <w:tr2bl w:val="nil"/>
                  </w:tcBorders>
                  <w:noWrap w:val="0"/>
                  <w:vAlign w:val="center"/>
                </w:tcPr>
                <w:p w14:paraId="7A6508E0">
                  <w:pPr>
                    <w:pStyle w:val="5"/>
                    <w:bidi w:val="0"/>
                    <w:rPr>
                      <w:rFonts w:hint="default"/>
                      <w:lang w:val="en-US" w:eastAsia="zh-CN"/>
                    </w:rPr>
                  </w:pPr>
                  <w:r>
                    <w:rPr>
                      <w:rFonts w:hint="eastAsia"/>
                      <w:lang w:val="en-US" w:eastAsia="zh-CN"/>
                    </w:rPr>
                    <w:t>75</w:t>
                  </w:r>
                </w:p>
              </w:tc>
              <w:tc>
                <w:tcPr>
                  <w:tcW w:w="251" w:type="pct"/>
                  <w:vMerge w:val="continue"/>
                  <w:tcBorders>
                    <w:tl2br w:val="nil"/>
                    <w:tr2bl w:val="nil"/>
                  </w:tcBorders>
                  <w:noWrap w:val="0"/>
                  <w:vAlign w:val="center"/>
                </w:tcPr>
                <w:p w14:paraId="229C5BBC">
                  <w:pPr>
                    <w:pStyle w:val="5"/>
                    <w:bidi w:val="0"/>
                    <w:rPr>
                      <w:rFonts w:hint="eastAsia"/>
                      <w:lang w:val="zh-CN" w:eastAsia="zh-CN"/>
                    </w:rPr>
                  </w:pPr>
                </w:p>
              </w:tc>
              <w:tc>
                <w:tcPr>
                  <w:tcW w:w="225" w:type="pct"/>
                  <w:tcBorders>
                    <w:tl2br w:val="nil"/>
                    <w:tr2bl w:val="nil"/>
                  </w:tcBorders>
                  <w:noWrap w:val="0"/>
                  <w:vAlign w:val="center"/>
                </w:tcPr>
                <w:p w14:paraId="378FED38">
                  <w:pPr>
                    <w:pStyle w:val="5"/>
                    <w:bidi w:val="0"/>
                    <w:rPr>
                      <w:rFonts w:hint="default"/>
                      <w:lang w:val="en-US" w:eastAsia="zh-CN"/>
                    </w:rPr>
                  </w:pPr>
                  <w:r>
                    <w:rPr>
                      <w:rFonts w:hint="eastAsia"/>
                      <w:lang w:val="en-US" w:eastAsia="zh-CN"/>
                    </w:rPr>
                    <w:t>6</w:t>
                  </w:r>
                </w:p>
              </w:tc>
              <w:tc>
                <w:tcPr>
                  <w:tcW w:w="243" w:type="pct"/>
                  <w:tcBorders>
                    <w:tl2br w:val="nil"/>
                    <w:tr2bl w:val="nil"/>
                  </w:tcBorders>
                  <w:noWrap w:val="0"/>
                  <w:vAlign w:val="center"/>
                </w:tcPr>
                <w:p w14:paraId="16D6F23D">
                  <w:pPr>
                    <w:pStyle w:val="5"/>
                    <w:bidi w:val="0"/>
                    <w:rPr>
                      <w:rFonts w:hint="default"/>
                      <w:lang w:val="en-US" w:eastAsia="zh-CN"/>
                    </w:rPr>
                  </w:pPr>
                  <w:r>
                    <w:rPr>
                      <w:rFonts w:hint="eastAsia"/>
                      <w:lang w:val="en-US" w:eastAsia="zh-CN"/>
                    </w:rPr>
                    <w:t>152</w:t>
                  </w:r>
                </w:p>
              </w:tc>
              <w:tc>
                <w:tcPr>
                  <w:tcW w:w="304" w:type="pct"/>
                  <w:tcBorders>
                    <w:tl2br w:val="nil"/>
                    <w:tr2bl w:val="nil"/>
                  </w:tcBorders>
                  <w:noWrap w:val="0"/>
                  <w:vAlign w:val="center"/>
                </w:tcPr>
                <w:p w14:paraId="4D2CB33B">
                  <w:pPr>
                    <w:pStyle w:val="5"/>
                    <w:bidi w:val="0"/>
                    <w:rPr>
                      <w:rFonts w:hint="default"/>
                      <w:lang w:val="en-US" w:eastAsia="zh-CN"/>
                    </w:rPr>
                  </w:pPr>
                  <w:r>
                    <w:rPr>
                      <w:rFonts w:hint="eastAsia"/>
                      <w:lang w:val="en-US" w:eastAsia="zh-CN"/>
                    </w:rPr>
                    <w:t>15.5</w:t>
                  </w:r>
                </w:p>
              </w:tc>
              <w:tc>
                <w:tcPr>
                  <w:tcW w:w="459" w:type="pct"/>
                  <w:tcBorders>
                    <w:tl2br w:val="nil"/>
                    <w:tr2bl w:val="nil"/>
                  </w:tcBorders>
                  <w:noWrap w:val="0"/>
                  <w:vAlign w:val="center"/>
                </w:tcPr>
                <w:p w14:paraId="57433673">
                  <w:pPr>
                    <w:pStyle w:val="5"/>
                    <w:bidi w:val="0"/>
                    <w:rPr>
                      <w:rFonts w:hint="default"/>
                      <w:lang w:val="en-US" w:eastAsia="zh-CN"/>
                    </w:rPr>
                  </w:pPr>
                  <w:r>
                    <w:rPr>
                      <w:rFonts w:hint="eastAsia"/>
                      <w:lang w:val="en-US" w:eastAsia="zh-CN"/>
                    </w:rPr>
                    <w:t>0.5</w:t>
                  </w:r>
                </w:p>
              </w:tc>
              <w:tc>
                <w:tcPr>
                  <w:tcW w:w="446" w:type="pct"/>
                  <w:tcBorders>
                    <w:tl2br w:val="nil"/>
                    <w:tr2bl w:val="nil"/>
                  </w:tcBorders>
                  <w:noWrap w:val="0"/>
                  <w:vAlign w:val="center"/>
                </w:tcPr>
                <w:p w14:paraId="3929B542">
                  <w:pPr>
                    <w:pStyle w:val="5"/>
                    <w:bidi w:val="0"/>
                    <w:rPr>
                      <w:rFonts w:hint="default"/>
                      <w:lang w:val="en-US" w:eastAsia="zh-CN"/>
                    </w:rPr>
                  </w:pPr>
                  <w:r>
                    <w:rPr>
                      <w:rFonts w:hint="eastAsia"/>
                      <w:lang w:val="en-US" w:eastAsia="zh-CN"/>
                    </w:rPr>
                    <w:t>75</w:t>
                  </w:r>
                </w:p>
              </w:tc>
              <w:tc>
                <w:tcPr>
                  <w:tcW w:w="267" w:type="pct"/>
                  <w:tcBorders>
                    <w:tl2br w:val="nil"/>
                    <w:tr2bl w:val="nil"/>
                  </w:tcBorders>
                  <w:noWrap w:val="0"/>
                  <w:vAlign w:val="center"/>
                </w:tcPr>
                <w:p w14:paraId="35EC92C6">
                  <w:pPr>
                    <w:pStyle w:val="5"/>
                    <w:bidi w:val="0"/>
                    <w:rPr>
                      <w:rFonts w:hint="eastAsia"/>
                      <w:lang w:val="en-US" w:eastAsia="zh-CN"/>
                    </w:rPr>
                  </w:pPr>
                  <w:r>
                    <w:rPr>
                      <w:rFonts w:hint="eastAsia"/>
                      <w:lang w:val="en-US" w:eastAsia="zh-CN"/>
                    </w:rPr>
                    <w:t>4h</w:t>
                  </w:r>
                </w:p>
              </w:tc>
              <w:tc>
                <w:tcPr>
                  <w:tcW w:w="446" w:type="pct"/>
                  <w:tcBorders>
                    <w:tl2br w:val="nil"/>
                    <w:tr2bl w:val="nil"/>
                  </w:tcBorders>
                  <w:noWrap w:val="0"/>
                  <w:vAlign w:val="center"/>
                </w:tcPr>
                <w:p w14:paraId="3B5497D7">
                  <w:pPr>
                    <w:pStyle w:val="5"/>
                    <w:bidi w:val="0"/>
                    <w:rPr>
                      <w:rFonts w:hint="default"/>
                      <w:lang w:val="en-US" w:eastAsia="zh-CN"/>
                    </w:rPr>
                  </w:pPr>
                  <w:r>
                    <w:rPr>
                      <w:rFonts w:hint="eastAsia"/>
                      <w:lang w:val="en-US" w:eastAsia="zh-CN"/>
                    </w:rPr>
                    <w:t>21</w:t>
                  </w:r>
                </w:p>
              </w:tc>
              <w:tc>
                <w:tcPr>
                  <w:tcW w:w="446" w:type="pct"/>
                  <w:tcBorders>
                    <w:tl2br w:val="nil"/>
                    <w:tr2bl w:val="nil"/>
                  </w:tcBorders>
                  <w:noWrap w:val="0"/>
                  <w:vAlign w:val="center"/>
                </w:tcPr>
                <w:p w14:paraId="1F514101">
                  <w:pPr>
                    <w:pStyle w:val="5"/>
                    <w:bidi w:val="0"/>
                    <w:rPr>
                      <w:rFonts w:hint="default"/>
                      <w:lang w:val="en-US" w:eastAsia="zh-CN"/>
                    </w:rPr>
                  </w:pPr>
                  <w:r>
                    <w:rPr>
                      <w:rFonts w:hint="eastAsia"/>
                      <w:lang w:val="en-US" w:eastAsia="zh-CN"/>
                    </w:rPr>
                    <w:t>54</w:t>
                  </w:r>
                </w:p>
              </w:tc>
              <w:tc>
                <w:tcPr>
                  <w:tcW w:w="271" w:type="pct"/>
                  <w:tcBorders>
                    <w:tl2br w:val="nil"/>
                    <w:tr2bl w:val="nil"/>
                  </w:tcBorders>
                  <w:noWrap w:val="0"/>
                  <w:vAlign w:val="center"/>
                </w:tcPr>
                <w:p w14:paraId="677C1C0B">
                  <w:pPr>
                    <w:pStyle w:val="5"/>
                    <w:bidi w:val="0"/>
                    <w:rPr>
                      <w:rFonts w:hint="default"/>
                      <w:lang w:val="en-US" w:eastAsia="zh-CN"/>
                    </w:rPr>
                  </w:pPr>
                  <w:r>
                    <w:rPr>
                      <w:rFonts w:hint="eastAsia"/>
                      <w:lang w:val="en-US" w:eastAsia="zh-CN"/>
                    </w:rPr>
                    <w:t>1</w:t>
                  </w:r>
                </w:p>
              </w:tc>
            </w:tr>
            <w:tr w14:paraId="380CEC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40" w:type="pct"/>
                  <w:tcBorders>
                    <w:tl2br w:val="nil"/>
                    <w:tr2bl w:val="nil"/>
                  </w:tcBorders>
                  <w:noWrap w:val="0"/>
                  <w:vAlign w:val="center"/>
                </w:tcPr>
                <w:p w14:paraId="0918C532">
                  <w:pPr>
                    <w:pStyle w:val="5"/>
                    <w:bidi w:val="0"/>
                    <w:rPr>
                      <w:rFonts w:hint="default"/>
                      <w:lang w:val="en-US" w:eastAsia="zh-CN"/>
                    </w:rPr>
                  </w:pPr>
                  <w:r>
                    <w:rPr>
                      <w:rFonts w:hint="eastAsia"/>
                      <w:lang w:val="en-US" w:eastAsia="zh-CN"/>
                    </w:rPr>
                    <w:t>4</w:t>
                  </w:r>
                </w:p>
              </w:tc>
              <w:tc>
                <w:tcPr>
                  <w:tcW w:w="240" w:type="pct"/>
                  <w:vMerge w:val="continue"/>
                  <w:tcBorders>
                    <w:tl2br w:val="nil"/>
                    <w:tr2bl w:val="nil"/>
                  </w:tcBorders>
                  <w:noWrap w:val="0"/>
                  <w:vAlign w:val="center"/>
                </w:tcPr>
                <w:p w14:paraId="5B3A5CC8">
                  <w:pPr>
                    <w:pStyle w:val="5"/>
                    <w:bidi w:val="0"/>
                    <w:rPr>
                      <w:rFonts w:hint="eastAsia"/>
                      <w:lang w:val="zh-CN" w:eastAsia="zh-CN"/>
                    </w:rPr>
                  </w:pPr>
                </w:p>
              </w:tc>
              <w:tc>
                <w:tcPr>
                  <w:tcW w:w="470" w:type="pct"/>
                  <w:tcBorders>
                    <w:tl2br w:val="nil"/>
                    <w:tr2bl w:val="nil"/>
                  </w:tcBorders>
                  <w:noWrap w:val="0"/>
                  <w:vAlign w:val="center"/>
                </w:tcPr>
                <w:p w14:paraId="44217037">
                  <w:pPr>
                    <w:pStyle w:val="5"/>
                    <w:bidi w:val="0"/>
                    <w:rPr>
                      <w:rFonts w:hint="default"/>
                      <w:sz w:val="21"/>
                      <w:szCs w:val="21"/>
                      <w:lang w:val="en-US" w:eastAsia="zh-CN"/>
                    </w:rPr>
                  </w:pPr>
                  <w:r>
                    <w:rPr>
                      <w:rFonts w:hint="eastAsia"/>
                      <w:sz w:val="21"/>
                      <w:szCs w:val="21"/>
                      <w:lang w:val="en-US" w:eastAsia="zh-CN"/>
                    </w:rPr>
                    <w:t>冷藏冷冻箱</w:t>
                  </w:r>
                </w:p>
              </w:tc>
              <w:tc>
                <w:tcPr>
                  <w:tcW w:w="241" w:type="pct"/>
                  <w:tcBorders>
                    <w:tl2br w:val="nil"/>
                    <w:tr2bl w:val="nil"/>
                  </w:tcBorders>
                  <w:noWrap w:val="0"/>
                  <w:vAlign w:val="center"/>
                </w:tcPr>
                <w:p w14:paraId="1A627977">
                  <w:pPr>
                    <w:pStyle w:val="5"/>
                    <w:bidi w:val="0"/>
                    <w:rPr>
                      <w:rFonts w:hint="default"/>
                      <w:sz w:val="21"/>
                      <w:szCs w:val="21"/>
                      <w:lang w:val="en-US" w:eastAsia="zh-CN"/>
                    </w:rPr>
                  </w:pPr>
                  <w:r>
                    <w:rPr>
                      <w:rFonts w:hint="eastAsia"/>
                      <w:sz w:val="21"/>
                      <w:szCs w:val="21"/>
                      <w:lang w:val="en-US" w:eastAsia="zh-CN"/>
                    </w:rPr>
                    <w:t>1</w:t>
                  </w:r>
                </w:p>
              </w:tc>
              <w:tc>
                <w:tcPr>
                  <w:tcW w:w="446" w:type="pct"/>
                  <w:tcBorders>
                    <w:tl2br w:val="nil"/>
                    <w:tr2bl w:val="nil"/>
                  </w:tcBorders>
                  <w:noWrap w:val="0"/>
                  <w:vAlign w:val="center"/>
                </w:tcPr>
                <w:p w14:paraId="2A5CA93E">
                  <w:pPr>
                    <w:pStyle w:val="5"/>
                    <w:bidi w:val="0"/>
                    <w:rPr>
                      <w:rFonts w:hint="default"/>
                      <w:lang w:val="en-US" w:eastAsia="zh-CN"/>
                    </w:rPr>
                  </w:pPr>
                  <w:r>
                    <w:rPr>
                      <w:rFonts w:hint="eastAsia"/>
                      <w:lang w:val="en-US" w:eastAsia="zh-CN"/>
                    </w:rPr>
                    <w:t>35</w:t>
                  </w:r>
                </w:p>
              </w:tc>
              <w:tc>
                <w:tcPr>
                  <w:tcW w:w="251" w:type="pct"/>
                  <w:vMerge w:val="continue"/>
                  <w:tcBorders>
                    <w:tl2br w:val="nil"/>
                    <w:tr2bl w:val="nil"/>
                  </w:tcBorders>
                  <w:noWrap w:val="0"/>
                  <w:vAlign w:val="center"/>
                </w:tcPr>
                <w:p w14:paraId="00C09138">
                  <w:pPr>
                    <w:pStyle w:val="5"/>
                    <w:bidi w:val="0"/>
                    <w:rPr>
                      <w:rFonts w:hint="eastAsia"/>
                      <w:lang w:val="zh-CN" w:eastAsia="zh-CN"/>
                    </w:rPr>
                  </w:pPr>
                </w:p>
              </w:tc>
              <w:tc>
                <w:tcPr>
                  <w:tcW w:w="225" w:type="pct"/>
                  <w:tcBorders>
                    <w:tl2br w:val="nil"/>
                    <w:tr2bl w:val="nil"/>
                  </w:tcBorders>
                  <w:noWrap w:val="0"/>
                  <w:vAlign w:val="center"/>
                </w:tcPr>
                <w:p w14:paraId="73F1CB3A">
                  <w:pPr>
                    <w:pStyle w:val="5"/>
                    <w:bidi w:val="0"/>
                    <w:rPr>
                      <w:rFonts w:hint="default"/>
                      <w:lang w:val="en-US" w:eastAsia="zh-CN"/>
                    </w:rPr>
                  </w:pPr>
                  <w:r>
                    <w:rPr>
                      <w:rFonts w:hint="eastAsia"/>
                      <w:lang w:val="en-US" w:eastAsia="zh-CN"/>
                    </w:rPr>
                    <w:t>23</w:t>
                  </w:r>
                </w:p>
              </w:tc>
              <w:tc>
                <w:tcPr>
                  <w:tcW w:w="243" w:type="pct"/>
                  <w:tcBorders>
                    <w:tl2br w:val="nil"/>
                    <w:tr2bl w:val="nil"/>
                  </w:tcBorders>
                  <w:noWrap w:val="0"/>
                  <w:vAlign w:val="center"/>
                </w:tcPr>
                <w:p w14:paraId="74ED7C32">
                  <w:pPr>
                    <w:pStyle w:val="5"/>
                    <w:bidi w:val="0"/>
                    <w:rPr>
                      <w:rFonts w:hint="default"/>
                      <w:lang w:val="en-US" w:eastAsia="zh-CN"/>
                    </w:rPr>
                  </w:pPr>
                  <w:r>
                    <w:rPr>
                      <w:rFonts w:hint="eastAsia"/>
                      <w:lang w:val="en-US" w:eastAsia="zh-CN"/>
                    </w:rPr>
                    <w:t>99</w:t>
                  </w:r>
                </w:p>
              </w:tc>
              <w:tc>
                <w:tcPr>
                  <w:tcW w:w="304" w:type="pct"/>
                  <w:tcBorders>
                    <w:tl2br w:val="nil"/>
                    <w:tr2bl w:val="nil"/>
                  </w:tcBorders>
                  <w:noWrap w:val="0"/>
                  <w:vAlign w:val="center"/>
                </w:tcPr>
                <w:p w14:paraId="79F1AF48">
                  <w:pPr>
                    <w:pStyle w:val="5"/>
                    <w:bidi w:val="0"/>
                    <w:rPr>
                      <w:rFonts w:hint="default"/>
                      <w:lang w:val="en-US" w:eastAsia="zh-CN"/>
                    </w:rPr>
                  </w:pPr>
                  <w:r>
                    <w:rPr>
                      <w:rFonts w:hint="eastAsia"/>
                      <w:lang w:val="en-US" w:eastAsia="zh-CN"/>
                    </w:rPr>
                    <w:t>16.5</w:t>
                  </w:r>
                </w:p>
              </w:tc>
              <w:tc>
                <w:tcPr>
                  <w:tcW w:w="459" w:type="pct"/>
                  <w:tcBorders>
                    <w:tl2br w:val="nil"/>
                    <w:tr2bl w:val="nil"/>
                  </w:tcBorders>
                  <w:noWrap w:val="0"/>
                  <w:vAlign w:val="center"/>
                </w:tcPr>
                <w:p w14:paraId="29DDA1D7">
                  <w:pPr>
                    <w:pStyle w:val="5"/>
                    <w:bidi w:val="0"/>
                    <w:rPr>
                      <w:rFonts w:hint="default"/>
                      <w:lang w:val="en-US" w:eastAsia="zh-CN"/>
                    </w:rPr>
                  </w:pPr>
                  <w:r>
                    <w:rPr>
                      <w:rFonts w:hint="eastAsia"/>
                      <w:lang w:val="en-US" w:eastAsia="zh-CN"/>
                    </w:rPr>
                    <w:t>9</w:t>
                  </w:r>
                </w:p>
              </w:tc>
              <w:tc>
                <w:tcPr>
                  <w:tcW w:w="446" w:type="pct"/>
                  <w:tcBorders>
                    <w:tl2br w:val="nil"/>
                    <w:tr2bl w:val="nil"/>
                  </w:tcBorders>
                  <w:noWrap w:val="0"/>
                  <w:vAlign w:val="center"/>
                </w:tcPr>
                <w:p w14:paraId="5FE10302">
                  <w:pPr>
                    <w:pStyle w:val="5"/>
                    <w:bidi w:val="0"/>
                    <w:rPr>
                      <w:rFonts w:hint="default"/>
                      <w:lang w:val="en-US" w:eastAsia="zh-CN"/>
                    </w:rPr>
                  </w:pPr>
                  <w:r>
                    <w:rPr>
                      <w:rFonts w:hint="eastAsia"/>
                      <w:lang w:val="en-US" w:eastAsia="zh-CN"/>
                    </w:rPr>
                    <w:t>15.92</w:t>
                  </w:r>
                </w:p>
              </w:tc>
              <w:tc>
                <w:tcPr>
                  <w:tcW w:w="267" w:type="pct"/>
                  <w:tcBorders>
                    <w:tl2br w:val="nil"/>
                    <w:tr2bl w:val="nil"/>
                  </w:tcBorders>
                  <w:noWrap w:val="0"/>
                  <w:vAlign w:val="center"/>
                </w:tcPr>
                <w:p w14:paraId="5AAC220A">
                  <w:pPr>
                    <w:pStyle w:val="5"/>
                    <w:bidi w:val="0"/>
                    <w:rPr>
                      <w:rFonts w:hint="default"/>
                      <w:lang w:val="en-US" w:eastAsia="zh-CN"/>
                    </w:rPr>
                  </w:pPr>
                  <w:r>
                    <w:rPr>
                      <w:rFonts w:hint="eastAsia"/>
                      <w:lang w:val="en-US" w:eastAsia="zh-CN"/>
                    </w:rPr>
                    <w:t>24h</w:t>
                  </w:r>
                </w:p>
              </w:tc>
              <w:tc>
                <w:tcPr>
                  <w:tcW w:w="446" w:type="pct"/>
                  <w:tcBorders>
                    <w:tl2br w:val="nil"/>
                    <w:tr2bl w:val="nil"/>
                  </w:tcBorders>
                  <w:noWrap w:val="0"/>
                  <w:vAlign w:val="center"/>
                </w:tcPr>
                <w:p w14:paraId="63D469BE">
                  <w:pPr>
                    <w:pStyle w:val="5"/>
                    <w:bidi w:val="0"/>
                    <w:rPr>
                      <w:rFonts w:hint="default"/>
                      <w:lang w:val="en-US" w:eastAsia="zh-CN"/>
                    </w:rPr>
                  </w:pPr>
                  <w:r>
                    <w:rPr>
                      <w:rFonts w:hint="eastAsia"/>
                      <w:lang w:val="en-US" w:eastAsia="zh-CN"/>
                    </w:rPr>
                    <w:t>21</w:t>
                  </w:r>
                </w:p>
              </w:tc>
              <w:tc>
                <w:tcPr>
                  <w:tcW w:w="446" w:type="pct"/>
                  <w:tcBorders>
                    <w:tl2br w:val="nil"/>
                    <w:tr2bl w:val="nil"/>
                  </w:tcBorders>
                  <w:noWrap w:val="0"/>
                  <w:vAlign w:val="center"/>
                </w:tcPr>
                <w:p w14:paraId="050C192F">
                  <w:pPr>
                    <w:pStyle w:val="5"/>
                    <w:bidi w:val="0"/>
                    <w:rPr>
                      <w:rFonts w:hint="default"/>
                      <w:lang w:val="en-US" w:eastAsia="zh-CN"/>
                    </w:rPr>
                  </w:pPr>
                  <w:r>
                    <w:rPr>
                      <w:rFonts w:hint="eastAsia"/>
                      <w:lang w:val="en-US" w:eastAsia="zh-CN"/>
                    </w:rPr>
                    <w:t>/</w:t>
                  </w:r>
                </w:p>
              </w:tc>
              <w:tc>
                <w:tcPr>
                  <w:tcW w:w="271" w:type="pct"/>
                  <w:tcBorders>
                    <w:tl2br w:val="nil"/>
                    <w:tr2bl w:val="nil"/>
                  </w:tcBorders>
                  <w:noWrap w:val="0"/>
                  <w:vAlign w:val="center"/>
                </w:tcPr>
                <w:p w14:paraId="74A1F97A">
                  <w:pPr>
                    <w:pStyle w:val="5"/>
                    <w:bidi w:val="0"/>
                    <w:rPr>
                      <w:rFonts w:hint="default"/>
                      <w:lang w:val="en-US" w:eastAsia="zh-CN"/>
                    </w:rPr>
                  </w:pPr>
                  <w:r>
                    <w:rPr>
                      <w:rFonts w:hint="default"/>
                      <w:lang w:val="en-US" w:eastAsia="zh-CN"/>
                    </w:rPr>
                    <w:t>1</w:t>
                  </w:r>
                </w:p>
              </w:tc>
            </w:tr>
            <w:tr w14:paraId="72E04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5"/>
                  <w:tcBorders>
                    <w:tl2br w:val="nil"/>
                    <w:tr2bl w:val="nil"/>
                  </w:tcBorders>
                  <w:noWrap w:val="0"/>
                  <w:vAlign w:val="center"/>
                </w:tcPr>
                <w:p w14:paraId="0D432AEF">
                  <w:pPr>
                    <w:pStyle w:val="5"/>
                    <w:bidi w:val="0"/>
                    <w:jc w:val="both"/>
                    <w:rPr>
                      <w:rFonts w:hint="eastAsia"/>
                      <w:lang w:val="en-US" w:eastAsia="zh-CN"/>
                    </w:rPr>
                  </w:pPr>
                  <w:r>
                    <w:rPr>
                      <w:rFonts w:hint="eastAsia"/>
                      <w:lang w:val="en-US" w:eastAsia="zh-CN"/>
                    </w:rPr>
                    <w:t>注：</w:t>
                  </w:r>
                  <w:r>
                    <w:rPr>
                      <w:rFonts w:hint="eastAsia"/>
                      <w:sz w:val="21"/>
                      <w:szCs w:val="21"/>
                      <w:lang w:val="en-US" w:eastAsia="zh-CN"/>
                    </w:rPr>
                    <w:t>点胶机和固化箱声源源强值为多台同类设备声源叠加后的值；厂房建筑隔声量</w:t>
                  </w:r>
                  <w:r>
                    <w:rPr>
                      <w:rFonts w:hint="eastAsia"/>
                      <w:lang w:val="en-US" w:eastAsia="zh-CN"/>
                    </w:rPr>
                    <w:t>取值为15</w:t>
                  </w:r>
                  <w:r>
                    <w:rPr>
                      <w:rFonts w:hint="eastAsia"/>
                      <w:b w:val="0"/>
                      <w:bCs w:val="0"/>
                      <w:lang w:val="zh-CN" w:eastAsia="zh-CN"/>
                    </w:rPr>
                    <w:t>dB</w:t>
                  </w:r>
                  <w:r>
                    <w:rPr>
                      <w:rFonts w:hint="eastAsia"/>
                      <w:b/>
                      <w:bCs/>
                      <w:lang w:val="zh-CN" w:eastAsia="zh-CN"/>
                    </w:rPr>
                    <w:t>。</w:t>
                  </w:r>
                  <w:r>
                    <w:rPr>
                      <w:rFonts w:hint="eastAsia"/>
                      <w:b w:val="0"/>
                      <w:color w:val="auto"/>
                      <w:sz w:val="21"/>
                      <w:szCs w:val="21"/>
                    </w:rPr>
                    <w:t>表中坐标以</w:t>
                  </w:r>
                  <w:r>
                    <w:rPr>
                      <w:rFonts w:hint="eastAsia"/>
                      <w:b w:val="0"/>
                      <w:color w:val="auto"/>
                      <w:sz w:val="21"/>
                      <w:szCs w:val="21"/>
                      <w:lang w:val="en-US" w:eastAsia="zh-CN"/>
                    </w:rPr>
                    <w:t>项目所在车间</w:t>
                  </w:r>
                  <w:r>
                    <w:rPr>
                      <w:rFonts w:hint="eastAsia"/>
                      <w:b w:val="0"/>
                      <w:color w:val="auto"/>
                      <w:sz w:val="21"/>
                      <w:szCs w:val="21"/>
                    </w:rPr>
                    <w:t>西南角为坐标原点，正东向为X轴正方向，正北向为Y轴正方向。</w:t>
                  </w:r>
                </w:p>
              </w:tc>
            </w:tr>
          </w:tbl>
          <w:p w14:paraId="54D3C177">
            <w:pPr>
              <w:pStyle w:val="38"/>
              <w:ind w:firstLine="480"/>
              <w:rPr>
                <w:rFonts w:hint="eastAsia"/>
                <w:b/>
                <w:bCs/>
                <w:color w:val="auto"/>
              </w:rPr>
            </w:pPr>
            <w:r>
              <w:rPr>
                <w:b/>
                <w:bCs/>
                <w:color w:val="auto"/>
              </w:rPr>
              <w:t>（</w:t>
            </w:r>
            <w:r>
              <w:rPr>
                <w:rFonts w:hint="eastAsia"/>
                <w:b/>
                <w:bCs/>
                <w:color w:val="auto"/>
              </w:rPr>
              <w:t>2）拟采取的</w:t>
            </w:r>
            <w:r>
              <w:rPr>
                <w:rFonts w:hint="default"/>
                <w:b/>
                <w:bCs/>
                <w:color w:val="auto"/>
              </w:rPr>
              <w:t>噪声</w:t>
            </w:r>
            <w:r>
              <w:rPr>
                <w:rFonts w:hint="eastAsia"/>
                <w:b/>
                <w:bCs/>
                <w:color w:val="auto"/>
              </w:rPr>
              <w:t>治理措施</w:t>
            </w:r>
          </w:p>
          <w:p w14:paraId="14C6B0E6">
            <w:pPr>
              <w:pStyle w:val="38"/>
              <w:ind w:firstLine="480"/>
              <w:rPr>
                <w:rFonts w:hint="eastAsia"/>
                <w:color w:val="auto"/>
                <w:lang w:eastAsia="zh-CN"/>
              </w:rPr>
            </w:pPr>
            <w:r>
              <w:rPr>
                <w:color w:val="auto"/>
              </w:rPr>
              <w:t>①声源降噪：设备选型上选用先进的、</w:t>
            </w:r>
            <w:r>
              <w:rPr>
                <w:rFonts w:hint="eastAsia"/>
                <w:color w:val="auto"/>
                <w:lang w:eastAsia="zh-CN"/>
              </w:rPr>
              <w:t>噪声</w:t>
            </w:r>
            <w:r>
              <w:rPr>
                <w:color w:val="auto"/>
              </w:rPr>
              <w:t>低、</w:t>
            </w:r>
            <w:r>
              <w:rPr>
                <w:rFonts w:hint="eastAsia"/>
                <w:color w:val="auto"/>
                <w:lang w:eastAsia="zh-CN"/>
              </w:rPr>
              <w:t>振动</w:t>
            </w:r>
            <w:r>
              <w:rPr>
                <w:color w:val="auto"/>
              </w:rPr>
              <w:t>小的生产设备</w:t>
            </w:r>
            <w:r>
              <w:rPr>
                <w:rFonts w:hint="eastAsia"/>
                <w:color w:val="auto"/>
                <w:lang w:eastAsia="zh-CN"/>
              </w:rPr>
              <w:t>；</w:t>
            </w:r>
          </w:p>
          <w:p w14:paraId="229C977F">
            <w:pPr>
              <w:pStyle w:val="38"/>
              <w:ind w:firstLine="480"/>
              <w:rPr>
                <w:color w:val="auto"/>
              </w:rPr>
            </w:pPr>
            <w:r>
              <w:rPr>
                <w:color w:val="auto"/>
              </w:rPr>
              <w:t>②厂房隔声：所有产噪设备均安装在生产车间内，经过厂房隔声可使厂房外声源噪声降低15dB（A）以上</w:t>
            </w:r>
            <w:r>
              <w:rPr>
                <w:rFonts w:hint="eastAsia"/>
                <w:color w:val="auto"/>
              </w:rPr>
              <w:t>；</w:t>
            </w:r>
          </w:p>
          <w:p w14:paraId="448732C4">
            <w:pPr>
              <w:pStyle w:val="38"/>
              <w:ind w:firstLine="480"/>
              <w:rPr>
                <w:color w:val="auto"/>
              </w:rPr>
            </w:pPr>
            <w:r>
              <w:rPr>
                <w:color w:val="auto"/>
              </w:rPr>
              <w:t>③建立设备定期维护、保养的管理制度，以防止设备故障形成的非正常生产噪声，同时确保环保措施发挥</w:t>
            </w:r>
            <w:r>
              <w:rPr>
                <w:rFonts w:hint="eastAsia"/>
                <w:color w:val="auto"/>
                <w:lang w:eastAsia="zh-CN"/>
              </w:rPr>
              <w:t>最</w:t>
            </w:r>
            <w:r>
              <w:rPr>
                <w:color w:val="auto"/>
              </w:rPr>
              <w:t>有效的功能；加强职工环保意识教育，提倡文明生产，防止人为噪声，最大限度减少流动噪声源。</w:t>
            </w:r>
          </w:p>
          <w:p w14:paraId="69460DF5">
            <w:pPr>
              <w:pStyle w:val="38"/>
              <w:ind w:firstLine="480"/>
              <w:rPr>
                <w:b/>
                <w:bCs/>
                <w:color w:val="auto"/>
              </w:rPr>
            </w:pPr>
            <w:r>
              <w:rPr>
                <w:rFonts w:hint="eastAsia"/>
                <w:b/>
                <w:bCs/>
                <w:color w:val="auto"/>
              </w:rPr>
              <w:t>（3）</w:t>
            </w:r>
            <w:r>
              <w:rPr>
                <w:b/>
                <w:bCs/>
                <w:color w:val="auto"/>
              </w:rPr>
              <w:t>声环境影响分析</w:t>
            </w:r>
          </w:p>
          <w:p w14:paraId="3B99221D">
            <w:pPr>
              <w:pStyle w:val="38"/>
              <w:ind w:firstLine="480"/>
              <w:rPr>
                <w:color w:val="auto"/>
              </w:rPr>
            </w:pPr>
            <w:r>
              <w:rPr>
                <w:color w:val="auto"/>
              </w:rPr>
              <w:t>根据《环境影响评价技术导则声环境》（HJ2.4-2021），本次环评把声源简化成点声源</w:t>
            </w:r>
            <w:r>
              <w:rPr>
                <w:rFonts w:hint="eastAsia"/>
                <w:color w:val="auto"/>
                <w:lang w:eastAsia="zh-CN"/>
              </w:rPr>
              <w:t>（</w:t>
            </w:r>
            <w:r>
              <w:rPr>
                <w:rFonts w:hint="eastAsia"/>
                <w:color w:val="auto"/>
                <w:lang w:val="en-US" w:eastAsia="zh-CN"/>
              </w:rPr>
              <w:t>室内</w:t>
            </w:r>
            <w:r>
              <w:rPr>
                <w:rFonts w:hint="eastAsia"/>
                <w:color w:val="auto"/>
                <w:lang w:eastAsia="zh-CN"/>
              </w:rPr>
              <w:t>）</w:t>
            </w:r>
            <w:r>
              <w:rPr>
                <w:color w:val="auto"/>
              </w:rPr>
              <w:t>，采用工业噪声预测计算模式。</w:t>
            </w:r>
          </w:p>
          <w:p w14:paraId="766E4D26">
            <w:pPr>
              <w:pStyle w:val="38"/>
              <w:ind w:firstLine="480"/>
              <w:rPr>
                <w:color w:val="auto"/>
              </w:rPr>
            </w:pPr>
            <w:r>
              <w:rPr>
                <w:color w:val="auto"/>
              </w:rPr>
              <w:t>①室</w:t>
            </w:r>
            <w:r>
              <w:rPr>
                <w:rFonts w:hint="eastAsia"/>
                <w:color w:val="auto"/>
                <w:lang w:val="en-US" w:eastAsia="zh-CN"/>
              </w:rPr>
              <w:t>内</w:t>
            </w:r>
            <w:r>
              <w:rPr>
                <w:color w:val="auto"/>
              </w:rPr>
              <w:t>声源</w:t>
            </w:r>
          </w:p>
          <w:p w14:paraId="068530E2">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声源位于室内，室内声源可采用等效室外声源声功率级法进行计算。设靠近开口处（或窗户）室内、室外某倍频带的声压级分别为L</w:t>
            </w:r>
            <w:r>
              <w:rPr>
                <w:rFonts w:ascii="Times New Roman" w:hAnsi="Times New Roman" w:eastAsia="宋体" w:cs="Times New Roman"/>
                <w:color w:val="auto"/>
                <w:kern w:val="24"/>
                <w:sz w:val="24"/>
                <w:vertAlign w:val="subscript"/>
                <w:lang w:val="en-US" w:eastAsia="zh-CN" w:bidi="ar-SA"/>
              </w:rPr>
              <w:t>p1</w:t>
            </w:r>
            <w:r>
              <w:rPr>
                <w:rFonts w:ascii="Times New Roman" w:hAnsi="Times New Roman" w:eastAsia="宋体" w:cs="Times New Roman"/>
                <w:color w:val="auto"/>
                <w:kern w:val="24"/>
                <w:sz w:val="24"/>
                <w:lang w:val="en-US" w:eastAsia="zh-CN" w:bidi="ar-SA"/>
              </w:rPr>
              <w:t>和L</w:t>
            </w:r>
            <w:r>
              <w:rPr>
                <w:rFonts w:ascii="Times New Roman" w:hAnsi="Times New Roman" w:eastAsia="宋体" w:cs="Times New Roman"/>
                <w:color w:val="auto"/>
                <w:kern w:val="24"/>
                <w:sz w:val="24"/>
                <w:vertAlign w:val="subscript"/>
                <w:lang w:val="en-US" w:eastAsia="zh-CN" w:bidi="ar-SA"/>
              </w:rPr>
              <w:t>p2</w:t>
            </w:r>
            <w:r>
              <w:rPr>
                <w:rFonts w:ascii="Times New Roman" w:hAnsi="Times New Roman" w:eastAsia="宋体" w:cs="Times New Roman"/>
                <w:color w:val="auto"/>
                <w:kern w:val="24"/>
                <w:sz w:val="24"/>
                <w:lang w:val="en-US" w:eastAsia="zh-CN" w:bidi="ar-SA"/>
              </w:rPr>
              <w:t>，若声源所在室内声场为近似扩散声场，则室外倍频带声压级按下式计算：</w:t>
            </w:r>
          </w:p>
          <w:p w14:paraId="5A8A4855">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p2</w:t>
            </w: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p1</w:t>
            </w:r>
            <w:r>
              <w:rPr>
                <w:rFonts w:ascii="Times New Roman" w:hAnsi="Times New Roman" w:eastAsia="宋体" w:cs="Times New Roman"/>
                <w:color w:val="auto"/>
                <w:kern w:val="24"/>
                <w:sz w:val="24"/>
                <w:lang w:val="en-US" w:eastAsia="zh-CN" w:bidi="ar-SA"/>
              </w:rPr>
              <w:t>−</w:t>
            </w:r>
            <w:r>
              <w:rPr>
                <w:rFonts w:hint="eastAsia"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TL+6</w:t>
            </w:r>
            <w:r>
              <w:rPr>
                <w:rFonts w:hint="eastAsia" w:cs="Times New Roman"/>
                <w:color w:val="auto"/>
                <w:kern w:val="24"/>
                <w:sz w:val="24"/>
                <w:lang w:val="en-US" w:eastAsia="zh-CN" w:bidi="ar-SA"/>
              </w:rPr>
              <w:t>)</w:t>
            </w:r>
          </w:p>
          <w:p w14:paraId="56FA008B">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p1</w:t>
            </w:r>
            <w:r>
              <w:rPr>
                <w:rFonts w:ascii="Times New Roman" w:hAnsi="Times New Roman" w:eastAsia="宋体" w:cs="Times New Roman"/>
                <w:color w:val="auto"/>
                <w:kern w:val="24"/>
                <w:sz w:val="24"/>
                <w:lang w:val="en-US" w:eastAsia="zh-CN" w:bidi="ar-SA"/>
              </w:rPr>
              <w:t>——靠近开口处（或窗户）室内某倍频带的声压级或A声级，dB；</w:t>
            </w:r>
          </w:p>
          <w:p w14:paraId="3937DE50">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p2</w:t>
            </w:r>
            <w:r>
              <w:rPr>
                <w:rFonts w:ascii="Times New Roman" w:hAnsi="Times New Roman" w:eastAsia="宋体" w:cs="Times New Roman"/>
                <w:color w:val="auto"/>
                <w:kern w:val="24"/>
                <w:sz w:val="24"/>
                <w:lang w:val="en-US" w:eastAsia="zh-CN" w:bidi="ar-SA"/>
              </w:rPr>
              <w:t>——靠近开口处（或窗户）室外某倍频带的声压级或A声级，dB；</w:t>
            </w:r>
          </w:p>
          <w:p w14:paraId="12E00950">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TL——隔墙（或窗户）倍频带或A声级的隔声量，dB。</w:t>
            </w:r>
          </w:p>
          <w:p w14:paraId="4E147154">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drawing>
                <wp:inline distT="0" distB="0" distL="114300" distR="114300">
                  <wp:extent cx="3823970" cy="1327150"/>
                  <wp:effectExtent l="0" t="0" r="5080" b="635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6"/>
                          <a:stretch>
                            <a:fillRect/>
                          </a:stretch>
                        </pic:blipFill>
                        <pic:spPr>
                          <a:xfrm>
                            <a:off x="0" y="0"/>
                            <a:ext cx="3823970" cy="1327150"/>
                          </a:xfrm>
                          <a:prstGeom prst="rect">
                            <a:avLst/>
                          </a:prstGeom>
                          <a:noFill/>
                          <a:ln>
                            <a:noFill/>
                          </a:ln>
                        </pic:spPr>
                      </pic:pic>
                    </a:graphicData>
                  </a:graphic>
                </wp:inline>
              </w:drawing>
            </w:r>
          </w:p>
          <w:p w14:paraId="2D08BF66">
            <w:pPr>
              <w:widowControl w:val="0"/>
              <w:wordWrap w:val="0"/>
              <w:spacing w:line="360" w:lineRule="auto"/>
              <w:ind w:firstLine="0" w:firstLineChars="0"/>
              <w:jc w:val="center"/>
              <w:rPr>
                <w:rFonts w:ascii="Times New Roman" w:hAnsi="Times New Roman" w:eastAsia="黑体" w:cs="Times New Roman"/>
                <w:color w:val="auto"/>
                <w:kern w:val="2"/>
                <w:sz w:val="24"/>
                <w:lang w:val="zh-CN" w:eastAsia="zh-CN" w:bidi="ar-SA"/>
              </w:rPr>
            </w:pPr>
            <w:r>
              <w:rPr>
                <w:rFonts w:hint="eastAsia" w:ascii="Times New Roman" w:hAnsi="Times New Roman" w:eastAsia="黑体" w:cs="Times New Roman"/>
                <w:color w:val="auto"/>
                <w:kern w:val="2"/>
                <w:sz w:val="24"/>
                <w:lang w:val="zh-CN" w:eastAsia="zh-CN" w:bidi="ar-SA"/>
              </w:rPr>
              <w:t>图4-</w:t>
            </w:r>
            <w:r>
              <w:rPr>
                <w:rFonts w:hint="eastAsia" w:ascii="Times New Roman" w:hAnsi="Times New Roman" w:eastAsia="黑体" w:cs="Times New Roman"/>
                <w:color w:val="auto"/>
                <w:kern w:val="2"/>
                <w:sz w:val="24"/>
                <w:lang w:val="en-US" w:eastAsia="zh-CN" w:bidi="ar-SA"/>
              </w:rPr>
              <w:t xml:space="preserve">2  </w:t>
            </w:r>
            <w:r>
              <w:rPr>
                <w:rFonts w:hint="eastAsia" w:ascii="Times New Roman" w:hAnsi="Times New Roman" w:eastAsia="黑体" w:cs="Times New Roman"/>
                <w:color w:val="auto"/>
                <w:kern w:val="2"/>
                <w:sz w:val="24"/>
                <w:lang w:val="zh-CN" w:eastAsia="zh-CN" w:bidi="ar-SA"/>
              </w:rPr>
              <w:t>室内声源等效为室外声源图例</w:t>
            </w:r>
          </w:p>
          <w:p w14:paraId="086CB443">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某一室内声源靠近围护结构处产生的倍频带声压级或A声级按下式计算：</w:t>
            </w:r>
          </w:p>
          <w:p w14:paraId="7007A368">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object>
                <v:shape id="_x0000_i1031" o:spt="75" type="#_x0000_t75" style="height:35pt;width:140.5pt;" o:ole="t" filled="f" o:preferrelative="t" stroked="f" coordsize="21600,21600">
                  <v:path/>
                  <v:fill on="f" focussize="0,0"/>
                  <v:stroke on="f" joinstyle="miter"/>
                  <v:imagedata r:id="rId38" o:title=""/>
                  <o:lock v:ext="edit" aspectratio="t"/>
                  <w10:wrap type="none"/>
                  <w10:anchorlock/>
                </v:shape>
                <o:OLEObject Type="Embed" ProgID="Equation.DSMT4" ShapeID="_x0000_i1031" DrawAspect="Content" ObjectID="_1468075731" r:id="rId37">
                  <o:LockedField>false</o:LockedField>
                </o:OLEObject>
              </w:object>
            </w:r>
          </w:p>
          <w:p w14:paraId="6B6EAB3F">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p1</w:t>
            </w:r>
            <w:r>
              <w:rPr>
                <w:rFonts w:ascii="Times New Roman" w:hAnsi="Times New Roman" w:eastAsia="宋体" w:cs="Times New Roman"/>
                <w:color w:val="auto"/>
                <w:kern w:val="24"/>
                <w:sz w:val="24"/>
                <w:lang w:val="en-US" w:eastAsia="zh-CN" w:bidi="ar-SA"/>
              </w:rPr>
              <w:t>——靠近开口处（或窗户）室内某倍频带的声压级或A声级，dB；</w:t>
            </w:r>
          </w:p>
          <w:p w14:paraId="37799F54">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w</w:t>
            </w:r>
            <w:r>
              <w:rPr>
                <w:rFonts w:ascii="Times New Roman" w:hAnsi="Times New Roman" w:eastAsia="宋体" w:cs="Times New Roman"/>
                <w:color w:val="auto"/>
                <w:kern w:val="24"/>
                <w:sz w:val="24"/>
                <w:lang w:val="en-US" w:eastAsia="zh-CN" w:bidi="ar-SA"/>
              </w:rPr>
              <w:t>——点声源声功率级（A计权或倍频带），dB；</w:t>
            </w:r>
          </w:p>
          <w:p w14:paraId="3C3CC5BB">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Q——指向性因数；通常对无指向性声源，当声源放在房间中心时，Q=1；当放在一面墙的中心时，Q=2；当放在两面墙夹角处时，Q=4；当放在三面墙夹角处时，Q=8；</w:t>
            </w:r>
          </w:p>
          <w:p w14:paraId="75ED6403">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R——房间常数；R=Sα/（1-α），S为房间内表面面积，m</w:t>
            </w:r>
            <w:r>
              <w:rPr>
                <w:rFonts w:ascii="Times New Roman" w:hAnsi="Times New Roman" w:eastAsia="宋体" w:cs="Times New Roman"/>
                <w:color w:val="auto"/>
                <w:kern w:val="24"/>
                <w:sz w:val="24"/>
                <w:vertAlign w:val="superscript"/>
                <w:lang w:val="en-US" w:eastAsia="zh-CN" w:bidi="ar-SA"/>
              </w:rPr>
              <w:t>2</w:t>
            </w:r>
            <w:r>
              <w:rPr>
                <w:rFonts w:ascii="Times New Roman" w:hAnsi="Times New Roman" w:eastAsia="宋体" w:cs="Times New Roman"/>
                <w:color w:val="auto"/>
                <w:kern w:val="24"/>
                <w:sz w:val="24"/>
                <w:lang w:val="en-US" w:eastAsia="zh-CN" w:bidi="ar-SA"/>
              </w:rPr>
              <w:t>；α为平均吸声系数；</w:t>
            </w:r>
          </w:p>
          <w:p w14:paraId="3E9BEBD5">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r——声源到靠近围栏结构某点处的距离，m。</w:t>
            </w:r>
          </w:p>
          <w:p w14:paraId="57325B13">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然后计算出所有室内声源在围护结构处产生的i倍频带叠加声压级：</w:t>
            </w:r>
          </w:p>
          <w:p w14:paraId="3137389C">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object>
                <v:shape id="_x0000_i1032" o:spt="75" type="#_x0000_t75" style="height:34pt;width:121.5pt;" o:ole="t" filled="f" o:preferrelative="t" stroked="f" coordsize="21600,21600">
                  <v:path/>
                  <v:fill on="f" focussize="0,0"/>
                  <v:stroke on="f" joinstyle="miter"/>
                  <v:imagedata r:id="rId40" o:title=""/>
                  <o:lock v:ext="edit" aspectratio="t"/>
                  <w10:wrap type="none"/>
                  <w10:anchorlock/>
                </v:shape>
                <o:OLEObject Type="Embed" ProgID="Equation.DSMT4" ShapeID="_x0000_i1032" DrawAspect="Content" ObjectID="_1468075732" r:id="rId39">
                  <o:LockedField>false</o:LockedField>
                </o:OLEObject>
              </w:object>
            </w:r>
          </w:p>
          <w:p w14:paraId="44C59662">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pli</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T</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——靠近围护结构处室内N个声源i倍频带的叠加声压级，dB；</w:t>
            </w:r>
          </w:p>
          <w:p w14:paraId="1DD55BCB">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plij</w:t>
            </w:r>
            <w:r>
              <w:rPr>
                <w:rFonts w:ascii="Times New Roman" w:hAnsi="Times New Roman" w:eastAsia="宋体" w:cs="Times New Roman"/>
                <w:color w:val="auto"/>
                <w:kern w:val="24"/>
                <w:sz w:val="24"/>
                <w:lang w:val="en-US" w:eastAsia="zh-CN" w:bidi="ar-SA"/>
              </w:rPr>
              <w:t>——室内j声源i倍频带的声压级，dB；</w:t>
            </w:r>
          </w:p>
          <w:p w14:paraId="4135F52B">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N——室内声源总数。</w:t>
            </w:r>
          </w:p>
          <w:p w14:paraId="763C78EE">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在室内近似为扩散声场时，按下式计算出靠近室外围护结构处的声压级：</w:t>
            </w:r>
          </w:p>
          <w:p w14:paraId="5894142D">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object>
                <v:shape id="_x0000_i1033" o:spt="75" type="#_x0000_t75" style="height:21pt;width:157pt;" o:ole="t" filled="f" o:preferrelative="t" stroked="f" coordsize="21600,21600">
                  <v:path/>
                  <v:fill on="f" focussize="0,0"/>
                  <v:stroke on="f" joinstyle="miter"/>
                  <v:imagedata r:id="rId42" o:title=""/>
                  <o:lock v:ext="edit" aspectratio="t"/>
                  <w10:wrap type="none"/>
                  <w10:anchorlock/>
                </v:shape>
                <o:OLEObject Type="Embed" ProgID="Equation.DSMT4" ShapeID="_x0000_i1033" DrawAspect="Content" ObjectID="_1468075733" r:id="rId41">
                  <o:LockedField>false</o:LockedField>
                </o:OLEObject>
              </w:object>
            </w:r>
          </w:p>
          <w:p w14:paraId="708A807C">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p2i</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T</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——靠近围护结构处室外N个声源i倍频带的叠加声压级，dB；</w:t>
            </w:r>
          </w:p>
          <w:p w14:paraId="54DD6974">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pli</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T</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——靠近围护结构处室内N个声源i倍频带的叠加声压级，dB；</w:t>
            </w:r>
          </w:p>
          <w:p w14:paraId="40DD5179">
            <w:pPr>
              <w:widowControl w:val="0"/>
              <w:wordWrap/>
              <w:spacing w:line="360" w:lineRule="auto"/>
              <w:ind w:firstLine="1200" w:firstLineChars="500"/>
              <w:jc w:val="both"/>
              <w:rPr>
                <w:rFonts w:ascii="Times New Roman" w:hAnsi="Times New Roman" w:eastAsia="宋体" w:cs="Times New Roman"/>
                <w:color w:val="auto"/>
                <w:kern w:val="24"/>
                <w:sz w:val="24"/>
                <w:highlight w:val="none"/>
                <w:lang w:val="en-US" w:eastAsia="zh-CN" w:bidi="ar-SA"/>
              </w:rPr>
            </w:pPr>
            <w:r>
              <w:rPr>
                <w:rFonts w:ascii="Times New Roman" w:hAnsi="Times New Roman" w:eastAsia="宋体" w:cs="Times New Roman"/>
                <w:color w:val="auto"/>
                <w:kern w:val="24"/>
                <w:sz w:val="24"/>
                <w:lang w:val="en-US" w:eastAsia="zh-CN" w:bidi="ar-SA"/>
              </w:rPr>
              <w:t>TL</w:t>
            </w:r>
            <w:r>
              <w:rPr>
                <w:rFonts w:ascii="Times New Roman" w:hAnsi="Times New Roman" w:eastAsia="宋体" w:cs="Times New Roman"/>
                <w:color w:val="auto"/>
                <w:kern w:val="24"/>
                <w:sz w:val="24"/>
                <w:vertAlign w:val="subscript"/>
                <w:lang w:val="en-US" w:eastAsia="zh-CN" w:bidi="ar-SA"/>
              </w:rPr>
              <w:t>i</w:t>
            </w:r>
            <w:r>
              <w:rPr>
                <w:rFonts w:ascii="Times New Roman" w:hAnsi="Times New Roman" w:eastAsia="宋体" w:cs="Times New Roman"/>
                <w:color w:val="auto"/>
                <w:kern w:val="24"/>
                <w:sz w:val="24"/>
                <w:lang w:val="en-US" w:eastAsia="zh-CN" w:bidi="ar-SA"/>
              </w:rPr>
              <w:t>——围护结构i倍频带的隔声量，dB；</w:t>
            </w:r>
            <w:r>
              <w:rPr>
                <w:rFonts w:hint="eastAsia" w:ascii="Times New Roman" w:hAnsi="Times New Roman" w:eastAsia="宋体" w:cs="Times New Roman"/>
                <w:color w:val="auto"/>
                <w:kern w:val="24"/>
                <w:sz w:val="24"/>
                <w:lang w:val="en-US" w:eastAsia="zh-CN" w:bidi="ar-SA"/>
              </w:rPr>
              <w:t>本项目厂房为</w:t>
            </w:r>
            <w:r>
              <w:rPr>
                <w:rFonts w:hint="eastAsia" w:cs="Times New Roman"/>
                <w:color w:val="auto"/>
                <w:kern w:val="24"/>
                <w:sz w:val="24"/>
                <w:lang w:val="en-US" w:eastAsia="zh-CN" w:bidi="ar-SA"/>
              </w:rPr>
              <w:t>混凝土墙面</w:t>
            </w:r>
            <w:r>
              <w:rPr>
                <w:rFonts w:hint="eastAsia" w:ascii="Times New Roman" w:hAnsi="Times New Roman" w:eastAsia="宋体" w:cs="Times New Roman"/>
                <w:color w:val="auto"/>
                <w:kern w:val="24"/>
                <w:sz w:val="24"/>
                <w:lang w:val="en-US" w:eastAsia="zh-CN" w:bidi="ar-SA"/>
              </w:rPr>
              <w:t>，参考《环境工程手册 环境噪声控制卷》及同类工程经验，隔声量取值约为</w:t>
            </w:r>
            <w:r>
              <w:rPr>
                <w:rFonts w:hint="eastAsia" w:cs="Times New Roman"/>
                <w:color w:val="auto"/>
                <w:kern w:val="24"/>
                <w:sz w:val="24"/>
                <w:lang w:val="en-US" w:eastAsia="zh-CN" w:bidi="ar-SA"/>
              </w:rPr>
              <w:t>15</w:t>
            </w:r>
            <w:r>
              <w:rPr>
                <w:rFonts w:hint="eastAsia" w:ascii="Times New Roman" w:hAnsi="Times New Roman" w:eastAsia="宋体" w:cs="Times New Roman"/>
                <w:color w:val="auto"/>
                <w:kern w:val="24"/>
                <w:sz w:val="24"/>
                <w:lang w:val="en-US" w:eastAsia="zh-CN" w:bidi="ar-SA"/>
              </w:rPr>
              <w:t>dB</w:t>
            </w:r>
            <w:r>
              <w:rPr>
                <w:rFonts w:hint="eastAsia" w:cs="Times New Roman"/>
                <w:color w:val="auto"/>
                <w:kern w:val="24"/>
                <w:sz w:val="24"/>
                <w:lang w:val="en-US" w:eastAsia="zh-CN" w:bidi="ar-SA"/>
              </w:rPr>
              <w:t>。</w:t>
            </w:r>
          </w:p>
          <w:p w14:paraId="44BD6587">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将室外声源的声压级和透过面积换算成等效的室外声源，计算出中心位置位于透声面积处的等效声源的倍频带声功率级</w:t>
            </w:r>
            <w:r>
              <w:rPr>
                <w:rFonts w:ascii="Times New Roman" w:hAnsi="Times New Roman" w:eastAsia="宋体" w:cs="Times New Roman"/>
                <w:color w:val="auto"/>
                <w:kern w:val="24"/>
                <w:sz w:val="24"/>
                <w:lang w:val="en-US" w:eastAsia="zh-CN" w:bidi="ar-SA"/>
              </w:rPr>
              <w:softHyphen/>
            </w:r>
            <w:r>
              <w:rPr>
                <w:rFonts w:ascii="Times New Roman" w:hAnsi="Times New Roman" w:eastAsia="宋体" w:cs="Times New Roman"/>
                <w:color w:val="auto"/>
                <w:kern w:val="24"/>
                <w:sz w:val="24"/>
                <w:lang w:val="en-US" w:eastAsia="zh-CN" w:bidi="ar-SA"/>
              </w:rPr>
              <w:softHyphen/>
            </w:r>
            <w:r>
              <w:rPr>
                <w:rFonts w:ascii="Times New Roman" w:hAnsi="Times New Roman" w:eastAsia="宋体" w:cs="Times New Roman"/>
                <w:color w:val="auto"/>
                <w:kern w:val="24"/>
                <w:sz w:val="24"/>
                <w:lang w:val="en-US" w:eastAsia="zh-CN" w:bidi="ar-SA"/>
              </w:rPr>
              <w:t>：</w:t>
            </w:r>
          </w:p>
          <w:p w14:paraId="687F1291">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object>
                <v:shape id="_x0000_i1034" o:spt="75" type="#_x0000_t75" style="height:22pt;width:119pt;" o:ole="t" filled="f" o:preferrelative="t" stroked="f" coordsize="21600,21600">
                  <v:path/>
                  <v:fill on="f" focussize="0,0"/>
                  <v:stroke on="f" joinstyle="miter"/>
                  <v:imagedata r:id="rId44" o:title=""/>
                  <o:lock v:ext="edit" aspectratio="t"/>
                  <w10:wrap type="none"/>
                  <w10:anchorlock/>
                </v:shape>
                <o:OLEObject Type="Embed" ProgID="Equation.DSMT4" ShapeID="_x0000_i1034" DrawAspect="Content" ObjectID="_1468075734" r:id="rId43">
                  <o:LockedField>false</o:LockedField>
                </o:OLEObject>
              </w:object>
            </w:r>
          </w:p>
          <w:p w14:paraId="65A334E9">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w</w:t>
            </w:r>
            <w:r>
              <w:rPr>
                <w:rFonts w:ascii="Times New Roman" w:hAnsi="Times New Roman" w:eastAsia="宋体" w:cs="Times New Roman"/>
                <w:color w:val="auto"/>
                <w:kern w:val="24"/>
                <w:sz w:val="24"/>
                <w:lang w:val="en-US" w:eastAsia="zh-CN" w:bidi="ar-SA"/>
              </w:rPr>
              <w:t>——靠近围护结构处室外N个声源i倍频带的叠加声压级，dB；</w:t>
            </w:r>
          </w:p>
          <w:p w14:paraId="5670EDBE">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p2</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T</w:t>
            </w:r>
            <w:r>
              <w:rPr>
                <w:rFonts w:hint="eastAsia" w:ascii="Times New Roman" w:hAnsi="Times New Roman" w:eastAsia="宋体" w:cs="Times New Roman"/>
                <w:color w:val="auto"/>
                <w:kern w:val="24"/>
                <w:sz w:val="24"/>
                <w:lang w:val="en-US" w:eastAsia="zh-CN" w:bidi="ar-SA"/>
              </w:rPr>
              <w:t>）</w:t>
            </w:r>
            <w:r>
              <w:rPr>
                <w:rFonts w:ascii="Times New Roman" w:hAnsi="Times New Roman" w:eastAsia="宋体" w:cs="Times New Roman"/>
                <w:color w:val="auto"/>
                <w:kern w:val="24"/>
                <w:sz w:val="24"/>
                <w:lang w:val="en-US" w:eastAsia="zh-CN" w:bidi="ar-SA"/>
              </w:rPr>
              <w:t>——靠近围护结构处室内N个声源i倍频带的叠加声压级，dB；</w:t>
            </w:r>
          </w:p>
          <w:p w14:paraId="06E49FD2">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S——透声面积，m</w:t>
            </w:r>
            <w:r>
              <w:rPr>
                <w:rFonts w:ascii="Times New Roman" w:hAnsi="Times New Roman" w:eastAsia="宋体" w:cs="Times New Roman"/>
                <w:color w:val="auto"/>
                <w:kern w:val="24"/>
                <w:sz w:val="24"/>
                <w:vertAlign w:val="superscript"/>
                <w:lang w:val="en-US" w:eastAsia="zh-CN" w:bidi="ar-SA"/>
              </w:rPr>
              <w:t>2</w:t>
            </w:r>
            <w:r>
              <w:rPr>
                <w:rFonts w:ascii="Times New Roman" w:hAnsi="Times New Roman" w:eastAsia="宋体" w:cs="Times New Roman"/>
                <w:color w:val="auto"/>
                <w:kern w:val="24"/>
                <w:sz w:val="24"/>
                <w:lang w:val="en-US" w:eastAsia="zh-CN" w:bidi="ar-SA"/>
              </w:rPr>
              <w:t>。</w:t>
            </w:r>
          </w:p>
          <w:p w14:paraId="7A0425C2">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然后按室外声源预测方法计算预测点处的A声级。</w:t>
            </w:r>
          </w:p>
          <w:p w14:paraId="6A8FF74E">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hint="eastAsia" w:cs="Times New Roman"/>
                <w:color w:val="auto"/>
                <w:kern w:val="24"/>
                <w:sz w:val="24"/>
                <w:lang w:val="en-US" w:eastAsia="zh-CN" w:bidi="ar-SA"/>
              </w:rPr>
              <w:t>②</w:t>
            </w:r>
            <w:r>
              <w:rPr>
                <w:rFonts w:ascii="Times New Roman" w:hAnsi="Times New Roman" w:eastAsia="宋体" w:cs="Times New Roman"/>
                <w:color w:val="auto"/>
                <w:kern w:val="24"/>
                <w:sz w:val="24"/>
                <w:lang w:val="en-US" w:eastAsia="zh-CN" w:bidi="ar-SA"/>
              </w:rPr>
              <w:t>噪声贡献值计算</w:t>
            </w:r>
          </w:p>
          <w:p w14:paraId="4581F22B">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设第i个室外声源在预测点产生的A声级为L</w:t>
            </w:r>
            <w:r>
              <w:rPr>
                <w:rFonts w:ascii="Times New Roman" w:hAnsi="Times New Roman" w:eastAsia="宋体" w:cs="Times New Roman"/>
                <w:color w:val="auto"/>
                <w:kern w:val="24"/>
                <w:sz w:val="24"/>
                <w:vertAlign w:val="subscript"/>
                <w:lang w:val="en-US" w:eastAsia="zh-CN" w:bidi="ar-SA"/>
              </w:rPr>
              <w:t>Ai</w:t>
            </w:r>
            <w:r>
              <w:rPr>
                <w:rFonts w:ascii="Times New Roman" w:hAnsi="Times New Roman" w:eastAsia="宋体" w:cs="Times New Roman"/>
                <w:color w:val="auto"/>
                <w:kern w:val="24"/>
                <w:sz w:val="24"/>
                <w:lang w:val="en-US" w:eastAsia="zh-CN" w:bidi="ar-SA"/>
              </w:rPr>
              <w:t>，在T时间内该声源工作时间为t</w:t>
            </w:r>
            <w:r>
              <w:rPr>
                <w:rFonts w:ascii="Times New Roman" w:hAnsi="Times New Roman" w:eastAsia="宋体" w:cs="Times New Roman"/>
                <w:color w:val="auto"/>
                <w:kern w:val="24"/>
                <w:sz w:val="24"/>
                <w:vertAlign w:val="subscript"/>
                <w:lang w:val="en-US" w:eastAsia="zh-CN" w:bidi="ar-SA"/>
              </w:rPr>
              <w:t>i</w:t>
            </w:r>
            <w:r>
              <w:rPr>
                <w:rFonts w:ascii="Times New Roman" w:hAnsi="Times New Roman" w:eastAsia="宋体" w:cs="Times New Roman"/>
                <w:color w:val="auto"/>
                <w:kern w:val="24"/>
                <w:sz w:val="24"/>
                <w:lang w:val="en-US" w:eastAsia="zh-CN" w:bidi="ar-SA"/>
              </w:rPr>
              <w:t>；第j个等效室外声源在预测点产生的A声级为L</w:t>
            </w:r>
            <w:r>
              <w:rPr>
                <w:rFonts w:ascii="Times New Roman" w:hAnsi="Times New Roman" w:eastAsia="宋体" w:cs="Times New Roman"/>
                <w:color w:val="auto"/>
                <w:kern w:val="24"/>
                <w:sz w:val="24"/>
                <w:vertAlign w:val="subscript"/>
                <w:lang w:val="en-US" w:eastAsia="zh-CN" w:bidi="ar-SA"/>
              </w:rPr>
              <w:t>Aj</w:t>
            </w:r>
            <w:r>
              <w:rPr>
                <w:rFonts w:ascii="Times New Roman" w:hAnsi="Times New Roman" w:eastAsia="宋体" w:cs="Times New Roman"/>
                <w:color w:val="auto"/>
                <w:kern w:val="24"/>
                <w:sz w:val="24"/>
                <w:lang w:val="en-US" w:eastAsia="zh-CN" w:bidi="ar-SA"/>
              </w:rPr>
              <w:t>，在T时间内该声源工作时间为t</w:t>
            </w:r>
            <w:r>
              <w:rPr>
                <w:rFonts w:ascii="Times New Roman" w:hAnsi="Times New Roman" w:eastAsia="宋体" w:cs="Times New Roman"/>
                <w:color w:val="auto"/>
                <w:kern w:val="24"/>
                <w:sz w:val="24"/>
                <w:vertAlign w:val="subscript"/>
                <w:lang w:val="en-US" w:eastAsia="zh-CN" w:bidi="ar-SA"/>
              </w:rPr>
              <w:t>j</w:t>
            </w:r>
            <w:r>
              <w:rPr>
                <w:rFonts w:ascii="Times New Roman" w:hAnsi="Times New Roman" w:eastAsia="宋体" w:cs="Times New Roman"/>
                <w:color w:val="auto"/>
                <w:kern w:val="24"/>
                <w:sz w:val="24"/>
                <w:lang w:val="en-US" w:eastAsia="zh-CN" w:bidi="ar-SA"/>
              </w:rPr>
              <w:t>，则拟建工程声源对预测点产生的贡献值为：</w:t>
            </w:r>
          </w:p>
          <w:p w14:paraId="5012ABA1">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object>
                <v:shape id="_x0000_i1035" o:spt="75" type="#_x0000_t75" style="height:38pt;width:245pt;" o:ole="t" filled="f" o:preferrelative="t" stroked="f" coordsize="21600,21600">
                  <v:path/>
                  <v:fill on="f" focussize="0,0"/>
                  <v:stroke on="f" joinstyle="miter"/>
                  <v:imagedata r:id="rId46" o:title=""/>
                  <o:lock v:ext="edit" aspectratio="t"/>
                  <w10:wrap type="none"/>
                  <w10:anchorlock/>
                </v:shape>
                <o:OLEObject Type="Embed" ProgID="Equation.DSMT4" ShapeID="_x0000_i1035" DrawAspect="Content" ObjectID="_1468075735" r:id="rId45">
                  <o:LockedField>false</o:LockedField>
                </o:OLEObject>
              </w:object>
            </w:r>
          </w:p>
          <w:p w14:paraId="39626953">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式中：t</w:t>
            </w:r>
            <w:r>
              <w:rPr>
                <w:rFonts w:ascii="Times New Roman" w:hAnsi="Times New Roman" w:eastAsia="宋体" w:cs="Times New Roman"/>
                <w:color w:val="auto"/>
                <w:kern w:val="24"/>
                <w:sz w:val="24"/>
                <w:vertAlign w:val="subscript"/>
                <w:lang w:val="en-US" w:eastAsia="zh-CN" w:bidi="ar-SA"/>
              </w:rPr>
              <w:t>j</w:t>
            </w:r>
            <w:r>
              <w:rPr>
                <w:rFonts w:ascii="Times New Roman" w:hAnsi="Times New Roman" w:eastAsia="宋体" w:cs="Times New Roman"/>
                <w:color w:val="auto"/>
                <w:kern w:val="24"/>
                <w:sz w:val="24"/>
                <w:lang w:val="en-US" w:eastAsia="zh-CN" w:bidi="ar-SA"/>
              </w:rPr>
              <w:t>——在T时间内j声源工作时间，s；</w:t>
            </w:r>
          </w:p>
          <w:p w14:paraId="29EE560B">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t</w:t>
            </w:r>
            <w:r>
              <w:rPr>
                <w:rFonts w:ascii="Times New Roman" w:hAnsi="Times New Roman" w:eastAsia="宋体" w:cs="Times New Roman"/>
                <w:color w:val="auto"/>
                <w:kern w:val="24"/>
                <w:sz w:val="24"/>
                <w:vertAlign w:val="subscript"/>
                <w:lang w:val="en-US" w:eastAsia="zh-CN" w:bidi="ar-SA"/>
              </w:rPr>
              <w:t>i</w:t>
            </w:r>
            <w:r>
              <w:rPr>
                <w:rFonts w:ascii="Times New Roman" w:hAnsi="Times New Roman" w:eastAsia="宋体" w:cs="Times New Roman"/>
                <w:color w:val="auto"/>
                <w:kern w:val="24"/>
                <w:sz w:val="24"/>
                <w:lang w:val="en-US" w:eastAsia="zh-CN" w:bidi="ar-SA"/>
              </w:rPr>
              <w:t>——在T时间内i声源工作时间，s；</w:t>
            </w:r>
          </w:p>
          <w:p w14:paraId="73A8699A">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T——用于计算等效声级的时间，s；</w:t>
            </w:r>
          </w:p>
          <w:p w14:paraId="32DE5215">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N——室外声源个数；</w:t>
            </w:r>
          </w:p>
          <w:p w14:paraId="066140D5">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M——等效室外声源个数。</w:t>
            </w:r>
          </w:p>
          <w:p w14:paraId="08DB5B65">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hint="eastAsia" w:cs="Times New Roman"/>
                <w:color w:val="auto"/>
                <w:kern w:val="24"/>
                <w:sz w:val="24"/>
                <w:lang w:val="en-US" w:eastAsia="zh-CN" w:bidi="ar-SA"/>
              </w:rPr>
              <w:t>③</w:t>
            </w:r>
            <w:r>
              <w:rPr>
                <w:rFonts w:ascii="Times New Roman" w:hAnsi="Times New Roman" w:eastAsia="宋体" w:cs="Times New Roman"/>
                <w:color w:val="auto"/>
                <w:kern w:val="24"/>
                <w:sz w:val="24"/>
                <w:lang w:val="en-US" w:eastAsia="zh-CN" w:bidi="ar-SA"/>
              </w:rPr>
              <w:t>噪声预测值计算</w:t>
            </w:r>
          </w:p>
          <w:p w14:paraId="018CE375">
            <w:pPr>
              <w:widowControl w:val="0"/>
              <w:wordWrap/>
              <w:spacing w:line="360" w:lineRule="auto"/>
              <w:ind w:firstLine="0" w:firstLineChars="0"/>
              <w:jc w:val="center"/>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drawing>
                <wp:inline distT="0" distB="0" distL="114300" distR="114300">
                  <wp:extent cx="2745105" cy="407035"/>
                  <wp:effectExtent l="0" t="0" r="17145" b="1206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7"/>
                          <a:stretch>
                            <a:fillRect/>
                          </a:stretch>
                        </pic:blipFill>
                        <pic:spPr>
                          <a:xfrm>
                            <a:off x="0" y="0"/>
                            <a:ext cx="2745105" cy="407035"/>
                          </a:xfrm>
                          <a:prstGeom prst="rect">
                            <a:avLst/>
                          </a:prstGeom>
                          <a:noFill/>
                          <a:ln>
                            <a:noFill/>
                          </a:ln>
                        </pic:spPr>
                      </pic:pic>
                    </a:graphicData>
                  </a:graphic>
                </wp:inline>
              </w:drawing>
            </w:r>
          </w:p>
          <w:p w14:paraId="77AAA307">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式中：L</w:t>
            </w:r>
            <w:r>
              <w:rPr>
                <w:rFonts w:ascii="Times New Roman" w:hAnsi="Times New Roman" w:eastAsia="宋体" w:cs="Times New Roman"/>
                <w:color w:val="auto"/>
                <w:kern w:val="24"/>
                <w:sz w:val="24"/>
                <w:vertAlign w:val="subscript"/>
                <w:lang w:val="en-US" w:eastAsia="zh-CN" w:bidi="ar-SA"/>
              </w:rPr>
              <w:t>eq</w:t>
            </w:r>
            <w:r>
              <w:rPr>
                <w:rFonts w:ascii="Times New Roman" w:hAnsi="Times New Roman" w:eastAsia="宋体" w:cs="Times New Roman"/>
                <w:color w:val="auto"/>
                <w:kern w:val="24"/>
                <w:sz w:val="24"/>
                <w:lang w:val="en-US" w:eastAsia="zh-CN" w:bidi="ar-SA"/>
              </w:rPr>
              <w:t>——预测点的噪声预测值，dB；</w:t>
            </w:r>
          </w:p>
          <w:p w14:paraId="4DF62C93">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eqg</w:t>
            </w:r>
            <w:r>
              <w:rPr>
                <w:rFonts w:ascii="Times New Roman" w:hAnsi="Times New Roman" w:eastAsia="宋体" w:cs="Times New Roman"/>
                <w:color w:val="auto"/>
                <w:kern w:val="24"/>
                <w:sz w:val="24"/>
                <w:lang w:val="en-US" w:eastAsia="zh-CN" w:bidi="ar-SA"/>
              </w:rPr>
              <w:t>——建设项目声源在预测点产生的噪声贡献值，dB；</w:t>
            </w:r>
          </w:p>
          <w:p w14:paraId="0F6625EF">
            <w:pPr>
              <w:widowControl w:val="0"/>
              <w:wordWrap/>
              <w:spacing w:line="360" w:lineRule="auto"/>
              <w:ind w:firstLine="1200" w:firstLineChars="5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L</w:t>
            </w:r>
            <w:r>
              <w:rPr>
                <w:rFonts w:ascii="Times New Roman" w:hAnsi="Times New Roman" w:eastAsia="宋体" w:cs="Times New Roman"/>
                <w:color w:val="auto"/>
                <w:kern w:val="24"/>
                <w:sz w:val="24"/>
                <w:vertAlign w:val="subscript"/>
                <w:lang w:val="en-US" w:eastAsia="zh-CN" w:bidi="ar-SA"/>
              </w:rPr>
              <w:t>eqb</w:t>
            </w:r>
            <w:r>
              <w:rPr>
                <w:rFonts w:ascii="Times New Roman" w:hAnsi="Times New Roman" w:eastAsia="宋体" w:cs="Times New Roman"/>
                <w:color w:val="auto"/>
                <w:kern w:val="24"/>
                <w:sz w:val="24"/>
                <w:lang w:val="en-US" w:eastAsia="zh-CN" w:bidi="ar-SA"/>
              </w:rPr>
              <w:t>——预测点的背景噪声值，dB。</w:t>
            </w:r>
          </w:p>
          <w:p w14:paraId="0DC527B0">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项目噪声环境影响预测基础数据见表</w:t>
            </w:r>
            <w:r>
              <w:rPr>
                <w:rFonts w:hint="eastAsia" w:ascii="Times New Roman" w:hAnsi="Times New Roman" w:eastAsia="宋体" w:cs="Times New Roman"/>
                <w:color w:val="auto"/>
                <w:kern w:val="24"/>
                <w:sz w:val="24"/>
                <w:lang w:val="en-US" w:eastAsia="zh-CN" w:bidi="ar-SA"/>
              </w:rPr>
              <w:t>4</w:t>
            </w:r>
            <w:r>
              <w:rPr>
                <w:rFonts w:ascii="Times New Roman" w:hAnsi="Times New Roman" w:eastAsia="宋体" w:cs="Times New Roman"/>
                <w:color w:val="auto"/>
                <w:kern w:val="24"/>
                <w:sz w:val="24"/>
                <w:lang w:val="en-US" w:eastAsia="zh-CN" w:bidi="ar-SA"/>
              </w:rPr>
              <w:t>-1</w:t>
            </w:r>
            <w:r>
              <w:rPr>
                <w:rFonts w:hint="eastAsia" w:cs="Times New Roman"/>
                <w:color w:val="auto"/>
                <w:kern w:val="24"/>
                <w:sz w:val="24"/>
                <w:lang w:val="en-US" w:eastAsia="zh-CN" w:bidi="ar-SA"/>
              </w:rPr>
              <w:t>3</w:t>
            </w:r>
            <w:r>
              <w:rPr>
                <w:rFonts w:ascii="Times New Roman" w:hAnsi="Times New Roman" w:eastAsia="宋体" w:cs="Times New Roman"/>
                <w:color w:val="auto"/>
                <w:kern w:val="24"/>
                <w:sz w:val="24"/>
                <w:lang w:val="en-US" w:eastAsia="zh-CN" w:bidi="ar-SA"/>
              </w:rPr>
              <w:t>。</w:t>
            </w:r>
          </w:p>
          <w:p w14:paraId="16EB1562">
            <w:pPr>
              <w:pStyle w:val="7"/>
              <w:widowControl w:val="0"/>
              <w:wordWrap w:val="0"/>
              <w:ind w:firstLineChars="0"/>
              <w:jc w:val="center"/>
              <w:rPr>
                <w:lang w:val="zh-CN" w:eastAsia="zh-CN"/>
              </w:rPr>
            </w:pPr>
            <w:r>
              <w:rPr>
                <w:rFonts w:hint="eastAsia"/>
                <w:lang w:val="zh-CN" w:eastAsia="zh-CN"/>
              </w:rPr>
              <w:t>表4-</w:t>
            </w:r>
            <w:r>
              <w:rPr>
                <w:rFonts w:hint="eastAsia"/>
                <w:lang w:val="en-US" w:eastAsia="zh-CN"/>
              </w:rPr>
              <w:t xml:space="preserve">13   </w:t>
            </w:r>
            <w:r>
              <w:rPr>
                <w:rFonts w:hint="eastAsia"/>
                <w:lang w:val="zh-CN" w:eastAsia="zh-CN"/>
              </w:rPr>
              <w:t>项目噪声环境影响预测基础数据表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663"/>
              <w:gridCol w:w="1579"/>
              <w:gridCol w:w="3210"/>
            </w:tblGrid>
            <w:tr w14:paraId="45859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pct"/>
                  <w:tcBorders>
                    <w:top w:val="single" w:color="auto" w:sz="4" w:space="0"/>
                    <w:left w:val="nil"/>
                    <w:bottom w:val="single" w:color="auto" w:sz="4" w:space="0"/>
                    <w:right w:val="single" w:color="auto" w:sz="4" w:space="0"/>
                  </w:tcBorders>
                  <w:vAlign w:val="center"/>
                </w:tcPr>
                <w:p w14:paraId="2A277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18"/>
                      <w:sz w:val="21"/>
                      <w:szCs w:val="24"/>
                      <w:lang w:val="en-US" w:eastAsia="zh-CN" w:bidi="ar-SA"/>
                    </w:rPr>
                  </w:pPr>
                  <w:r>
                    <w:rPr>
                      <w:rFonts w:ascii="Times New Roman" w:hAnsi="Times New Roman" w:eastAsia="宋体" w:cs="Times New Roman"/>
                      <w:b/>
                      <w:bCs/>
                      <w:color w:val="auto"/>
                      <w:kern w:val="18"/>
                      <w:sz w:val="21"/>
                      <w:szCs w:val="24"/>
                      <w:lang w:val="en-US" w:eastAsia="zh-CN" w:bidi="ar-SA"/>
                    </w:rPr>
                    <w:t>序号</w:t>
                  </w:r>
                </w:p>
              </w:tc>
              <w:tc>
                <w:tcPr>
                  <w:tcW w:w="1504" w:type="pct"/>
                  <w:tcBorders>
                    <w:top w:val="single" w:color="auto" w:sz="4" w:space="0"/>
                    <w:left w:val="single" w:color="auto" w:sz="4" w:space="0"/>
                    <w:bottom w:val="single" w:color="auto" w:sz="4" w:space="0"/>
                    <w:right w:val="single" w:color="auto" w:sz="4" w:space="0"/>
                  </w:tcBorders>
                  <w:vAlign w:val="center"/>
                </w:tcPr>
                <w:p w14:paraId="56958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18"/>
                      <w:sz w:val="21"/>
                      <w:szCs w:val="24"/>
                      <w:lang w:val="en-US" w:eastAsia="zh-CN" w:bidi="ar-SA"/>
                    </w:rPr>
                  </w:pPr>
                  <w:r>
                    <w:rPr>
                      <w:rFonts w:ascii="Times New Roman" w:hAnsi="Times New Roman" w:eastAsia="宋体" w:cs="Times New Roman"/>
                      <w:b/>
                      <w:bCs/>
                      <w:color w:val="auto"/>
                      <w:kern w:val="18"/>
                      <w:sz w:val="21"/>
                      <w:szCs w:val="24"/>
                      <w:lang w:val="en-US" w:eastAsia="zh-CN" w:bidi="ar-SA"/>
                    </w:rPr>
                    <w:t>名称</w:t>
                  </w:r>
                </w:p>
              </w:tc>
              <w:tc>
                <w:tcPr>
                  <w:tcW w:w="892" w:type="pct"/>
                  <w:tcBorders>
                    <w:top w:val="single" w:color="auto" w:sz="4" w:space="0"/>
                    <w:left w:val="single" w:color="auto" w:sz="4" w:space="0"/>
                    <w:bottom w:val="single" w:color="auto" w:sz="4" w:space="0"/>
                    <w:right w:val="single" w:color="auto" w:sz="4" w:space="0"/>
                  </w:tcBorders>
                  <w:vAlign w:val="center"/>
                </w:tcPr>
                <w:p w14:paraId="5369E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18"/>
                      <w:sz w:val="21"/>
                      <w:szCs w:val="24"/>
                      <w:lang w:val="en-US" w:eastAsia="zh-CN" w:bidi="ar-SA"/>
                    </w:rPr>
                  </w:pPr>
                  <w:r>
                    <w:rPr>
                      <w:rFonts w:ascii="Times New Roman" w:hAnsi="Times New Roman" w:eastAsia="宋体" w:cs="Times New Roman"/>
                      <w:b/>
                      <w:bCs/>
                      <w:color w:val="auto"/>
                      <w:kern w:val="18"/>
                      <w:sz w:val="21"/>
                      <w:szCs w:val="24"/>
                      <w:lang w:val="en-US" w:eastAsia="zh-CN" w:bidi="ar-SA"/>
                    </w:rPr>
                    <w:t>单位</w:t>
                  </w:r>
                </w:p>
              </w:tc>
              <w:tc>
                <w:tcPr>
                  <w:tcW w:w="1813" w:type="pct"/>
                  <w:tcBorders>
                    <w:top w:val="single" w:color="auto" w:sz="4" w:space="0"/>
                    <w:left w:val="single" w:color="auto" w:sz="4" w:space="0"/>
                    <w:bottom w:val="single" w:color="auto" w:sz="4" w:space="0"/>
                    <w:right w:val="nil"/>
                  </w:tcBorders>
                  <w:vAlign w:val="center"/>
                </w:tcPr>
                <w:p w14:paraId="6D5F0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18"/>
                      <w:sz w:val="21"/>
                      <w:szCs w:val="24"/>
                      <w:lang w:val="en-US" w:eastAsia="zh-CN" w:bidi="ar-SA"/>
                    </w:rPr>
                  </w:pPr>
                  <w:r>
                    <w:rPr>
                      <w:rFonts w:ascii="Times New Roman" w:hAnsi="Times New Roman" w:eastAsia="宋体" w:cs="Times New Roman"/>
                      <w:b/>
                      <w:bCs/>
                      <w:color w:val="auto"/>
                      <w:kern w:val="18"/>
                      <w:sz w:val="21"/>
                      <w:szCs w:val="24"/>
                      <w:lang w:val="en-US" w:eastAsia="zh-CN" w:bidi="ar-SA"/>
                    </w:rPr>
                    <w:t>数据</w:t>
                  </w:r>
                </w:p>
              </w:tc>
            </w:tr>
            <w:tr w14:paraId="15A97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90" w:type="pct"/>
                  <w:tcBorders>
                    <w:top w:val="single" w:color="auto" w:sz="4" w:space="0"/>
                    <w:left w:val="nil"/>
                    <w:bottom w:val="single" w:color="auto" w:sz="4" w:space="0"/>
                    <w:right w:val="single" w:color="auto" w:sz="4" w:space="0"/>
                  </w:tcBorders>
                  <w:vAlign w:val="center"/>
                </w:tcPr>
                <w:p w14:paraId="3C170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1</w:t>
                  </w:r>
                </w:p>
              </w:tc>
              <w:tc>
                <w:tcPr>
                  <w:tcW w:w="1504" w:type="pct"/>
                  <w:tcBorders>
                    <w:top w:val="single" w:color="auto" w:sz="4" w:space="0"/>
                    <w:left w:val="single" w:color="auto" w:sz="4" w:space="0"/>
                    <w:bottom w:val="single" w:color="auto" w:sz="4" w:space="0"/>
                    <w:right w:val="single" w:color="auto" w:sz="4" w:space="0"/>
                  </w:tcBorders>
                  <w:vAlign w:val="center"/>
                </w:tcPr>
                <w:p w14:paraId="2D5B4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年平均风速</w:t>
                  </w:r>
                </w:p>
              </w:tc>
              <w:tc>
                <w:tcPr>
                  <w:tcW w:w="892" w:type="pct"/>
                  <w:tcBorders>
                    <w:top w:val="single" w:color="auto" w:sz="4" w:space="0"/>
                    <w:left w:val="single" w:color="auto" w:sz="4" w:space="0"/>
                    <w:bottom w:val="single" w:color="auto" w:sz="4" w:space="0"/>
                    <w:right w:val="single" w:color="auto" w:sz="4" w:space="0"/>
                  </w:tcBorders>
                  <w:vAlign w:val="center"/>
                </w:tcPr>
                <w:p w14:paraId="5E234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m/s</w:t>
                  </w:r>
                </w:p>
              </w:tc>
              <w:tc>
                <w:tcPr>
                  <w:tcW w:w="1813" w:type="pct"/>
                  <w:tcBorders>
                    <w:top w:val="single" w:color="auto" w:sz="4" w:space="0"/>
                    <w:left w:val="single" w:color="auto" w:sz="4" w:space="0"/>
                    <w:bottom w:val="single" w:color="auto" w:sz="4" w:space="0"/>
                    <w:right w:val="nil"/>
                  </w:tcBorders>
                  <w:vAlign w:val="center"/>
                </w:tcPr>
                <w:p w14:paraId="23F5D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1</w:t>
                  </w:r>
                  <w:r>
                    <w:rPr>
                      <w:rFonts w:hint="default"/>
                      <w:color w:val="auto"/>
                      <w:kern w:val="18"/>
                      <w:sz w:val="21"/>
                      <w:szCs w:val="24"/>
                      <w:lang w:val="en-US" w:eastAsia="zh-CN"/>
                    </w:rPr>
                    <w:t>.5</w:t>
                  </w:r>
                </w:p>
              </w:tc>
            </w:tr>
            <w:tr w14:paraId="0F543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90" w:type="pct"/>
                  <w:tcBorders>
                    <w:top w:val="single" w:color="auto" w:sz="4" w:space="0"/>
                    <w:left w:val="nil"/>
                    <w:bottom w:val="single" w:color="auto" w:sz="4" w:space="0"/>
                    <w:right w:val="single" w:color="auto" w:sz="4" w:space="0"/>
                  </w:tcBorders>
                  <w:vAlign w:val="center"/>
                </w:tcPr>
                <w:p w14:paraId="18479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2</w:t>
                  </w:r>
                </w:p>
              </w:tc>
              <w:tc>
                <w:tcPr>
                  <w:tcW w:w="1504" w:type="pct"/>
                  <w:tcBorders>
                    <w:top w:val="single" w:color="auto" w:sz="4" w:space="0"/>
                    <w:left w:val="single" w:color="auto" w:sz="4" w:space="0"/>
                    <w:bottom w:val="single" w:color="auto" w:sz="4" w:space="0"/>
                    <w:right w:val="single" w:color="auto" w:sz="4" w:space="0"/>
                  </w:tcBorders>
                  <w:vAlign w:val="center"/>
                </w:tcPr>
                <w:p w14:paraId="09DA4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主导风向</w:t>
                  </w:r>
                </w:p>
              </w:tc>
              <w:tc>
                <w:tcPr>
                  <w:tcW w:w="892" w:type="pct"/>
                  <w:tcBorders>
                    <w:top w:val="single" w:color="auto" w:sz="4" w:space="0"/>
                    <w:left w:val="single" w:color="auto" w:sz="4" w:space="0"/>
                    <w:bottom w:val="single" w:color="auto" w:sz="4" w:space="0"/>
                    <w:right w:val="single" w:color="auto" w:sz="4" w:space="0"/>
                  </w:tcBorders>
                  <w:vAlign w:val="center"/>
                </w:tcPr>
                <w:p w14:paraId="26344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w:t>
                  </w:r>
                </w:p>
              </w:tc>
              <w:tc>
                <w:tcPr>
                  <w:tcW w:w="1813" w:type="pct"/>
                  <w:tcBorders>
                    <w:top w:val="single" w:color="auto" w:sz="4" w:space="0"/>
                    <w:left w:val="single" w:color="auto" w:sz="4" w:space="0"/>
                    <w:bottom w:val="single" w:color="auto" w:sz="4" w:space="0"/>
                    <w:right w:val="nil"/>
                  </w:tcBorders>
                  <w:vAlign w:val="center"/>
                </w:tcPr>
                <w:p w14:paraId="47B2AD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hint="eastAsia" w:ascii="Times New Roman" w:hAnsi="Times New Roman" w:eastAsia="宋体" w:cs="Times New Roman"/>
                      <w:color w:val="auto"/>
                      <w:kern w:val="18"/>
                      <w:sz w:val="21"/>
                      <w:szCs w:val="24"/>
                      <w:lang w:val="en-US" w:eastAsia="zh-CN" w:bidi="ar-SA"/>
                    </w:rPr>
                    <w:t>东</w:t>
                  </w:r>
                  <w:r>
                    <w:rPr>
                      <w:rFonts w:ascii="Times New Roman" w:hAnsi="Times New Roman" w:eastAsia="宋体" w:cs="Times New Roman"/>
                      <w:color w:val="auto"/>
                      <w:kern w:val="18"/>
                      <w:sz w:val="21"/>
                      <w:szCs w:val="24"/>
                      <w:lang w:val="en-US" w:eastAsia="zh-CN" w:bidi="ar-SA"/>
                    </w:rPr>
                    <w:t>北风</w:t>
                  </w:r>
                </w:p>
              </w:tc>
            </w:tr>
            <w:tr w14:paraId="733F7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90" w:type="pct"/>
                  <w:tcBorders>
                    <w:top w:val="single" w:color="auto" w:sz="4" w:space="0"/>
                    <w:left w:val="nil"/>
                    <w:bottom w:val="single" w:color="auto" w:sz="4" w:space="0"/>
                    <w:right w:val="single" w:color="auto" w:sz="4" w:space="0"/>
                  </w:tcBorders>
                  <w:vAlign w:val="center"/>
                </w:tcPr>
                <w:p w14:paraId="10EFF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3</w:t>
                  </w:r>
                </w:p>
              </w:tc>
              <w:tc>
                <w:tcPr>
                  <w:tcW w:w="1504" w:type="pct"/>
                  <w:tcBorders>
                    <w:top w:val="single" w:color="auto" w:sz="4" w:space="0"/>
                    <w:left w:val="single" w:color="auto" w:sz="4" w:space="0"/>
                    <w:bottom w:val="single" w:color="auto" w:sz="4" w:space="0"/>
                    <w:right w:val="single" w:color="auto" w:sz="4" w:space="0"/>
                  </w:tcBorders>
                  <w:vAlign w:val="center"/>
                </w:tcPr>
                <w:p w14:paraId="6CEDC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年平均气温</w:t>
                  </w:r>
                </w:p>
              </w:tc>
              <w:tc>
                <w:tcPr>
                  <w:tcW w:w="892" w:type="pct"/>
                  <w:tcBorders>
                    <w:top w:val="single" w:color="auto" w:sz="4" w:space="0"/>
                    <w:left w:val="single" w:color="auto" w:sz="4" w:space="0"/>
                    <w:bottom w:val="single" w:color="auto" w:sz="4" w:space="0"/>
                    <w:right w:val="single" w:color="auto" w:sz="4" w:space="0"/>
                  </w:tcBorders>
                  <w:vAlign w:val="center"/>
                </w:tcPr>
                <w:p w14:paraId="74FE18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w:t>
                  </w:r>
                </w:p>
              </w:tc>
              <w:tc>
                <w:tcPr>
                  <w:tcW w:w="1813" w:type="pct"/>
                  <w:tcBorders>
                    <w:top w:val="single" w:color="auto" w:sz="4" w:space="0"/>
                    <w:left w:val="single" w:color="auto" w:sz="4" w:space="0"/>
                    <w:bottom w:val="single" w:color="auto" w:sz="4" w:space="0"/>
                    <w:right w:val="nil"/>
                  </w:tcBorders>
                  <w:vAlign w:val="center"/>
                </w:tcPr>
                <w:p w14:paraId="293F4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4"/>
                      <w:lang w:val="en-US" w:eastAsia="zh-CN" w:bidi="ar-SA"/>
                    </w:rPr>
                  </w:pPr>
                  <w:r>
                    <w:rPr>
                      <w:rFonts w:hint="eastAsia" w:ascii="Times New Roman" w:hAnsi="Times New Roman" w:eastAsia="宋体" w:cs="Times New Roman"/>
                      <w:color w:val="auto"/>
                      <w:kern w:val="18"/>
                      <w:sz w:val="21"/>
                      <w:szCs w:val="24"/>
                      <w:lang w:val="en-US" w:eastAsia="zh-CN" w:bidi="ar-SA"/>
                    </w:rPr>
                    <w:t>17</w:t>
                  </w:r>
                </w:p>
              </w:tc>
            </w:tr>
            <w:tr w14:paraId="7B9D7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90" w:type="pct"/>
                  <w:tcBorders>
                    <w:top w:val="single" w:color="auto" w:sz="4" w:space="0"/>
                    <w:left w:val="nil"/>
                    <w:bottom w:val="single" w:color="auto" w:sz="4" w:space="0"/>
                    <w:right w:val="single" w:color="auto" w:sz="4" w:space="0"/>
                  </w:tcBorders>
                  <w:vAlign w:val="center"/>
                </w:tcPr>
                <w:p w14:paraId="1D2B1D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4</w:t>
                  </w:r>
                </w:p>
              </w:tc>
              <w:tc>
                <w:tcPr>
                  <w:tcW w:w="1504" w:type="pct"/>
                  <w:tcBorders>
                    <w:top w:val="single" w:color="auto" w:sz="4" w:space="0"/>
                    <w:left w:val="single" w:color="auto" w:sz="4" w:space="0"/>
                    <w:bottom w:val="single" w:color="auto" w:sz="4" w:space="0"/>
                    <w:right w:val="single" w:color="auto" w:sz="4" w:space="0"/>
                  </w:tcBorders>
                  <w:vAlign w:val="center"/>
                </w:tcPr>
                <w:p w14:paraId="41CAF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年平均相对湿度</w:t>
                  </w:r>
                </w:p>
              </w:tc>
              <w:tc>
                <w:tcPr>
                  <w:tcW w:w="892" w:type="pct"/>
                  <w:tcBorders>
                    <w:top w:val="single" w:color="auto" w:sz="4" w:space="0"/>
                    <w:left w:val="single" w:color="auto" w:sz="4" w:space="0"/>
                    <w:bottom w:val="single" w:color="auto" w:sz="4" w:space="0"/>
                    <w:right w:val="single" w:color="auto" w:sz="4" w:space="0"/>
                  </w:tcBorders>
                  <w:vAlign w:val="center"/>
                </w:tcPr>
                <w:p w14:paraId="1E572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w:t>
                  </w:r>
                </w:p>
              </w:tc>
              <w:tc>
                <w:tcPr>
                  <w:tcW w:w="1813" w:type="pct"/>
                  <w:tcBorders>
                    <w:top w:val="single" w:color="auto" w:sz="4" w:space="0"/>
                    <w:left w:val="single" w:color="auto" w:sz="4" w:space="0"/>
                    <w:bottom w:val="single" w:color="auto" w:sz="4" w:space="0"/>
                    <w:right w:val="nil"/>
                  </w:tcBorders>
                  <w:vAlign w:val="center"/>
                </w:tcPr>
                <w:p w14:paraId="69132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4"/>
                      <w:lang w:val="en-US" w:eastAsia="zh-CN" w:bidi="ar-SA"/>
                    </w:rPr>
                  </w:pPr>
                  <w:r>
                    <w:rPr>
                      <w:rFonts w:hint="eastAsia" w:ascii="Times New Roman" w:hAnsi="Times New Roman" w:eastAsia="宋体" w:cs="Times New Roman"/>
                      <w:color w:val="auto"/>
                      <w:kern w:val="18"/>
                      <w:sz w:val="21"/>
                      <w:szCs w:val="24"/>
                      <w:lang w:val="en-US" w:eastAsia="zh-CN" w:bidi="ar-SA"/>
                    </w:rPr>
                    <w:t>80</w:t>
                  </w:r>
                </w:p>
              </w:tc>
            </w:tr>
            <w:tr w14:paraId="181C7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pct"/>
                  <w:tcBorders>
                    <w:top w:val="single" w:color="auto" w:sz="4" w:space="0"/>
                    <w:left w:val="nil"/>
                    <w:bottom w:val="single" w:color="auto" w:sz="4" w:space="0"/>
                    <w:right w:val="single" w:color="auto" w:sz="4" w:space="0"/>
                  </w:tcBorders>
                  <w:vAlign w:val="center"/>
                </w:tcPr>
                <w:p w14:paraId="50BF83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5</w:t>
                  </w:r>
                </w:p>
              </w:tc>
              <w:tc>
                <w:tcPr>
                  <w:tcW w:w="1504" w:type="pct"/>
                  <w:tcBorders>
                    <w:top w:val="single" w:color="auto" w:sz="4" w:space="0"/>
                    <w:left w:val="single" w:color="auto" w:sz="4" w:space="0"/>
                    <w:bottom w:val="single" w:color="auto" w:sz="4" w:space="0"/>
                    <w:right w:val="single" w:color="auto" w:sz="4" w:space="0"/>
                  </w:tcBorders>
                  <w:vAlign w:val="center"/>
                </w:tcPr>
                <w:p w14:paraId="3943F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大气压强</w:t>
                  </w:r>
                </w:p>
              </w:tc>
              <w:tc>
                <w:tcPr>
                  <w:tcW w:w="892" w:type="pct"/>
                  <w:tcBorders>
                    <w:top w:val="single" w:color="auto" w:sz="4" w:space="0"/>
                    <w:left w:val="single" w:color="auto" w:sz="4" w:space="0"/>
                    <w:bottom w:val="single" w:color="auto" w:sz="4" w:space="0"/>
                    <w:right w:val="single" w:color="auto" w:sz="4" w:space="0"/>
                  </w:tcBorders>
                  <w:vAlign w:val="center"/>
                </w:tcPr>
                <w:p w14:paraId="1D194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atm</w:t>
                  </w:r>
                </w:p>
              </w:tc>
              <w:tc>
                <w:tcPr>
                  <w:tcW w:w="1813" w:type="pct"/>
                  <w:tcBorders>
                    <w:top w:val="single" w:color="auto" w:sz="4" w:space="0"/>
                    <w:left w:val="single" w:color="auto" w:sz="4" w:space="0"/>
                    <w:bottom w:val="single" w:color="auto" w:sz="4" w:space="0"/>
                    <w:right w:val="nil"/>
                  </w:tcBorders>
                  <w:vAlign w:val="center"/>
                </w:tcPr>
                <w:p w14:paraId="01A33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4"/>
                      <w:lang w:val="en-US" w:eastAsia="zh-CN" w:bidi="ar-SA"/>
                    </w:rPr>
                  </w:pPr>
                  <w:r>
                    <w:rPr>
                      <w:rFonts w:ascii="Times New Roman" w:hAnsi="Times New Roman" w:eastAsia="宋体" w:cs="Times New Roman"/>
                      <w:color w:val="auto"/>
                      <w:kern w:val="18"/>
                      <w:sz w:val="21"/>
                      <w:szCs w:val="24"/>
                      <w:lang w:val="en-US" w:eastAsia="zh-CN" w:bidi="ar-SA"/>
                    </w:rPr>
                    <w:t>0.9</w:t>
                  </w:r>
                  <w:r>
                    <w:rPr>
                      <w:rFonts w:hint="eastAsia" w:ascii="Times New Roman" w:hAnsi="Times New Roman" w:eastAsia="宋体" w:cs="Times New Roman"/>
                      <w:color w:val="auto"/>
                      <w:kern w:val="18"/>
                      <w:sz w:val="21"/>
                      <w:szCs w:val="24"/>
                      <w:lang w:val="en-US" w:eastAsia="zh-CN" w:bidi="ar-SA"/>
                    </w:rPr>
                    <w:t>53</w:t>
                  </w:r>
                </w:p>
              </w:tc>
            </w:tr>
          </w:tbl>
          <w:p w14:paraId="157A3F14">
            <w:pPr>
              <w:widowControl w:val="0"/>
              <w:wordWrap/>
              <w:spacing w:line="360" w:lineRule="auto"/>
              <w:ind w:firstLine="480" w:firstLineChars="200"/>
              <w:jc w:val="both"/>
              <w:rPr>
                <w:rFonts w:ascii="Times New Roman" w:hAnsi="Times New Roman" w:eastAsia="宋体" w:cs="Times New Roman"/>
                <w:color w:val="auto"/>
                <w:kern w:val="24"/>
                <w:sz w:val="24"/>
                <w:highlight w:val="none"/>
                <w:lang w:val="en-US" w:eastAsia="zh-CN" w:bidi="ar-SA"/>
              </w:rPr>
            </w:pPr>
            <w:r>
              <w:rPr>
                <w:rFonts w:hint="eastAsia" w:cs="Times New Roman"/>
                <w:color w:val="auto"/>
                <w:kern w:val="24"/>
                <w:sz w:val="24"/>
                <w:lang w:val="en-US" w:eastAsia="zh-CN" w:bidi="ar-SA"/>
              </w:rPr>
              <w:t>④</w:t>
            </w:r>
            <w:r>
              <w:rPr>
                <w:rFonts w:ascii="Times New Roman" w:hAnsi="Times New Roman" w:eastAsia="宋体" w:cs="Times New Roman"/>
                <w:color w:val="auto"/>
                <w:kern w:val="24"/>
                <w:sz w:val="24"/>
                <w:lang w:val="en-US" w:eastAsia="zh-CN" w:bidi="ar-SA"/>
              </w:rPr>
              <w:t>预测结</w:t>
            </w:r>
            <w:r>
              <w:rPr>
                <w:rFonts w:ascii="Times New Roman" w:hAnsi="Times New Roman" w:eastAsia="宋体" w:cs="Times New Roman"/>
                <w:color w:val="auto"/>
                <w:kern w:val="24"/>
                <w:sz w:val="24"/>
                <w:highlight w:val="none"/>
                <w:lang w:val="en-US" w:eastAsia="zh-CN" w:bidi="ar-SA"/>
              </w:rPr>
              <w:t>果</w:t>
            </w:r>
          </w:p>
          <w:p w14:paraId="3EF0FBAB">
            <w:pPr>
              <w:widowControl w:val="0"/>
              <w:wordWrap/>
              <w:spacing w:line="360" w:lineRule="auto"/>
              <w:ind w:firstLine="480" w:firstLineChars="200"/>
              <w:jc w:val="both"/>
              <w:rPr>
                <w:rFonts w:ascii="Times New Roman" w:hAnsi="Times New Roman" w:eastAsia="宋体" w:cs="Times New Roman"/>
                <w:color w:val="auto"/>
                <w:kern w:val="24"/>
                <w:sz w:val="24"/>
                <w:highlight w:val="none"/>
                <w:lang w:val="en-US" w:eastAsia="zh-CN" w:bidi="ar-SA"/>
              </w:rPr>
            </w:pPr>
            <w:r>
              <w:rPr>
                <w:rFonts w:ascii="Times New Roman" w:hAnsi="Times New Roman" w:eastAsia="宋体" w:cs="Times New Roman"/>
                <w:color w:val="auto"/>
                <w:kern w:val="24"/>
                <w:sz w:val="24"/>
                <w:highlight w:val="none"/>
                <w:lang w:val="en-US" w:eastAsia="zh-CN" w:bidi="ar-SA"/>
              </w:rPr>
              <w:t>本项目预测结果见下表。</w:t>
            </w:r>
          </w:p>
          <w:p w14:paraId="45CDF852">
            <w:pPr>
              <w:pStyle w:val="7"/>
              <w:bidi w:val="0"/>
              <w:rPr>
                <w:rFonts w:hint="eastAsia"/>
                <w:highlight w:val="none"/>
                <w:lang w:val="zh-CN" w:eastAsia="zh-CN"/>
              </w:rPr>
            </w:pPr>
            <w:r>
              <w:rPr>
                <w:rFonts w:hint="eastAsia"/>
                <w:highlight w:val="none"/>
                <w:lang w:val="zh-CN" w:eastAsia="zh-CN"/>
              </w:rPr>
              <w:t>表4-1</w:t>
            </w:r>
            <w:r>
              <w:rPr>
                <w:rFonts w:hint="eastAsia"/>
                <w:highlight w:val="none"/>
                <w:lang w:val="en-US" w:eastAsia="zh-CN"/>
              </w:rPr>
              <w:t xml:space="preserve">4  </w:t>
            </w:r>
            <w:r>
              <w:rPr>
                <w:rFonts w:hint="eastAsia"/>
                <w:highlight w:val="none"/>
                <w:lang w:val="zh-CN" w:eastAsia="zh-CN"/>
              </w:rPr>
              <w:t>项目厂界噪声预测一览表单位：dB（A）</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901"/>
              <w:gridCol w:w="1128"/>
              <w:gridCol w:w="1560"/>
              <w:gridCol w:w="1351"/>
              <w:gridCol w:w="1128"/>
              <w:gridCol w:w="928"/>
            </w:tblGrid>
            <w:tr w14:paraId="4ED4D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Align w:val="center"/>
                </w:tcPr>
                <w:p w14:paraId="1E5ED121">
                  <w:pPr>
                    <w:spacing w:line="240" w:lineRule="auto"/>
                    <w:ind w:firstLine="0" w:firstLineChars="0"/>
                    <w:jc w:val="center"/>
                    <w:rPr>
                      <w:rFonts w:cs="Times New Roman"/>
                      <w:b/>
                      <w:bCs/>
                      <w:sz w:val="21"/>
                      <w:szCs w:val="21"/>
                    </w:rPr>
                  </w:pPr>
                  <w:r>
                    <w:rPr>
                      <w:rFonts w:cs="Times New Roman"/>
                      <w:b/>
                      <w:bCs/>
                      <w:sz w:val="21"/>
                      <w:szCs w:val="21"/>
                    </w:rPr>
                    <w:t>预测方位</w:t>
                  </w:r>
                </w:p>
              </w:tc>
              <w:tc>
                <w:tcPr>
                  <w:tcW w:w="509" w:type="pct"/>
                  <w:vAlign w:val="center"/>
                </w:tcPr>
                <w:p w14:paraId="3B682373">
                  <w:pPr>
                    <w:spacing w:line="240" w:lineRule="auto"/>
                    <w:ind w:firstLine="0" w:firstLineChars="0"/>
                    <w:jc w:val="center"/>
                    <w:rPr>
                      <w:rFonts w:cs="Times New Roman"/>
                      <w:b/>
                      <w:bCs/>
                      <w:sz w:val="21"/>
                      <w:szCs w:val="21"/>
                    </w:rPr>
                  </w:pPr>
                  <w:r>
                    <w:rPr>
                      <w:rFonts w:cs="Times New Roman"/>
                      <w:b/>
                      <w:bCs/>
                      <w:sz w:val="21"/>
                      <w:szCs w:val="21"/>
                    </w:rPr>
                    <w:t>时段</w:t>
                  </w:r>
                </w:p>
              </w:tc>
              <w:tc>
                <w:tcPr>
                  <w:tcW w:w="637" w:type="pct"/>
                  <w:vAlign w:val="center"/>
                </w:tcPr>
                <w:p w14:paraId="54DB50DE">
                  <w:pPr>
                    <w:spacing w:line="240" w:lineRule="auto"/>
                    <w:ind w:firstLine="0" w:firstLineChars="0"/>
                    <w:jc w:val="center"/>
                    <w:rPr>
                      <w:rFonts w:hint="default" w:eastAsia="宋体"/>
                      <w:b/>
                      <w:bCs/>
                      <w:sz w:val="21"/>
                      <w:szCs w:val="21"/>
                      <w:lang w:val="en-US" w:eastAsia="zh-CN"/>
                    </w:rPr>
                  </w:pPr>
                  <w:r>
                    <w:rPr>
                      <w:rFonts w:hint="eastAsia"/>
                      <w:b/>
                      <w:bCs/>
                      <w:sz w:val="21"/>
                      <w:szCs w:val="21"/>
                      <w:lang w:val="en-US" w:eastAsia="zh-CN"/>
                    </w:rPr>
                    <w:t>现有工程</w:t>
                  </w:r>
                  <w:r>
                    <w:rPr>
                      <w:b/>
                      <w:bCs/>
                      <w:sz w:val="21"/>
                      <w:szCs w:val="21"/>
                    </w:rPr>
                    <w:t>dB（A）</w:t>
                  </w:r>
                </w:p>
              </w:tc>
              <w:tc>
                <w:tcPr>
                  <w:tcW w:w="881" w:type="pct"/>
                  <w:vAlign w:val="center"/>
                </w:tcPr>
                <w:p w14:paraId="13EA7DDF">
                  <w:pPr>
                    <w:spacing w:line="240" w:lineRule="auto"/>
                    <w:ind w:firstLine="0" w:firstLineChars="0"/>
                    <w:jc w:val="center"/>
                    <w:rPr>
                      <w:rFonts w:cs="Times New Roman"/>
                      <w:b/>
                      <w:bCs/>
                      <w:sz w:val="21"/>
                      <w:szCs w:val="21"/>
                    </w:rPr>
                  </w:pPr>
                  <w:r>
                    <w:rPr>
                      <w:rFonts w:hint="eastAsia" w:cs="Times New Roman"/>
                      <w:b/>
                      <w:bCs/>
                      <w:sz w:val="21"/>
                      <w:szCs w:val="21"/>
                      <w:lang w:val="en-US" w:eastAsia="zh-CN"/>
                    </w:rPr>
                    <w:t>本项目</w:t>
                  </w:r>
                  <w:r>
                    <w:rPr>
                      <w:rFonts w:cs="Times New Roman"/>
                      <w:b/>
                      <w:bCs/>
                      <w:sz w:val="21"/>
                      <w:szCs w:val="21"/>
                    </w:rPr>
                    <w:t>贡献值</w:t>
                  </w:r>
                  <w:r>
                    <w:rPr>
                      <w:b/>
                      <w:bCs/>
                      <w:sz w:val="21"/>
                      <w:szCs w:val="21"/>
                    </w:rPr>
                    <w:t>dB（A）</w:t>
                  </w:r>
                </w:p>
              </w:tc>
              <w:tc>
                <w:tcPr>
                  <w:tcW w:w="763" w:type="pct"/>
                  <w:vAlign w:val="center"/>
                </w:tcPr>
                <w:p w14:paraId="64CEF8FD">
                  <w:pPr>
                    <w:spacing w:line="240" w:lineRule="auto"/>
                    <w:ind w:firstLine="0" w:firstLineChars="0"/>
                    <w:jc w:val="center"/>
                    <w:rPr>
                      <w:rFonts w:hint="default" w:eastAsia="宋体" w:cs="Times New Roman"/>
                      <w:b/>
                      <w:bCs/>
                      <w:sz w:val="21"/>
                      <w:szCs w:val="21"/>
                      <w:lang w:val="en-US" w:eastAsia="zh-CN"/>
                    </w:rPr>
                  </w:pPr>
                  <w:r>
                    <w:rPr>
                      <w:rFonts w:hint="eastAsia" w:cs="Times New Roman"/>
                      <w:b/>
                      <w:bCs/>
                      <w:sz w:val="21"/>
                      <w:szCs w:val="21"/>
                      <w:lang w:val="en-US" w:eastAsia="zh-CN"/>
                    </w:rPr>
                    <w:t>全厂贡献值</w:t>
                  </w:r>
                  <w:r>
                    <w:rPr>
                      <w:b/>
                      <w:bCs/>
                      <w:sz w:val="21"/>
                      <w:szCs w:val="21"/>
                    </w:rPr>
                    <w:t>dB（A）</w:t>
                  </w:r>
                </w:p>
              </w:tc>
              <w:tc>
                <w:tcPr>
                  <w:tcW w:w="637" w:type="pct"/>
                  <w:vAlign w:val="center"/>
                </w:tcPr>
                <w:p w14:paraId="3E8CAB32">
                  <w:pPr>
                    <w:spacing w:line="240" w:lineRule="auto"/>
                    <w:ind w:firstLine="0" w:firstLineChars="0"/>
                    <w:jc w:val="center"/>
                    <w:rPr>
                      <w:rFonts w:cs="Times New Roman"/>
                      <w:b/>
                      <w:bCs/>
                      <w:sz w:val="21"/>
                      <w:szCs w:val="21"/>
                    </w:rPr>
                  </w:pPr>
                  <w:r>
                    <w:rPr>
                      <w:rFonts w:cs="Times New Roman"/>
                      <w:b/>
                      <w:bCs/>
                      <w:sz w:val="21"/>
                      <w:szCs w:val="21"/>
                    </w:rPr>
                    <w:t>标准限值</w:t>
                  </w:r>
                </w:p>
              </w:tc>
              <w:tc>
                <w:tcPr>
                  <w:tcW w:w="524" w:type="pct"/>
                  <w:vAlign w:val="center"/>
                </w:tcPr>
                <w:p w14:paraId="452E0775">
                  <w:pPr>
                    <w:spacing w:line="240" w:lineRule="auto"/>
                    <w:ind w:firstLine="0" w:firstLineChars="0"/>
                    <w:jc w:val="center"/>
                    <w:rPr>
                      <w:rFonts w:cs="Times New Roman"/>
                      <w:b/>
                      <w:bCs/>
                      <w:sz w:val="21"/>
                      <w:szCs w:val="21"/>
                    </w:rPr>
                  </w:pPr>
                  <w:r>
                    <w:rPr>
                      <w:rFonts w:cs="Times New Roman"/>
                      <w:b/>
                      <w:bCs/>
                      <w:sz w:val="21"/>
                      <w:szCs w:val="21"/>
                    </w:rPr>
                    <w:t>达标</w:t>
                  </w:r>
                </w:p>
                <w:p w14:paraId="0E8B27E6">
                  <w:pPr>
                    <w:spacing w:line="240" w:lineRule="auto"/>
                    <w:ind w:firstLine="0" w:firstLineChars="0"/>
                    <w:jc w:val="center"/>
                    <w:rPr>
                      <w:rFonts w:cs="Times New Roman"/>
                      <w:b/>
                      <w:bCs/>
                      <w:sz w:val="21"/>
                      <w:szCs w:val="21"/>
                    </w:rPr>
                  </w:pPr>
                  <w:r>
                    <w:rPr>
                      <w:rFonts w:cs="Times New Roman"/>
                      <w:b/>
                      <w:bCs/>
                      <w:sz w:val="21"/>
                      <w:szCs w:val="21"/>
                    </w:rPr>
                    <w:t>情况</w:t>
                  </w:r>
                </w:p>
              </w:tc>
            </w:tr>
            <w:tr w14:paraId="131C5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Align w:val="center"/>
                </w:tcPr>
                <w:p w14:paraId="06782332">
                  <w:pPr>
                    <w:spacing w:line="240" w:lineRule="auto"/>
                    <w:ind w:firstLine="0" w:firstLineChars="0"/>
                    <w:jc w:val="center"/>
                    <w:rPr>
                      <w:rFonts w:cs="Times New Roman"/>
                      <w:spacing w:val="-3"/>
                      <w:sz w:val="21"/>
                      <w:szCs w:val="21"/>
                    </w:rPr>
                  </w:pPr>
                  <w:r>
                    <w:rPr>
                      <w:rFonts w:cs="Times New Roman"/>
                      <w:spacing w:val="-3"/>
                      <w:sz w:val="21"/>
                      <w:szCs w:val="21"/>
                    </w:rPr>
                    <w:t>北侧厂界外1m</w:t>
                  </w:r>
                </w:p>
              </w:tc>
              <w:tc>
                <w:tcPr>
                  <w:tcW w:w="509" w:type="pct"/>
                  <w:vAlign w:val="center"/>
                </w:tcPr>
                <w:p w14:paraId="56765420">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637" w:type="pct"/>
                  <w:shd w:val="clear" w:color="auto" w:fill="auto"/>
                  <w:vAlign w:val="center"/>
                </w:tcPr>
                <w:p w14:paraId="03DAD9DB">
                  <w:pPr>
                    <w:spacing w:line="240" w:lineRule="auto"/>
                    <w:ind w:firstLine="0" w:firstLineChars="0"/>
                    <w:jc w:val="center"/>
                    <w:rPr>
                      <w:rFonts w:hint="eastAsia" w:ascii="Times New Roman" w:hAnsi="Times New Roman" w:cs="Times New Roman" w:eastAsiaTheme="minorEastAsia"/>
                      <w:spacing w:val="-3"/>
                      <w:kern w:val="2"/>
                      <w:sz w:val="21"/>
                      <w:szCs w:val="21"/>
                      <w:lang w:val="en-US" w:eastAsia="zh-CN" w:bidi="ar-SA"/>
                    </w:rPr>
                  </w:pPr>
                  <w:r>
                    <w:rPr>
                      <w:rFonts w:hint="eastAsia" w:cs="Times New Roman"/>
                      <w:spacing w:val="-3"/>
                      <w:sz w:val="21"/>
                      <w:szCs w:val="21"/>
                      <w:lang w:val="en-US" w:eastAsia="zh-CN"/>
                    </w:rPr>
                    <w:t>22.88</w:t>
                  </w:r>
                </w:p>
              </w:tc>
              <w:tc>
                <w:tcPr>
                  <w:tcW w:w="881" w:type="pct"/>
                  <w:vAlign w:val="center"/>
                </w:tcPr>
                <w:p w14:paraId="3D71C50B">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14.55</w:t>
                  </w:r>
                </w:p>
              </w:tc>
              <w:tc>
                <w:tcPr>
                  <w:tcW w:w="763" w:type="pct"/>
                  <w:vAlign w:val="center"/>
                </w:tcPr>
                <w:p w14:paraId="49D10C84">
                  <w:pPr>
                    <w:spacing w:line="240" w:lineRule="auto"/>
                    <w:ind w:firstLine="0" w:firstLineChars="0"/>
                    <w:jc w:val="center"/>
                    <w:rPr>
                      <w:rFonts w:hint="default" w:cs="Times New Roman"/>
                      <w:spacing w:val="-3"/>
                      <w:sz w:val="21"/>
                      <w:szCs w:val="21"/>
                      <w:lang w:val="en-US" w:eastAsia="zh-CN"/>
                    </w:rPr>
                  </w:pPr>
                  <w:r>
                    <w:rPr>
                      <w:rFonts w:hint="eastAsia" w:cs="Times New Roman"/>
                      <w:spacing w:val="-3"/>
                      <w:sz w:val="21"/>
                      <w:szCs w:val="21"/>
                      <w:lang w:val="en-US" w:eastAsia="zh-CN"/>
                    </w:rPr>
                    <w:t>23.48</w:t>
                  </w:r>
                </w:p>
              </w:tc>
              <w:tc>
                <w:tcPr>
                  <w:tcW w:w="637" w:type="pct"/>
                  <w:vAlign w:val="center"/>
                </w:tcPr>
                <w:p w14:paraId="40EE3477">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524" w:type="pct"/>
                  <w:vAlign w:val="center"/>
                </w:tcPr>
                <w:p w14:paraId="519368C5">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3448C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Align w:val="center"/>
                </w:tcPr>
                <w:p w14:paraId="7C013A9B">
                  <w:pPr>
                    <w:spacing w:line="240" w:lineRule="auto"/>
                    <w:ind w:firstLine="0" w:firstLineChars="0"/>
                    <w:jc w:val="center"/>
                    <w:rPr>
                      <w:rFonts w:cs="Times New Roman"/>
                      <w:spacing w:val="-3"/>
                      <w:sz w:val="21"/>
                      <w:szCs w:val="21"/>
                    </w:rPr>
                  </w:pPr>
                  <w:r>
                    <w:rPr>
                      <w:rFonts w:cs="Times New Roman"/>
                      <w:spacing w:val="-3"/>
                      <w:sz w:val="21"/>
                      <w:szCs w:val="21"/>
                    </w:rPr>
                    <w:t>南侧厂界外1m</w:t>
                  </w:r>
                </w:p>
              </w:tc>
              <w:tc>
                <w:tcPr>
                  <w:tcW w:w="509" w:type="pct"/>
                  <w:vAlign w:val="center"/>
                </w:tcPr>
                <w:p w14:paraId="0D2B95C5">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637" w:type="pct"/>
                  <w:shd w:val="clear" w:color="auto" w:fill="auto"/>
                  <w:vAlign w:val="center"/>
                </w:tcPr>
                <w:p w14:paraId="2D9469A3">
                  <w:pPr>
                    <w:spacing w:line="240" w:lineRule="auto"/>
                    <w:ind w:firstLine="0" w:firstLineChars="0"/>
                    <w:jc w:val="center"/>
                    <w:rPr>
                      <w:rFonts w:hint="eastAsia" w:ascii="Times New Roman" w:hAnsi="Times New Roman" w:cs="Times New Roman" w:eastAsiaTheme="minorEastAsia"/>
                      <w:spacing w:val="-3"/>
                      <w:kern w:val="2"/>
                      <w:sz w:val="21"/>
                      <w:szCs w:val="21"/>
                      <w:lang w:val="en-US" w:eastAsia="zh-CN" w:bidi="ar-SA"/>
                    </w:rPr>
                  </w:pPr>
                  <w:r>
                    <w:rPr>
                      <w:rFonts w:hint="eastAsia" w:cs="Times New Roman"/>
                      <w:spacing w:val="-3"/>
                      <w:sz w:val="21"/>
                      <w:szCs w:val="21"/>
                      <w:lang w:val="en-US" w:eastAsia="zh-CN"/>
                    </w:rPr>
                    <w:t>20.01</w:t>
                  </w:r>
                </w:p>
              </w:tc>
              <w:tc>
                <w:tcPr>
                  <w:tcW w:w="881" w:type="pct"/>
                  <w:vAlign w:val="center"/>
                </w:tcPr>
                <w:p w14:paraId="0C5F3272">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10.12</w:t>
                  </w:r>
                </w:p>
              </w:tc>
              <w:tc>
                <w:tcPr>
                  <w:tcW w:w="763" w:type="pct"/>
                  <w:vAlign w:val="center"/>
                </w:tcPr>
                <w:p w14:paraId="14FF8351">
                  <w:pPr>
                    <w:spacing w:line="240" w:lineRule="auto"/>
                    <w:ind w:left="0" w:leftChars="0" w:firstLine="0" w:firstLineChars="0"/>
                    <w:jc w:val="center"/>
                    <w:rPr>
                      <w:rFonts w:hint="default" w:cs="Times New Roman"/>
                      <w:spacing w:val="-3"/>
                      <w:sz w:val="21"/>
                      <w:szCs w:val="21"/>
                      <w:lang w:val="en-US" w:eastAsia="zh-CN"/>
                    </w:rPr>
                  </w:pPr>
                  <w:r>
                    <w:rPr>
                      <w:rFonts w:hint="eastAsia" w:cs="Times New Roman"/>
                      <w:spacing w:val="-3"/>
                      <w:sz w:val="21"/>
                      <w:szCs w:val="21"/>
                      <w:lang w:val="en-US" w:eastAsia="zh-CN"/>
                    </w:rPr>
                    <w:t>20.43</w:t>
                  </w:r>
                </w:p>
              </w:tc>
              <w:tc>
                <w:tcPr>
                  <w:tcW w:w="637" w:type="pct"/>
                  <w:vAlign w:val="center"/>
                </w:tcPr>
                <w:p w14:paraId="4A30E88B">
                  <w:pPr>
                    <w:spacing w:line="240" w:lineRule="auto"/>
                    <w:ind w:left="0" w:leftChars="0"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65</w:t>
                  </w:r>
                </w:p>
              </w:tc>
              <w:tc>
                <w:tcPr>
                  <w:tcW w:w="524" w:type="pct"/>
                  <w:vAlign w:val="center"/>
                </w:tcPr>
                <w:p w14:paraId="6FA1D0BC">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65347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Align w:val="center"/>
                </w:tcPr>
                <w:p w14:paraId="4BE7BF02">
                  <w:pPr>
                    <w:spacing w:line="240" w:lineRule="auto"/>
                    <w:ind w:firstLine="0" w:firstLineChars="0"/>
                    <w:jc w:val="center"/>
                    <w:rPr>
                      <w:rFonts w:cs="Times New Roman"/>
                      <w:spacing w:val="-3"/>
                      <w:sz w:val="21"/>
                      <w:szCs w:val="21"/>
                    </w:rPr>
                  </w:pPr>
                  <w:r>
                    <w:rPr>
                      <w:rFonts w:cs="Times New Roman"/>
                      <w:spacing w:val="-3"/>
                      <w:sz w:val="21"/>
                      <w:szCs w:val="21"/>
                    </w:rPr>
                    <w:t>东侧厂界外1m</w:t>
                  </w:r>
                </w:p>
              </w:tc>
              <w:tc>
                <w:tcPr>
                  <w:tcW w:w="509" w:type="pct"/>
                  <w:vAlign w:val="center"/>
                </w:tcPr>
                <w:p w14:paraId="1566AB33">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637" w:type="pct"/>
                  <w:shd w:val="clear" w:color="auto" w:fill="auto"/>
                  <w:vAlign w:val="center"/>
                </w:tcPr>
                <w:p w14:paraId="2F14E32E">
                  <w:pPr>
                    <w:spacing w:line="240" w:lineRule="auto"/>
                    <w:ind w:firstLine="0" w:firstLineChars="0"/>
                    <w:jc w:val="center"/>
                    <w:rPr>
                      <w:rFonts w:hint="eastAsia" w:ascii="Times New Roman" w:hAnsi="Times New Roman" w:cs="Times New Roman" w:eastAsiaTheme="minorEastAsia"/>
                      <w:spacing w:val="-3"/>
                      <w:kern w:val="2"/>
                      <w:sz w:val="21"/>
                      <w:szCs w:val="21"/>
                      <w:lang w:val="en-US" w:eastAsia="zh-CN" w:bidi="ar-SA"/>
                    </w:rPr>
                  </w:pPr>
                  <w:r>
                    <w:rPr>
                      <w:rFonts w:hint="eastAsia" w:cs="Times New Roman"/>
                      <w:spacing w:val="-3"/>
                      <w:sz w:val="21"/>
                      <w:szCs w:val="21"/>
                      <w:lang w:val="en-US" w:eastAsia="zh-CN"/>
                    </w:rPr>
                    <w:t>30.48</w:t>
                  </w:r>
                </w:p>
              </w:tc>
              <w:tc>
                <w:tcPr>
                  <w:tcW w:w="881" w:type="pct"/>
                  <w:vAlign w:val="center"/>
                </w:tcPr>
                <w:p w14:paraId="525A5A0A">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23.14</w:t>
                  </w:r>
                </w:p>
              </w:tc>
              <w:tc>
                <w:tcPr>
                  <w:tcW w:w="763" w:type="pct"/>
                  <w:vAlign w:val="center"/>
                </w:tcPr>
                <w:p w14:paraId="76084C42">
                  <w:pPr>
                    <w:spacing w:line="240" w:lineRule="auto"/>
                    <w:ind w:left="0" w:leftChars="0" w:firstLine="0" w:firstLineChars="0"/>
                    <w:jc w:val="center"/>
                    <w:rPr>
                      <w:rFonts w:hint="default" w:cs="Times New Roman"/>
                      <w:spacing w:val="-3"/>
                      <w:sz w:val="21"/>
                      <w:szCs w:val="21"/>
                      <w:lang w:val="en-US" w:eastAsia="zh-CN"/>
                    </w:rPr>
                  </w:pPr>
                  <w:r>
                    <w:rPr>
                      <w:rFonts w:hint="eastAsia" w:cs="Times New Roman"/>
                      <w:spacing w:val="-3"/>
                      <w:sz w:val="21"/>
                      <w:szCs w:val="21"/>
                      <w:lang w:val="en-US" w:eastAsia="zh-CN"/>
                    </w:rPr>
                    <w:t>31.22</w:t>
                  </w:r>
                </w:p>
              </w:tc>
              <w:tc>
                <w:tcPr>
                  <w:tcW w:w="637" w:type="pct"/>
                  <w:vAlign w:val="center"/>
                </w:tcPr>
                <w:p w14:paraId="4E5AFA11">
                  <w:pPr>
                    <w:spacing w:line="240" w:lineRule="auto"/>
                    <w:ind w:left="0" w:leftChars="0" w:firstLine="0" w:firstLineChars="0"/>
                    <w:jc w:val="center"/>
                    <w:rPr>
                      <w:rFonts w:cs="Times New Roman"/>
                      <w:spacing w:val="-3"/>
                      <w:sz w:val="21"/>
                      <w:szCs w:val="21"/>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524" w:type="pct"/>
                  <w:vAlign w:val="center"/>
                </w:tcPr>
                <w:p w14:paraId="42671C57">
                  <w:pPr>
                    <w:spacing w:line="240" w:lineRule="auto"/>
                    <w:ind w:firstLine="0" w:firstLineChars="0"/>
                    <w:jc w:val="center"/>
                    <w:rPr>
                      <w:rFonts w:cs="Times New Roman"/>
                      <w:spacing w:val="-3"/>
                      <w:sz w:val="21"/>
                      <w:szCs w:val="21"/>
                    </w:rPr>
                  </w:pPr>
                  <w:r>
                    <w:rPr>
                      <w:rFonts w:cs="Times New Roman"/>
                      <w:spacing w:val="-3"/>
                      <w:sz w:val="21"/>
                      <w:szCs w:val="21"/>
                    </w:rPr>
                    <w:t>达标</w:t>
                  </w:r>
                </w:p>
              </w:tc>
            </w:tr>
            <w:tr w14:paraId="53B19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Align w:val="center"/>
                </w:tcPr>
                <w:p w14:paraId="71C78EF5">
                  <w:pPr>
                    <w:spacing w:line="240" w:lineRule="auto"/>
                    <w:ind w:firstLine="0" w:firstLineChars="0"/>
                    <w:jc w:val="center"/>
                    <w:rPr>
                      <w:rFonts w:cs="Times New Roman"/>
                      <w:spacing w:val="-3"/>
                      <w:sz w:val="21"/>
                      <w:szCs w:val="21"/>
                    </w:rPr>
                  </w:pPr>
                  <w:r>
                    <w:rPr>
                      <w:rFonts w:cs="Times New Roman"/>
                      <w:spacing w:val="-3"/>
                      <w:sz w:val="21"/>
                      <w:szCs w:val="21"/>
                    </w:rPr>
                    <w:t>西侧厂界外1m</w:t>
                  </w:r>
                </w:p>
              </w:tc>
              <w:tc>
                <w:tcPr>
                  <w:tcW w:w="509" w:type="pct"/>
                  <w:vAlign w:val="center"/>
                </w:tcPr>
                <w:p w14:paraId="7896DD65">
                  <w:pPr>
                    <w:spacing w:line="240" w:lineRule="auto"/>
                    <w:ind w:firstLine="0" w:firstLineChars="0"/>
                    <w:jc w:val="center"/>
                    <w:rPr>
                      <w:rFonts w:cs="Times New Roman"/>
                      <w:spacing w:val="-3"/>
                      <w:sz w:val="21"/>
                      <w:szCs w:val="21"/>
                    </w:rPr>
                  </w:pPr>
                  <w:r>
                    <w:rPr>
                      <w:rFonts w:cs="Times New Roman"/>
                      <w:spacing w:val="-3"/>
                      <w:sz w:val="21"/>
                      <w:szCs w:val="21"/>
                    </w:rPr>
                    <w:t>昼间</w:t>
                  </w:r>
                </w:p>
              </w:tc>
              <w:tc>
                <w:tcPr>
                  <w:tcW w:w="637" w:type="pct"/>
                  <w:shd w:val="clear" w:color="auto" w:fill="auto"/>
                  <w:vAlign w:val="center"/>
                </w:tcPr>
                <w:p w14:paraId="08421390">
                  <w:pPr>
                    <w:spacing w:line="240" w:lineRule="auto"/>
                    <w:ind w:firstLine="0" w:firstLineChars="0"/>
                    <w:jc w:val="center"/>
                    <w:rPr>
                      <w:rFonts w:hint="eastAsia" w:ascii="Times New Roman" w:hAnsi="Times New Roman" w:cs="Times New Roman" w:eastAsiaTheme="minorEastAsia"/>
                      <w:spacing w:val="-3"/>
                      <w:kern w:val="2"/>
                      <w:sz w:val="21"/>
                      <w:szCs w:val="21"/>
                      <w:lang w:val="en-US" w:eastAsia="zh-CN" w:bidi="ar-SA"/>
                    </w:rPr>
                  </w:pPr>
                  <w:r>
                    <w:rPr>
                      <w:rFonts w:hint="eastAsia" w:cs="Times New Roman"/>
                      <w:spacing w:val="-3"/>
                      <w:sz w:val="21"/>
                      <w:szCs w:val="21"/>
                      <w:lang w:val="en-US" w:eastAsia="zh-CN"/>
                    </w:rPr>
                    <w:t>26.68</w:t>
                  </w:r>
                </w:p>
              </w:tc>
              <w:tc>
                <w:tcPr>
                  <w:tcW w:w="881" w:type="pct"/>
                  <w:vAlign w:val="center"/>
                </w:tcPr>
                <w:p w14:paraId="406266B0">
                  <w:pPr>
                    <w:spacing w:line="240" w:lineRule="auto"/>
                    <w:ind w:firstLine="0" w:firstLineChars="0"/>
                    <w:jc w:val="center"/>
                    <w:rPr>
                      <w:rFonts w:hint="default" w:cs="Times New Roman" w:eastAsiaTheme="minorEastAsia"/>
                      <w:spacing w:val="-3"/>
                      <w:sz w:val="21"/>
                      <w:szCs w:val="21"/>
                      <w:lang w:val="en-US" w:eastAsia="zh-CN"/>
                    </w:rPr>
                  </w:pPr>
                  <w:r>
                    <w:rPr>
                      <w:rFonts w:hint="eastAsia" w:cs="Times New Roman"/>
                      <w:spacing w:val="-3"/>
                      <w:sz w:val="21"/>
                      <w:szCs w:val="21"/>
                      <w:lang w:val="en-US" w:eastAsia="zh-CN"/>
                    </w:rPr>
                    <w:t>18.10</w:t>
                  </w:r>
                </w:p>
              </w:tc>
              <w:tc>
                <w:tcPr>
                  <w:tcW w:w="763" w:type="pct"/>
                  <w:vAlign w:val="center"/>
                </w:tcPr>
                <w:p w14:paraId="1E9B269F">
                  <w:pPr>
                    <w:spacing w:line="240" w:lineRule="auto"/>
                    <w:ind w:left="0" w:leftChars="0" w:firstLine="0" w:firstLineChars="0"/>
                    <w:jc w:val="center"/>
                    <w:rPr>
                      <w:rFonts w:hint="default" w:cs="Times New Roman"/>
                      <w:spacing w:val="-3"/>
                      <w:sz w:val="21"/>
                      <w:szCs w:val="21"/>
                      <w:lang w:val="en-US" w:eastAsia="zh-CN"/>
                    </w:rPr>
                  </w:pPr>
                  <w:r>
                    <w:rPr>
                      <w:rFonts w:hint="eastAsia" w:cs="Times New Roman"/>
                      <w:spacing w:val="-3"/>
                      <w:sz w:val="21"/>
                      <w:szCs w:val="21"/>
                      <w:lang w:val="en-US" w:eastAsia="zh-CN"/>
                    </w:rPr>
                    <w:t>27.24</w:t>
                  </w:r>
                </w:p>
              </w:tc>
              <w:tc>
                <w:tcPr>
                  <w:tcW w:w="637" w:type="pct"/>
                  <w:vAlign w:val="center"/>
                </w:tcPr>
                <w:p w14:paraId="77C1647B">
                  <w:pPr>
                    <w:spacing w:line="240" w:lineRule="auto"/>
                    <w:ind w:left="0" w:leftChars="0" w:firstLine="0" w:firstLineChars="0"/>
                    <w:jc w:val="center"/>
                    <w:rPr>
                      <w:rFonts w:hint="default" w:cs="Times New Roman"/>
                      <w:spacing w:val="-3"/>
                      <w:sz w:val="21"/>
                      <w:szCs w:val="21"/>
                      <w:lang w:val="en-US"/>
                    </w:rPr>
                  </w:pPr>
                  <w:r>
                    <w:rPr>
                      <w:rFonts w:hint="eastAsia" w:cs="Times New Roman"/>
                      <w:spacing w:val="-3"/>
                      <w:sz w:val="21"/>
                      <w:szCs w:val="21"/>
                      <w:lang w:eastAsia="zh-CN"/>
                    </w:rPr>
                    <w:t>6</w:t>
                  </w:r>
                  <w:r>
                    <w:rPr>
                      <w:rFonts w:hint="eastAsia" w:cs="Times New Roman"/>
                      <w:spacing w:val="-3"/>
                      <w:sz w:val="21"/>
                      <w:szCs w:val="21"/>
                      <w:lang w:val="en-US" w:eastAsia="zh-CN"/>
                    </w:rPr>
                    <w:t>5</w:t>
                  </w:r>
                </w:p>
              </w:tc>
              <w:tc>
                <w:tcPr>
                  <w:tcW w:w="524" w:type="pct"/>
                  <w:vAlign w:val="center"/>
                </w:tcPr>
                <w:p w14:paraId="156BE254">
                  <w:pPr>
                    <w:spacing w:line="240" w:lineRule="auto"/>
                    <w:ind w:firstLine="0" w:firstLineChars="0"/>
                    <w:jc w:val="center"/>
                    <w:rPr>
                      <w:rFonts w:cs="Times New Roman"/>
                      <w:spacing w:val="-3"/>
                      <w:sz w:val="21"/>
                      <w:szCs w:val="21"/>
                    </w:rPr>
                  </w:pPr>
                  <w:r>
                    <w:rPr>
                      <w:rFonts w:cs="Times New Roman"/>
                      <w:spacing w:val="-3"/>
                      <w:sz w:val="21"/>
                      <w:szCs w:val="21"/>
                    </w:rPr>
                    <w:t>达标</w:t>
                  </w:r>
                </w:p>
              </w:tc>
            </w:tr>
          </w:tbl>
          <w:p w14:paraId="0D811181">
            <w:pPr>
              <w:widowControl w:val="0"/>
              <w:wordWrap w:val="0"/>
              <w:jc w:val="center"/>
              <w:rPr>
                <w:rFonts w:ascii="Times New Roman" w:hAnsi="Times New Roman" w:eastAsia="宋体" w:cs="Times New Roman"/>
                <w:b/>
                <w:color w:val="auto"/>
                <w:kern w:val="2"/>
                <w:sz w:val="24"/>
                <w:szCs w:val="24"/>
                <w:lang w:val="en-US" w:eastAsia="zh-CN" w:bidi="ar-SA"/>
              </w:rPr>
            </w:pPr>
            <w:r>
              <w:drawing>
                <wp:inline distT="0" distB="0" distL="114300" distR="114300">
                  <wp:extent cx="4521200" cy="3286125"/>
                  <wp:effectExtent l="0" t="0" r="12700" b="952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8"/>
                          <a:stretch>
                            <a:fillRect/>
                          </a:stretch>
                        </pic:blipFill>
                        <pic:spPr>
                          <a:xfrm>
                            <a:off x="0" y="0"/>
                            <a:ext cx="4521200" cy="3286125"/>
                          </a:xfrm>
                          <a:prstGeom prst="rect">
                            <a:avLst/>
                          </a:prstGeom>
                          <a:noFill/>
                          <a:ln>
                            <a:noFill/>
                          </a:ln>
                        </pic:spPr>
                      </pic:pic>
                    </a:graphicData>
                  </a:graphic>
                </wp:inline>
              </w:drawing>
            </w:r>
          </w:p>
          <w:p w14:paraId="3F601FB8">
            <w:pPr>
              <w:pStyle w:val="7"/>
              <w:widowControl w:val="0"/>
              <w:wordWrap w:val="0"/>
              <w:ind w:firstLineChars="0"/>
              <w:jc w:val="center"/>
              <w:rPr>
                <w:lang w:val="en-US" w:eastAsia="zh-CN"/>
              </w:rPr>
            </w:pPr>
            <w:r>
              <w:rPr>
                <w:rFonts w:hint="eastAsia"/>
                <w:lang w:val="en-US" w:eastAsia="zh-CN"/>
              </w:rPr>
              <w:t>图4-1   噪声预测贡献值等声级线图</w:t>
            </w:r>
          </w:p>
          <w:p w14:paraId="69AD5858">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根据现场调查，本项目厂界周边50米范围内无声环境保护目标。根据预测结果，叠加</w:t>
            </w:r>
            <w:r>
              <w:rPr>
                <w:rFonts w:hint="eastAsia" w:ascii="Times New Roman" w:hAnsi="Times New Roman" w:eastAsia="宋体" w:cs="Times New Roman"/>
                <w:color w:val="auto"/>
                <w:kern w:val="24"/>
                <w:sz w:val="24"/>
                <w:lang w:val="en-US" w:eastAsia="zh-CN" w:bidi="ar-SA"/>
              </w:rPr>
              <w:t>现有工程</w:t>
            </w:r>
            <w:r>
              <w:rPr>
                <w:rFonts w:hint="eastAsia" w:cs="Times New Roman"/>
                <w:color w:val="auto"/>
                <w:kern w:val="24"/>
                <w:sz w:val="24"/>
                <w:lang w:val="en-US" w:eastAsia="zh-CN" w:bidi="ar-SA"/>
              </w:rPr>
              <w:t>噪声源贡献值</w:t>
            </w:r>
            <w:r>
              <w:rPr>
                <w:rFonts w:ascii="Times New Roman" w:hAnsi="Times New Roman" w:eastAsia="宋体" w:cs="Times New Roman"/>
                <w:color w:val="auto"/>
                <w:kern w:val="24"/>
                <w:sz w:val="24"/>
                <w:lang w:val="en-US" w:eastAsia="zh-CN" w:bidi="ar-SA"/>
              </w:rPr>
              <w:t>，本项目建成后厂界昼间噪声</w:t>
            </w:r>
            <w:r>
              <w:rPr>
                <w:rFonts w:hint="eastAsia" w:cs="Times New Roman"/>
                <w:color w:val="auto"/>
                <w:kern w:val="24"/>
                <w:sz w:val="24"/>
                <w:lang w:val="en-US" w:eastAsia="zh-CN" w:bidi="ar-SA"/>
              </w:rPr>
              <w:t>贡献值</w:t>
            </w:r>
            <w:r>
              <w:rPr>
                <w:rFonts w:ascii="Times New Roman" w:hAnsi="Times New Roman" w:eastAsia="宋体" w:cs="Times New Roman"/>
                <w:color w:val="auto"/>
                <w:kern w:val="24"/>
                <w:sz w:val="24"/>
                <w:lang w:val="en-US" w:eastAsia="zh-CN" w:bidi="ar-SA"/>
              </w:rPr>
              <w:t>可达到《工业企业厂界环境噪声排放标准》（GB12348-2008）中3类标准，不会改变评价区域内声环境质量现状。</w:t>
            </w:r>
          </w:p>
          <w:p w14:paraId="12C0E385">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（4）监测计划</w:t>
            </w:r>
          </w:p>
          <w:p w14:paraId="11580E23">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项目营运期噪声监测要求如下：</w:t>
            </w:r>
          </w:p>
          <w:p w14:paraId="4DC5F7B4">
            <w:pPr>
              <w:pStyle w:val="7"/>
              <w:widowControl w:val="0"/>
              <w:wordWrap w:val="0"/>
              <w:ind w:firstLineChars="0"/>
              <w:jc w:val="center"/>
              <w:rPr>
                <w:lang w:val="en-US" w:eastAsia="zh-CN"/>
              </w:rPr>
            </w:pPr>
            <w:r>
              <w:rPr>
                <w:rFonts w:hint="eastAsia"/>
                <w:lang w:val="en-US" w:eastAsia="zh-CN"/>
              </w:rPr>
              <w:t>表4-15  项目营运期噪声监测方案</w:t>
            </w:r>
          </w:p>
          <w:tbl>
            <w:tblPr>
              <w:tblStyle w:val="30"/>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916"/>
              <w:gridCol w:w="1972"/>
              <w:gridCol w:w="1663"/>
              <w:gridCol w:w="2433"/>
            </w:tblGrid>
            <w:tr w14:paraId="431A30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8" w:type="pct"/>
                  <w:tcBorders>
                    <w:tl2br w:val="nil"/>
                    <w:tr2bl w:val="nil"/>
                  </w:tcBorders>
                  <w:tcMar>
                    <w:left w:w="0" w:type="dxa"/>
                    <w:right w:w="0" w:type="dxa"/>
                  </w:tcMar>
                  <w:vAlign w:val="center"/>
                </w:tcPr>
                <w:p w14:paraId="1F10A782">
                  <w:pPr>
                    <w:pStyle w:val="5"/>
                    <w:bidi w:val="0"/>
                    <w:rPr>
                      <w:b/>
                      <w:bCs/>
                      <w:lang w:val="en-US" w:eastAsia="zh-CN"/>
                    </w:rPr>
                  </w:pPr>
                  <w:r>
                    <w:rPr>
                      <w:b/>
                      <w:bCs/>
                      <w:lang w:val="en-US" w:eastAsia="zh-CN"/>
                    </w:rPr>
                    <w:t>类别</w:t>
                  </w:r>
                </w:p>
              </w:tc>
              <w:tc>
                <w:tcPr>
                  <w:tcW w:w="1082" w:type="pct"/>
                  <w:tcBorders>
                    <w:tl2br w:val="nil"/>
                    <w:tr2bl w:val="nil"/>
                  </w:tcBorders>
                  <w:tcMar>
                    <w:left w:w="0" w:type="dxa"/>
                    <w:right w:w="0" w:type="dxa"/>
                  </w:tcMar>
                  <w:vAlign w:val="center"/>
                </w:tcPr>
                <w:p w14:paraId="5CCCE0DC">
                  <w:pPr>
                    <w:pStyle w:val="5"/>
                    <w:bidi w:val="0"/>
                    <w:rPr>
                      <w:b/>
                      <w:bCs/>
                      <w:lang w:val="en-US" w:eastAsia="zh-CN"/>
                    </w:rPr>
                  </w:pPr>
                  <w:r>
                    <w:rPr>
                      <w:b/>
                      <w:bCs/>
                      <w:lang w:val="en-US" w:eastAsia="zh-CN"/>
                    </w:rPr>
                    <w:t>监测点位</w:t>
                  </w:r>
                </w:p>
              </w:tc>
              <w:tc>
                <w:tcPr>
                  <w:tcW w:w="1114" w:type="pct"/>
                  <w:tcBorders>
                    <w:tl2br w:val="nil"/>
                    <w:tr2bl w:val="nil"/>
                  </w:tcBorders>
                  <w:tcMar>
                    <w:left w:w="0" w:type="dxa"/>
                    <w:right w:w="0" w:type="dxa"/>
                  </w:tcMar>
                  <w:vAlign w:val="center"/>
                </w:tcPr>
                <w:p w14:paraId="4B616DBD">
                  <w:pPr>
                    <w:pStyle w:val="5"/>
                    <w:bidi w:val="0"/>
                    <w:rPr>
                      <w:b/>
                      <w:bCs/>
                      <w:lang w:val="en-US" w:eastAsia="zh-CN"/>
                    </w:rPr>
                  </w:pPr>
                  <w:r>
                    <w:rPr>
                      <w:b/>
                      <w:bCs/>
                      <w:lang w:val="en-US" w:eastAsia="zh-CN"/>
                    </w:rPr>
                    <w:t>监测指标</w:t>
                  </w:r>
                </w:p>
              </w:tc>
              <w:tc>
                <w:tcPr>
                  <w:tcW w:w="939" w:type="pct"/>
                  <w:tcBorders>
                    <w:tl2br w:val="nil"/>
                    <w:tr2bl w:val="nil"/>
                  </w:tcBorders>
                  <w:tcMar>
                    <w:left w:w="0" w:type="dxa"/>
                    <w:right w:w="0" w:type="dxa"/>
                  </w:tcMar>
                  <w:vAlign w:val="center"/>
                </w:tcPr>
                <w:p w14:paraId="4934E863">
                  <w:pPr>
                    <w:pStyle w:val="5"/>
                    <w:bidi w:val="0"/>
                    <w:rPr>
                      <w:b/>
                      <w:bCs/>
                      <w:lang w:val="en-US" w:eastAsia="zh-CN"/>
                    </w:rPr>
                  </w:pPr>
                  <w:r>
                    <w:rPr>
                      <w:b/>
                      <w:bCs/>
                      <w:lang w:val="en-US" w:eastAsia="zh-CN"/>
                    </w:rPr>
                    <w:t>监测频次</w:t>
                  </w:r>
                </w:p>
              </w:tc>
              <w:tc>
                <w:tcPr>
                  <w:tcW w:w="1374" w:type="pct"/>
                  <w:tcBorders>
                    <w:tl2br w:val="nil"/>
                    <w:tr2bl w:val="nil"/>
                  </w:tcBorders>
                  <w:tcMar>
                    <w:left w:w="0" w:type="dxa"/>
                    <w:right w:w="0" w:type="dxa"/>
                  </w:tcMar>
                  <w:vAlign w:val="center"/>
                </w:tcPr>
                <w:p w14:paraId="392CBBC0">
                  <w:pPr>
                    <w:pStyle w:val="5"/>
                    <w:bidi w:val="0"/>
                    <w:rPr>
                      <w:b/>
                      <w:bCs/>
                      <w:lang w:val="en-US" w:eastAsia="zh-CN"/>
                    </w:rPr>
                  </w:pPr>
                  <w:r>
                    <w:rPr>
                      <w:b/>
                      <w:bCs/>
                      <w:lang w:val="en-US" w:eastAsia="zh-CN"/>
                    </w:rPr>
                    <w:t>执行排放标准</w:t>
                  </w:r>
                </w:p>
              </w:tc>
            </w:tr>
            <w:tr w14:paraId="11A54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8" w:type="pct"/>
                  <w:tcBorders>
                    <w:tl2br w:val="nil"/>
                    <w:tr2bl w:val="nil"/>
                  </w:tcBorders>
                  <w:tcMar>
                    <w:left w:w="0" w:type="dxa"/>
                    <w:right w:w="0" w:type="dxa"/>
                  </w:tcMar>
                  <w:vAlign w:val="center"/>
                </w:tcPr>
                <w:p w14:paraId="2661C0BB">
                  <w:pPr>
                    <w:pStyle w:val="5"/>
                    <w:bidi w:val="0"/>
                    <w:rPr>
                      <w:lang w:val="en-US" w:eastAsia="zh-CN"/>
                    </w:rPr>
                  </w:pPr>
                  <w:r>
                    <w:rPr>
                      <w:lang w:val="en-US" w:eastAsia="zh-CN"/>
                    </w:rPr>
                    <w:t>噪声</w:t>
                  </w:r>
                </w:p>
              </w:tc>
              <w:tc>
                <w:tcPr>
                  <w:tcW w:w="1082" w:type="pct"/>
                  <w:tcBorders>
                    <w:tl2br w:val="nil"/>
                    <w:tr2bl w:val="nil"/>
                  </w:tcBorders>
                  <w:tcMar>
                    <w:left w:w="0" w:type="dxa"/>
                    <w:right w:w="0" w:type="dxa"/>
                  </w:tcMar>
                  <w:vAlign w:val="center"/>
                </w:tcPr>
                <w:p w14:paraId="3A297CC7">
                  <w:pPr>
                    <w:pStyle w:val="5"/>
                    <w:bidi w:val="0"/>
                    <w:rPr>
                      <w:lang w:val="en-US" w:eastAsia="zh-CN"/>
                    </w:rPr>
                  </w:pPr>
                  <w:r>
                    <w:rPr>
                      <w:rFonts w:hint="eastAsia"/>
                      <w:lang w:val="en-US" w:eastAsia="zh-CN"/>
                    </w:rPr>
                    <w:t>厂界</w:t>
                  </w:r>
                  <w:r>
                    <w:rPr>
                      <w:lang w:val="en-US" w:eastAsia="zh-CN"/>
                    </w:rPr>
                    <w:t>四周</w:t>
                  </w:r>
                  <w:r>
                    <w:rPr>
                      <w:rFonts w:hint="eastAsia"/>
                      <w:lang w:val="en-US" w:eastAsia="zh-CN"/>
                    </w:rPr>
                    <w:t>外1m处</w:t>
                  </w:r>
                </w:p>
              </w:tc>
              <w:tc>
                <w:tcPr>
                  <w:tcW w:w="1114" w:type="pct"/>
                  <w:tcBorders>
                    <w:tl2br w:val="nil"/>
                    <w:tr2bl w:val="nil"/>
                  </w:tcBorders>
                  <w:tcMar>
                    <w:left w:w="0" w:type="dxa"/>
                    <w:right w:w="0" w:type="dxa"/>
                  </w:tcMar>
                  <w:vAlign w:val="center"/>
                </w:tcPr>
                <w:p w14:paraId="09E41540">
                  <w:pPr>
                    <w:pStyle w:val="5"/>
                    <w:bidi w:val="0"/>
                    <w:rPr>
                      <w:lang w:val="en-US" w:eastAsia="zh-CN"/>
                    </w:rPr>
                  </w:pPr>
                  <w:r>
                    <w:rPr>
                      <w:lang w:val="en-US" w:eastAsia="zh-CN"/>
                    </w:rPr>
                    <w:t>等效连续A声级</w:t>
                  </w:r>
                </w:p>
              </w:tc>
              <w:tc>
                <w:tcPr>
                  <w:tcW w:w="939" w:type="pct"/>
                  <w:tcBorders>
                    <w:tl2br w:val="nil"/>
                    <w:tr2bl w:val="nil"/>
                  </w:tcBorders>
                  <w:tcMar>
                    <w:left w:w="0" w:type="dxa"/>
                    <w:right w:w="0" w:type="dxa"/>
                  </w:tcMar>
                  <w:vAlign w:val="center"/>
                </w:tcPr>
                <w:p w14:paraId="6FE9427E">
                  <w:pPr>
                    <w:pStyle w:val="5"/>
                    <w:bidi w:val="0"/>
                    <w:rPr>
                      <w:lang w:val="en-US" w:eastAsia="zh-CN"/>
                    </w:rPr>
                  </w:pPr>
                  <w:r>
                    <w:rPr>
                      <w:lang w:val="en-US" w:eastAsia="zh-CN"/>
                    </w:rPr>
                    <w:t>1次</w:t>
                  </w:r>
                  <w:r>
                    <w:rPr>
                      <w:rFonts w:hint="eastAsia"/>
                      <w:lang w:val="en-US" w:eastAsia="zh-CN"/>
                    </w:rPr>
                    <w:t>（昼间噪声）</w:t>
                  </w:r>
                  <w:r>
                    <w:rPr>
                      <w:lang w:val="en-US" w:eastAsia="zh-CN"/>
                    </w:rPr>
                    <w:t>/季度</w:t>
                  </w:r>
                </w:p>
              </w:tc>
              <w:tc>
                <w:tcPr>
                  <w:tcW w:w="1374" w:type="pct"/>
                  <w:tcBorders>
                    <w:tl2br w:val="nil"/>
                    <w:tr2bl w:val="nil"/>
                  </w:tcBorders>
                  <w:tcMar>
                    <w:left w:w="0" w:type="dxa"/>
                    <w:right w:w="0" w:type="dxa"/>
                  </w:tcMar>
                  <w:vAlign w:val="center"/>
                </w:tcPr>
                <w:p w14:paraId="320DAD60">
                  <w:pPr>
                    <w:pStyle w:val="5"/>
                    <w:bidi w:val="0"/>
                    <w:rPr>
                      <w:lang w:val="en-US" w:eastAsia="zh-CN"/>
                    </w:rPr>
                  </w:pPr>
                  <w:r>
                    <w:rPr>
                      <w:rFonts w:hint="eastAsia"/>
                      <w:lang w:val="en-US" w:eastAsia="zh-CN"/>
                    </w:rPr>
                    <w:t>《工业企业厂界环境噪声排放标准》（GB12348-2008）3类标准</w:t>
                  </w:r>
                </w:p>
              </w:tc>
            </w:tr>
          </w:tbl>
          <w:p w14:paraId="6D174016">
            <w:pPr>
              <w:pStyle w:val="38"/>
              <w:ind w:firstLine="482"/>
              <w:rPr>
                <w:b/>
                <w:bCs/>
                <w:color w:val="auto"/>
              </w:rPr>
            </w:pPr>
            <w:r>
              <w:rPr>
                <w:rFonts w:hint="eastAsia"/>
                <w:b/>
                <w:bCs/>
                <w:color w:val="auto"/>
              </w:rPr>
              <w:t>4、固体废物</w:t>
            </w:r>
          </w:p>
          <w:p w14:paraId="44B1E384">
            <w:pPr>
              <w:bidi w:val="0"/>
              <w:rPr>
                <w:rFonts w:hint="eastAsia"/>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一般固体废物：</w:t>
            </w:r>
            <w:r>
              <w:t>废</w:t>
            </w:r>
            <w:r>
              <w:rPr>
                <w:rFonts w:hint="eastAsia"/>
                <w:lang w:val="en-US" w:eastAsia="zh-CN"/>
              </w:rPr>
              <w:t>包装袋</w:t>
            </w:r>
            <w:r>
              <w:rPr>
                <w:rFonts w:hint="eastAsia"/>
              </w:rPr>
              <w:t>（固废类别及代码SW</w:t>
            </w:r>
            <w:r>
              <w:rPr>
                <w:rFonts w:hint="eastAsia"/>
                <w:lang w:val="en-US" w:eastAsia="zh-CN"/>
              </w:rPr>
              <w:t>17</w:t>
            </w:r>
            <w:r>
              <w:rPr>
                <w:rFonts w:hint="eastAsia"/>
              </w:rPr>
              <w:t xml:space="preserve">  900-005-S17</w:t>
            </w:r>
            <w:r>
              <w:rPr>
                <w:rFonts w:hint="eastAsia"/>
                <w:lang w:val="en-US" w:eastAsia="zh-CN"/>
              </w:rPr>
              <w:t>）</w:t>
            </w:r>
          </w:p>
          <w:p w14:paraId="12B0DAE5">
            <w:pPr>
              <w:spacing w:line="360" w:lineRule="auto"/>
              <w:ind w:firstLine="480" w:firstLineChars="200"/>
              <w:rPr>
                <w:sz w:val="24"/>
              </w:rPr>
            </w:pPr>
            <w:r>
              <w:rPr>
                <w:rFonts w:hint="eastAsia"/>
                <w:lang w:val="en-US" w:eastAsia="zh-CN"/>
              </w:rPr>
              <w:t>胶粘剂</w:t>
            </w:r>
            <w:r>
              <w:rPr>
                <w:rFonts w:hint="eastAsia"/>
              </w:rPr>
              <w:t>使用纸箱包装，</w:t>
            </w:r>
            <w:r>
              <w:rPr>
                <w:rFonts w:hint="eastAsia"/>
                <w:lang w:val="en-US" w:eastAsia="zh-CN"/>
              </w:rPr>
              <w:t>新增胶粘剂废包装材料约0.6t/a，总</w:t>
            </w:r>
            <w:r>
              <w:rPr>
                <w:rFonts w:hint="eastAsia"/>
              </w:rPr>
              <w:t>产生量</w:t>
            </w:r>
            <w:r>
              <w:rPr>
                <w:rFonts w:hint="eastAsia"/>
                <w:lang w:val="en-US" w:eastAsia="zh-CN"/>
              </w:rPr>
              <w:t>预计</w:t>
            </w:r>
            <w:r>
              <w:rPr>
                <w:rFonts w:hint="eastAsia"/>
              </w:rPr>
              <w:t>为</w:t>
            </w:r>
            <w:r>
              <w:rPr>
                <w:rFonts w:hint="eastAsia"/>
                <w:lang w:val="en-US" w:eastAsia="zh-CN"/>
              </w:rPr>
              <w:t>0.6</w:t>
            </w:r>
            <w:r>
              <w:rPr>
                <w:rFonts w:hint="eastAsia"/>
              </w:rPr>
              <w:t>t/a</w:t>
            </w:r>
            <w:r>
              <w:rPr>
                <w:rFonts w:hint="eastAsia"/>
                <w:lang w:eastAsia="zh-CN"/>
              </w:rPr>
              <w:t>，</w:t>
            </w:r>
            <w:r>
              <w:rPr>
                <w:rFonts w:hint="eastAsia"/>
                <w:sz w:val="24"/>
              </w:rPr>
              <w:t>收集后暂存于一般固废暂存点，定期外售处置。</w:t>
            </w:r>
          </w:p>
          <w:p w14:paraId="00A18E48">
            <w:pPr>
              <w:bidi w:val="0"/>
              <w:rPr>
                <w:rFonts w:hint="eastAsia"/>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危险固体废物</w:t>
            </w:r>
          </w:p>
          <w:p w14:paraId="71EEA2E1">
            <w:pPr>
              <w:bidi w:val="0"/>
              <w:rPr>
                <w:rFonts w:hint="default"/>
                <w:highlight w:val="none"/>
                <w:lang w:val="en-US" w:eastAsia="zh-CN"/>
              </w:rPr>
            </w:pPr>
            <w:r>
              <w:rPr>
                <w:rFonts w:hint="default"/>
                <w:highlight w:val="none"/>
                <w:lang w:val="en-US" w:eastAsia="zh-CN"/>
              </w:rPr>
              <w:t>①废活性炭（危废类别及代码HW49  900-039-49）</w:t>
            </w:r>
          </w:p>
          <w:p w14:paraId="2B938BE2">
            <w:pPr>
              <w:pStyle w:val="11"/>
              <w:jc w:val="both"/>
              <w:rPr>
                <w:rFonts w:hint="default"/>
                <w:lang w:val="en-US" w:eastAsia="zh-CN"/>
              </w:rPr>
            </w:pPr>
            <w:r>
              <w:rPr>
                <w:rFonts w:hint="eastAsia"/>
              </w:rPr>
              <w:t>总废弃活性炭产生量为</w:t>
            </w:r>
            <w:r>
              <w:rPr>
                <w:rFonts w:hint="eastAsia"/>
                <w:lang w:val="en-US" w:eastAsia="zh-CN"/>
              </w:rPr>
              <w:t>1.062</w:t>
            </w:r>
            <w:r>
              <w:rPr>
                <w:rFonts w:hint="eastAsia"/>
              </w:rPr>
              <w:t>t/a</w:t>
            </w:r>
            <w:r>
              <w:rPr>
                <w:rFonts w:hint="eastAsia"/>
                <w:lang w:eastAsia="zh-CN"/>
              </w:rPr>
              <w:t>，</w:t>
            </w:r>
            <w:r>
              <w:rPr>
                <w:rFonts w:hint="eastAsia"/>
              </w:rPr>
              <w:t>更换频次为每年更换</w:t>
            </w:r>
            <w:r>
              <w:rPr>
                <w:rFonts w:hint="eastAsia"/>
                <w:lang w:val="en-US" w:eastAsia="zh-CN"/>
              </w:rPr>
              <w:t>2</w:t>
            </w:r>
            <w:r>
              <w:rPr>
                <w:rFonts w:hint="eastAsia"/>
              </w:rPr>
              <w:t>次</w:t>
            </w:r>
            <w:r>
              <w:rPr>
                <w:rFonts w:hint="default"/>
                <w:lang w:val="en-US" w:eastAsia="zh-CN"/>
              </w:rPr>
              <w:t>，更换的废活性炭暂存于危废暂存间内，委托资质单位处置。</w:t>
            </w:r>
          </w:p>
          <w:p w14:paraId="33DD5164">
            <w:pPr>
              <w:bidi w:val="0"/>
              <w:rPr>
                <w:rFonts w:hint="default"/>
                <w:lang w:val="en-US" w:eastAsia="zh-CN"/>
              </w:rPr>
            </w:pPr>
            <w:r>
              <w:rPr>
                <w:rFonts w:hint="default"/>
                <w:lang w:val="en-US" w:eastAsia="zh-CN"/>
              </w:rPr>
              <w:t>②废</w:t>
            </w:r>
            <w:r>
              <w:rPr>
                <w:rFonts w:hint="eastAsia"/>
                <w:lang w:val="en-US" w:eastAsia="zh-CN"/>
              </w:rPr>
              <w:t>胶粘剂瓶</w:t>
            </w:r>
            <w:r>
              <w:rPr>
                <w:rFonts w:hint="default"/>
                <w:lang w:val="en-US" w:eastAsia="zh-CN"/>
              </w:rPr>
              <w:t xml:space="preserve">（危废类别及代码HW49 </w:t>
            </w:r>
            <w:r>
              <w:rPr>
                <w:rFonts w:hint="eastAsia"/>
                <w:lang w:val="en-US" w:eastAsia="zh-CN"/>
              </w:rPr>
              <w:t xml:space="preserve"> </w:t>
            </w:r>
            <w:r>
              <w:rPr>
                <w:rFonts w:hint="default"/>
                <w:lang w:val="en-US" w:eastAsia="zh-CN"/>
              </w:rPr>
              <w:t>900-041-49）</w:t>
            </w:r>
          </w:p>
          <w:p w14:paraId="0D15974C">
            <w:pPr>
              <w:bidi w:val="0"/>
              <w:rPr>
                <w:rFonts w:hint="default"/>
                <w:lang w:val="en-US" w:eastAsia="zh-CN"/>
              </w:rPr>
            </w:pPr>
            <w:r>
              <w:rPr>
                <w:rFonts w:hint="eastAsia"/>
                <w:lang w:val="en-US" w:eastAsia="zh-CN"/>
              </w:rPr>
              <w:t>胶粘剂内包装为瓶装，</w:t>
            </w:r>
            <w:r>
              <w:rPr>
                <w:rFonts w:hint="default"/>
                <w:lang w:val="en-US" w:eastAsia="zh-CN"/>
              </w:rPr>
              <w:t>根据胶水使用量，废</w:t>
            </w:r>
            <w:r>
              <w:rPr>
                <w:rFonts w:hint="eastAsia"/>
                <w:lang w:val="en-US" w:eastAsia="zh-CN"/>
              </w:rPr>
              <w:t>包装瓶</w:t>
            </w:r>
            <w:r>
              <w:rPr>
                <w:rFonts w:hint="default"/>
                <w:lang w:val="en-US" w:eastAsia="zh-CN"/>
              </w:rPr>
              <w:t>产生量共约</w:t>
            </w:r>
            <w:r>
              <w:rPr>
                <w:rFonts w:hint="eastAsia"/>
                <w:lang w:val="en-US" w:eastAsia="zh-CN"/>
              </w:rPr>
              <w:t>7245</w:t>
            </w:r>
            <w:r>
              <w:rPr>
                <w:rFonts w:hint="default"/>
                <w:lang w:val="en-US" w:eastAsia="zh-CN"/>
              </w:rPr>
              <w:t>个/a（约</w:t>
            </w:r>
            <w:r>
              <w:rPr>
                <w:rFonts w:hint="eastAsia"/>
                <w:lang w:val="en-US" w:eastAsia="zh-CN"/>
              </w:rPr>
              <w:t>0.42</w:t>
            </w:r>
            <w:r>
              <w:rPr>
                <w:rFonts w:hint="default"/>
                <w:lang w:val="en-US" w:eastAsia="zh-CN"/>
              </w:rPr>
              <w:t>t/a）。该部分固废收集后暂存于</w:t>
            </w:r>
            <w:r>
              <w:rPr>
                <w:rFonts w:hint="eastAsia"/>
                <w:lang w:val="en-US" w:eastAsia="zh-CN"/>
              </w:rPr>
              <w:t>危险废物</w:t>
            </w:r>
            <w:r>
              <w:rPr>
                <w:rFonts w:hint="default"/>
                <w:lang w:val="en-US" w:eastAsia="zh-CN"/>
              </w:rPr>
              <w:t>暂存间，定期</w:t>
            </w:r>
            <w:r>
              <w:rPr>
                <w:rFonts w:hint="eastAsia"/>
                <w:lang w:val="en-US" w:eastAsia="zh-CN"/>
              </w:rPr>
              <w:t>委托资质单位进行处置</w:t>
            </w:r>
            <w:r>
              <w:rPr>
                <w:rFonts w:hint="default"/>
                <w:lang w:val="en-US" w:eastAsia="zh-CN"/>
              </w:rPr>
              <w:t>。</w:t>
            </w:r>
          </w:p>
          <w:p w14:paraId="2D87C339">
            <w:pPr>
              <w:autoSpaceDE w:val="0"/>
              <w:autoSpaceDN w:val="0"/>
              <w:spacing w:line="360" w:lineRule="auto"/>
              <w:ind w:firstLine="480" w:firstLineChars="200"/>
              <w:jc w:val="left"/>
              <w:rPr>
                <w:color w:val="auto"/>
                <w:sz w:val="24"/>
              </w:rPr>
            </w:pPr>
            <w:r>
              <w:rPr>
                <w:color w:val="auto"/>
                <w:sz w:val="24"/>
              </w:rPr>
              <w:t>项目各类危险废物分别在《国家危险废物名录》（202</w:t>
            </w:r>
            <w:r>
              <w:rPr>
                <w:rFonts w:hint="eastAsia"/>
                <w:color w:val="auto"/>
                <w:sz w:val="24"/>
                <w:lang w:val="en-US" w:eastAsia="zh-CN"/>
              </w:rPr>
              <w:t>5</w:t>
            </w:r>
            <w:r>
              <w:rPr>
                <w:color w:val="auto"/>
                <w:sz w:val="24"/>
              </w:rPr>
              <w:t>年版）中的属性</w:t>
            </w:r>
            <w:r>
              <w:rPr>
                <w:rFonts w:hint="eastAsia"/>
                <w:color w:val="auto"/>
                <w:sz w:val="24"/>
                <w:lang w:val="en-US" w:eastAsia="zh-CN"/>
              </w:rPr>
              <w:t>见</w:t>
            </w:r>
            <w:r>
              <w:rPr>
                <w:color w:val="auto"/>
                <w:sz w:val="24"/>
              </w:rPr>
              <w:t>下表。</w:t>
            </w:r>
          </w:p>
          <w:p w14:paraId="53620C61">
            <w:pPr>
              <w:pStyle w:val="7"/>
              <w:ind w:firstLineChars="0"/>
            </w:pPr>
            <w:r>
              <w:rPr>
                <w:rFonts w:hint="eastAsia"/>
              </w:rPr>
              <w:t>表4-</w:t>
            </w:r>
            <w:r>
              <w:rPr>
                <w:rFonts w:hint="eastAsia"/>
                <w:lang w:val="en-US" w:eastAsia="zh-CN"/>
              </w:rPr>
              <w:t>16</w:t>
            </w:r>
            <w:r>
              <w:rPr>
                <w:rFonts w:hint="eastAsia"/>
              </w:rPr>
              <w:t xml:space="preserve"> </w:t>
            </w:r>
            <w:r>
              <w:t xml:space="preserve">  </w:t>
            </w:r>
            <w:r>
              <w:rPr>
                <w:rFonts w:hint="eastAsia"/>
              </w:rPr>
              <w:t>危险废物汇总表</w:t>
            </w:r>
          </w:p>
          <w:tbl>
            <w:tblPr>
              <w:tblStyle w:val="30"/>
              <w:tblW w:w="88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1044"/>
              <w:gridCol w:w="998"/>
              <w:gridCol w:w="1104"/>
              <w:gridCol w:w="873"/>
              <w:gridCol w:w="613"/>
              <w:gridCol w:w="496"/>
              <w:gridCol w:w="936"/>
              <w:gridCol w:w="627"/>
              <w:gridCol w:w="689"/>
              <w:gridCol w:w="625"/>
              <w:gridCol w:w="845"/>
            </w:tblGrid>
            <w:tr w14:paraId="1BDC85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369" w:hRule="atLeast"/>
                <w:jc w:val="center"/>
              </w:trPr>
              <w:tc>
                <w:tcPr>
                  <w:tcW w:w="589" w:type="pct"/>
                  <w:vAlign w:val="center"/>
                </w:tcPr>
                <w:p w14:paraId="4E501258">
                  <w:pPr>
                    <w:pStyle w:val="5"/>
                    <w:rPr>
                      <w:b/>
                      <w:bCs/>
                    </w:rPr>
                  </w:pPr>
                  <w:r>
                    <w:rPr>
                      <w:b/>
                      <w:bCs/>
                    </w:rPr>
                    <w:t>名称</w:t>
                  </w:r>
                </w:p>
              </w:tc>
              <w:tc>
                <w:tcPr>
                  <w:tcW w:w="563" w:type="pct"/>
                  <w:vAlign w:val="center"/>
                </w:tcPr>
                <w:p w14:paraId="2BE5E37C">
                  <w:pPr>
                    <w:pStyle w:val="5"/>
                    <w:rPr>
                      <w:b/>
                      <w:bCs/>
                    </w:rPr>
                  </w:pPr>
                  <w:r>
                    <w:rPr>
                      <w:b/>
                      <w:bCs/>
                    </w:rPr>
                    <w:t>危废类别</w:t>
                  </w:r>
                </w:p>
              </w:tc>
              <w:tc>
                <w:tcPr>
                  <w:tcW w:w="623" w:type="pct"/>
                  <w:vAlign w:val="center"/>
                </w:tcPr>
                <w:p w14:paraId="387107A1">
                  <w:pPr>
                    <w:pStyle w:val="5"/>
                    <w:rPr>
                      <w:b/>
                      <w:bCs/>
                    </w:rPr>
                  </w:pPr>
                  <w:r>
                    <w:rPr>
                      <w:b/>
                      <w:bCs/>
                    </w:rPr>
                    <w:t>危废代码</w:t>
                  </w:r>
                </w:p>
              </w:tc>
              <w:tc>
                <w:tcPr>
                  <w:tcW w:w="493" w:type="pct"/>
                  <w:vAlign w:val="center"/>
                </w:tcPr>
                <w:p w14:paraId="6B0D959A">
                  <w:pPr>
                    <w:pStyle w:val="5"/>
                    <w:rPr>
                      <w:b/>
                      <w:bCs/>
                    </w:rPr>
                  </w:pPr>
                  <w:r>
                    <w:rPr>
                      <w:b/>
                      <w:bCs/>
                    </w:rPr>
                    <w:t>年产量</w:t>
                  </w:r>
                </w:p>
                <w:p w14:paraId="2E90414E">
                  <w:pPr>
                    <w:pStyle w:val="5"/>
                    <w:rPr>
                      <w:b/>
                      <w:bCs/>
                    </w:rPr>
                  </w:pPr>
                  <w:r>
                    <w:rPr>
                      <w:b/>
                      <w:bCs/>
                    </w:rPr>
                    <w:t>t/a</w:t>
                  </w:r>
                </w:p>
              </w:tc>
              <w:tc>
                <w:tcPr>
                  <w:tcW w:w="346" w:type="pct"/>
                  <w:vAlign w:val="center"/>
                </w:tcPr>
                <w:p w14:paraId="2B0358E2">
                  <w:pPr>
                    <w:pStyle w:val="5"/>
                    <w:rPr>
                      <w:b/>
                      <w:bCs/>
                    </w:rPr>
                  </w:pPr>
                  <w:r>
                    <w:rPr>
                      <w:b/>
                      <w:bCs/>
                    </w:rPr>
                    <w:t>生产工序</w:t>
                  </w:r>
                </w:p>
              </w:tc>
              <w:tc>
                <w:tcPr>
                  <w:tcW w:w="280" w:type="pct"/>
                  <w:vAlign w:val="center"/>
                </w:tcPr>
                <w:p w14:paraId="043B6E3E">
                  <w:pPr>
                    <w:pStyle w:val="5"/>
                    <w:rPr>
                      <w:b/>
                      <w:bCs/>
                    </w:rPr>
                  </w:pPr>
                  <w:r>
                    <w:rPr>
                      <w:b/>
                      <w:bCs/>
                    </w:rPr>
                    <w:t>形态</w:t>
                  </w:r>
                </w:p>
              </w:tc>
              <w:tc>
                <w:tcPr>
                  <w:tcW w:w="528" w:type="pct"/>
                  <w:vAlign w:val="center"/>
                </w:tcPr>
                <w:p w14:paraId="6E06852F">
                  <w:pPr>
                    <w:pStyle w:val="5"/>
                    <w:rPr>
                      <w:b/>
                      <w:bCs/>
                    </w:rPr>
                  </w:pPr>
                  <w:r>
                    <w:rPr>
                      <w:b/>
                      <w:bCs/>
                    </w:rPr>
                    <w:t>主要成分</w:t>
                  </w:r>
                </w:p>
              </w:tc>
              <w:tc>
                <w:tcPr>
                  <w:tcW w:w="354" w:type="pct"/>
                  <w:vAlign w:val="center"/>
                </w:tcPr>
                <w:p w14:paraId="5610AA77">
                  <w:pPr>
                    <w:pStyle w:val="5"/>
                    <w:rPr>
                      <w:b/>
                      <w:bCs/>
                    </w:rPr>
                  </w:pPr>
                  <w:r>
                    <w:rPr>
                      <w:b/>
                      <w:bCs/>
                    </w:rPr>
                    <w:t>有害成分</w:t>
                  </w:r>
                </w:p>
              </w:tc>
              <w:tc>
                <w:tcPr>
                  <w:tcW w:w="389" w:type="pct"/>
                  <w:vAlign w:val="center"/>
                </w:tcPr>
                <w:p w14:paraId="3EB0E811">
                  <w:pPr>
                    <w:pStyle w:val="5"/>
                    <w:rPr>
                      <w:b/>
                      <w:bCs/>
                    </w:rPr>
                  </w:pPr>
                  <w:r>
                    <w:rPr>
                      <w:b/>
                      <w:bCs/>
                    </w:rPr>
                    <w:t>产废周期</w:t>
                  </w:r>
                </w:p>
              </w:tc>
              <w:tc>
                <w:tcPr>
                  <w:tcW w:w="353" w:type="pct"/>
                  <w:vAlign w:val="center"/>
                </w:tcPr>
                <w:p w14:paraId="6D7DD991">
                  <w:pPr>
                    <w:pStyle w:val="5"/>
                    <w:rPr>
                      <w:b/>
                      <w:bCs/>
                    </w:rPr>
                  </w:pPr>
                  <w:r>
                    <w:rPr>
                      <w:b/>
                      <w:bCs/>
                    </w:rPr>
                    <w:t>危废特性</w:t>
                  </w:r>
                </w:p>
              </w:tc>
              <w:tc>
                <w:tcPr>
                  <w:tcW w:w="477" w:type="pct"/>
                  <w:vAlign w:val="center"/>
                </w:tcPr>
                <w:p w14:paraId="33FBF433">
                  <w:pPr>
                    <w:pStyle w:val="5"/>
                    <w:rPr>
                      <w:b/>
                      <w:bCs/>
                    </w:rPr>
                  </w:pPr>
                  <w:r>
                    <w:rPr>
                      <w:b/>
                      <w:bCs/>
                    </w:rPr>
                    <w:t>污染防治措施</w:t>
                  </w:r>
                </w:p>
              </w:tc>
            </w:tr>
            <w:tr w14:paraId="262B0B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369" w:hRule="atLeast"/>
                <w:jc w:val="center"/>
              </w:trPr>
              <w:tc>
                <w:tcPr>
                  <w:tcW w:w="589" w:type="pct"/>
                  <w:vAlign w:val="center"/>
                </w:tcPr>
                <w:p w14:paraId="0503E57A">
                  <w:pPr>
                    <w:pStyle w:val="5"/>
                  </w:pPr>
                  <w:r>
                    <w:t>废活性炭</w:t>
                  </w:r>
                </w:p>
              </w:tc>
              <w:tc>
                <w:tcPr>
                  <w:tcW w:w="563" w:type="pct"/>
                  <w:vAlign w:val="center"/>
                </w:tcPr>
                <w:p w14:paraId="1A8E37F4">
                  <w:pPr>
                    <w:pStyle w:val="5"/>
                  </w:pPr>
                  <w:r>
                    <w:t>HW49</w:t>
                  </w:r>
                </w:p>
              </w:tc>
              <w:tc>
                <w:tcPr>
                  <w:tcW w:w="623" w:type="pct"/>
                  <w:vAlign w:val="center"/>
                </w:tcPr>
                <w:p w14:paraId="3552E46F">
                  <w:pPr>
                    <w:pStyle w:val="5"/>
                  </w:pPr>
                  <w:r>
                    <w:t>900-0</w:t>
                  </w:r>
                  <w:r>
                    <w:rPr>
                      <w:rFonts w:hint="eastAsia"/>
                      <w:lang w:val="en-US" w:eastAsia="zh-CN"/>
                    </w:rPr>
                    <w:t>3</w:t>
                  </w:r>
                  <w:r>
                    <w:rPr>
                      <w:rFonts w:hint="eastAsia"/>
                    </w:rPr>
                    <w:t>9</w:t>
                  </w:r>
                  <w:r>
                    <w:t>-49</w:t>
                  </w:r>
                </w:p>
              </w:tc>
              <w:tc>
                <w:tcPr>
                  <w:tcW w:w="493" w:type="pct"/>
                  <w:vAlign w:val="center"/>
                </w:tcPr>
                <w:p w14:paraId="19D09308">
                  <w:pPr>
                    <w:pStyle w:val="5"/>
                    <w:rPr>
                      <w:rFonts w:hint="default"/>
                      <w:lang w:val="en-US" w:eastAsia="zh-CN"/>
                    </w:rPr>
                  </w:pPr>
                  <w:r>
                    <w:rPr>
                      <w:rFonts w:hint="eastAsia"/>
                      <w:lang w:val="en-US" w:eastAsia="zh-CN"/>
                    </w:rPr>
                    <w:t>1.062</w:t>
                  </w:r>
                </w:p>
              </w:tc>
              <w:tc>
                <w:tcPr>
                  <w:tcW w:w="346" w:type="pct"/>
                  <w:vAlign w:val="center"/>
                </w:tcPr>
                <w:p w14:paraId="21619A70">
                  <w:pPr>
                    <w:pStyle w:val="5"/>
                  </w:pPr>
                  <w:r>
                    <w:t>废气处理</w:t>
                  </w:r>
                </w:p>
              </w:tc>
              <w:tc>
                <w:tcPr>
                  <w:tcW w:w="280" w:type="pct"/>
                  <w:vAlign w:val="center"/>
                </w:tcPr>
                <w:p w14:paraId="4828E265">
                  <w:pPr>
                    <w:pStyle w:val="5"/>
                    <w:rPr>
                      <w:rFonts w:hint="eastAsia"/>
                      <w:lang w:val="en-US" w:eastAsia="zh-CN"/>
                    </w:rPr>
                  </w:pPr>
                  <w:r>
                    <w:t>固</w:t>
                  </w:r>
                  <w:r>
                    <w:rPr>
                      <w:rFonts w:hint="eastAsia"/>
                      <w:lang w:val="en-US" w:eastAsia="zh-CN"/>
                    </w:rPr>
                    <w:t>态</w:t>
                  </w:r>
                </w:p>
              </w:tc>
              <w:tc>
                <w:tcPr>
                  <w:tcW w:w="528" w:type="pct"/>
                  <w:vAlign w:val="center"/>
                </w:tcPr>
                <w:p w14:paraId="797EF95E">
                  <w:pPr>
                    <w:pStyle w:val="5"/>
                  </w:pPr>
                  <w:r>
                    <w:t>活性炭</w:t>
                  </w:r>
                </w:p>
              </w:tc>
              <w:tc>
                <w:tcPr>
                  <w:tcW w:w="354" w:type="pct"/>
                  <w:vAlign w:val="center"/>
                </w:tcPr>
                <w:p w14:paraId="08C9C9DA">
                  <w:pPr>
                    <w:pStyle w:val="5"/>
                  </w:pPr>
                  <w:r>
                    <w:t>有机废气</w:t>
                  </w:r>
                </w:p>
              </w:tc>
              <w:tc>
                <w:tcPr>
                  <w:tcW w:w="389" w:type="pct"/>
                  <w:vAlign w:val="center"/>
                </w:tcPr>
                <w:p w14:paraId="020E3EA8">
                  <w:pPr>
                    <w:pStyle w:val="5"/>
                  </w:pPr>
                  <w:r>
                    <w:rPr>
                      <w:rFonts w:hint="eastAsia"/>
                      <w:lang w:val="en-US" w:eastAsia="zh-CN"/>
                    </w:rPr>
                    <w:t>6</w:t>
                  </w:r>
                  <w:r>
                    <w:rPr>
                      <w:rFonts w:hint="eastAsia"/>
                    </w:rPr>
                    <w:t>月</w:t>
                  </w:r>
                  <w:r>
                    <w:t>/次</w:t>
                  </w:r>
                </w:p>
              </w:tc>
              <w:tc>
                <w:tcPr>
                  <w:tcW w:w="353" w:type="pct"/>
                  <w:vAlign w:val="center"/>
                </w:tcPr>
                <w:p w14:paraId="085B27C6">
                  <w:pPr>
                    <w:pStyle w:val="5"/>
                  </w:pPr>
                  <w:r>
                    <w:t>T</w:t>
                  </w:r>
                </w:p>
              </w:tc>
              <w:tc>
                <w:tcPr>
                  <w:tcW w:w="477" w:type="pct"/>
                  <w:vMerge w:val="restart"/>
                  <w:vAlign w:val="center"/>
                </w:tcPr>
                <w:p w14:paraId="699CF4B4">
                  <w:pPr>
                    <w:pStyle w:val="5"/>
                  </w:pPr>
                  <w:r>
                    <w:t>交资质单位处置</w:t>
                  </w:r>
                </w:p>
              </w:tc>
            </w:tr>
            <w:tr w14:paraId="23B746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369" w:hRule="atLeast"/>
                <w:jc w:val="center"/>
              </w:trPr>
              <w:tc>
                <w:tcPr>
                  <w:tcW w:w="589" w:type="pct"/>
                  <w:vAlign w:val="center"/>
                </w:tcPr>
                <w:p w14:paraId="32FDC9D2">
                  <w:pPr>
                    <w:pStyle w:val="5"/>
                  </w:pPr>
                  <w:r>
                    <w:rPr>
                      <w:rFonts w:hint="default"/>
                      <w:lang w:val="en-US" w:eastAsia="zh-CN"/>
                    </w:rPr>
                    <w:t>废</w:t>
                  </w:r>
                  <w:r>
                    <w:rPr>
                      <w:rFonts w:hint="eastAsia"/>
                      <w:lang w:val="en-US" w:eastAsia="zh-CN"/>
                    </w:rPr>
                    <w:t>胶粘剂瓶</w:t>
                  </w:r>
                </w:p>
              </w:tc>
              <w:tc>
                <w:tcPr>
                  <w:tcW w:w="563" w:type="pct"/>
                  <w:vAlign w:val="center"/>
                </w:tcPr>
                <w:p w14:paraId="1E7DE533">
                  <w:pPr>
                    <w:pStyle w:val="5"/>
                  </w:pPr>
                  <w:r>
                    <w:t>HW</w:t>
                  </w:r>
                  <w:r>
                    <w:rPr>
                      <w:rFonts w:hint="eastAsia"/>
                      <w:lang w:val="en-US" w:eastAsia="zh-CN"/>
                    </w:rPr>
                    <w:t>49</w:t>
                  </w:r>
                </w:p>
              </w:tc>
              <w:tc>
                <w:tcPr>
                  <w:tcW w:w="623" w:type="pct"/>
                  <w:vAlign w:val="center"/>
                </w:tcPr>
                <w:p w14:paraId="7E6D8E6E">
                  <w:pPr>
                    <w:pStyle w:val="5"/>
                  </w:pPr>
                  <w:r>
                    <w:rPr>
                      <w:rFonts w:hint="default"/>
                      <w:lang w:val="en-US" w:eastAsia="zh-CN"/>
                    </w:rPr>
                    <w:t>900-041-49</w:t>
                  </w:r>
                </w:p>
              </w:tc>
              <w:tc>
                <w:tcPr>
                  <w:tcW w:w="493" w:type="pct"/>
                  <w:vAlign w:val="center"/>
                </w:tcPr>
                <w:p w14:paraId="6385E77D">
                  <w:pPr>
                    <w:pStyle w:val="5"/>
                    <w:rPr>
                      <w:rFonts w:hint="default"/>
                      <w:lang w:val="en-US" w:eastAsia="zh-CN"/>
                    </w:rPr>
                  </w:pPr>
                  <w:r>
                    <w:rPr>
                      <w:rFonts w:hint="eastAsia"/>
                    </w:rPr>
                    <w:t>0.</w:t>
                  </w:r>
                  <w:r>
                    <w:rPr>
                      <w:rFonts w:hint="eastAsia"/>
                      <w:lang w:val="en-US" w:eastAsia="zh-CN"/>
                    </w:rPr>
                    <w:t>42</w:t>
                  </w:r>
                </w:p>
              </w:tc>
              <w:tc>
                <w:tcPr>
                  <w:tcW w:w="346" w:type="pct"/>
                  <w:vAlign w:val="center"/>
                </w:tcPr>
                <w:p w14:paraId="545EC65F">
                  <w:pPr>
                    <w:pStyle w:val="5"/>
                    <w:rPr>
                      <w:rFonts w:hint="default"/>
                      <w:lang w:val="en-US" w:eastAsia="zh-CN"/>
                    </w:rPr>
                  </w:pPr>
                  <w:r>
                    <w:rPr>
                      <w:rFonts w:hint="eastAsia"/>
                      <w:lang w:val="en-US" w:eastAsia="zh-CN"/>
                    </w:rPr>
                    <w:t>点胶</w:t>
                  </w:r>
                </w:p>
              </w:tc>
              <w:tc>
                <w:tcPr>
                  <w:tcW w:w="280" w:type="pct"/>
                  <w:vAlign w:val="center"/>
                </w:tcPr>
                <w:p w14:paraId="2D317A4A">
                  <w:pPr>
                    <w:pStyle w:val="5"/>
                    <w:rPr>
                      <w:rFonts w:hint="eastAsia"/>
                      <w:lang w:val="en-US" w:eastAsia="zh-CN"/>
                    </w:rPr>
                  </w:pPr>
                  <w:r>
                    <w:rPr>
                      <w:rFonts w:hint="eastAsia"/>
                    </w:rPr>
                    <w:t>固</w:t>
                  </w:r>
                  <w:r>
                    <w:rPr>
                      <w:rFonts w:hint="eastAsia"/>
                      <w:lang w:val="en-US" w:eastAsia="zh-CN"/>
                    </w:rPr>
                    <w:t>态</w:t>
                  </w:r>
                </w:p>
              </w:tc>
              <w:tc>
                <w:tcPr>
                  <w:tcW w:w="528" w:type="pct"/>
                  <w:vAlign w:val="center"/>
                </w:tcPr>
                <w:p w14:paraId="48868B63">
                  <w:pPr>
                    <w:pStyle w:val="5"/>
                    <w:jc w:val="both"/>
                  </w:pPr>
                  <w:r>
                    <w:rPr>
                      <w:rFonts w:hint="eastAsia"/>
                      <w:lang w:val="en-US" w:eastAsia="zh-CN"/>
                    </w:rPr>
                    <w:t>废胶粘剂等有害成分</w:t>
                  </w:r>
                </w:p>
              </w:tc>
              <w:tc>
                <w:tcPr>
                  <w:tcW w:w="354" w:type="pct"/>
                  <w:vAlign w:val="center"/>
                </w:tcPr>
                <w:p w14:paraId="6C4548B3">
                  <w:pPr>
                    <w:pStyle w:val="5"/>
                  </w:pPr>
                  <w:r>
                    <w:rPr>
                      <w:rFonts w:hint="eastAsia"/>
                    </w:rPr>
                    <w:t>有机废物</w:t>
                  </w:r>
                </w:p>
              </w:tc>
              <w:tc>
                <w:tcPr>
                  <w:tcW w:w="389" w:type="pct"/>
                  <w:vAlign w:val="center"/>
                </w:tcPr>
                <w:p w14:paraId="2680BB6E">
                  <w:pPr>
                    <w:pStyle w:val="5"/>
                  </w:pPr>
                  <w:r>
                    <w:rPr>
                      <w:rFonts w:hint="eastAsia"/>
                      <w:lang w:val="en-US" w:eastAsia="zh-CN"/>
                    </w:rPr>
                    <w:t>1</w:t>
                  </w:r>
                  <w:r>
                    <w:t>年/次</w:t>
                  </w:r>
                </w:p>
              </w:tc>
              <w:tc>
                <w:tcPr>
                  <w:tcW w:w="353" w:type="pct"/>
                  <w:vAlign w:val="center"/>
                </w:tcPr>
                <w:p w14:paraId="43B9FD7B">
                  <w:pPr>
                    <w:pStyle w:val="5"/>
                    <w:rPr>
                      <w:rFonts w:hint="eastAsia"/>
                      <w:lang w:val="en-US" w:eastAsia="zh-CN"/>
                    </w:rPr>
                  </w:pPr>
                  <w:r>
                    <w:t>T，I</w:t>
                  </w:r>
                  <w:r>
                    <w:rPr>
                      <w:rFonts w:hint="eastAsia"/>
                      <w:lang w:val="en-US" w:eastAsia="zh-CN"/>
                    </w:rPr>
                    <w:t>n</w:t>
                  </w:r>
                </w:p>
              </w:tc>
              <w:tc>
                <w:tcPr>
                  <w:tcW w:w="477" w:type="pct"/>
                  <w:vMerge w:val="continue"/>
                  <w:vAlign w:val="center"/>
                </w:tcPr>
                <w:p w14:paraId="543DB256">
                  <w:pPr>
                    <w:pStyle w:val="5"/>
                  </w:pPr>
                </w:p>
              </w:tc>
            </w:tr>
          </w:tbl>
          <w:p w14:paraId="49ED6B03">
            <w:pPr>
              <w:pStyle w:val="11"/>
              <w:widowControl/>
              <w:ind w:firstLineChars="200"/>
              <w:jc w:val="both"/>
              <w:rPr>
                <w:rFonts w:hint="default"/>
                <w:color w:val="auto"/>
                <w:sz w:val="24"/>
              </w:rPr>
            </w:pPr>
            <w:r>
              <w:rPr>
                <w:color w:val="auto"/>
                <w:sz w:val="24"/>
              </w:rPr>
              <w:t>危险废弃物为重点监控对象，</w:t>
            </w:r>
            <w:r>
              <w:rPr>
                <w:rFonts w:hint="default"/>
                <w:color w:val="auto"/>
                <w:sz w:val="24"/>
              </w:rPr>
              <w:t>危险废物应按照《危险废物贮存污染控制标准》（GB18597-2023）要求进行分区、</w:t>
            </w:r>
            <w:r>
              <w:rPr>
                <w:rFonts w:hint="default"/>
                <w:color w:val="auto"/>
                <w:sz w:val="24"/>
                <w:lang w:eastAsia="zh-CN"/>
              </w:rPr>
              <w:t>标识</w:t>
            </w:r>
            <w:r>
              <w:rPr>
                <w:rFonts w:hint="default"/>
                <w:color w:val="auto"/>
                <w:sz w:val="24"/>
              </w:rPr>
              <w:t>明显，不同类别危废禁止混合存储。另外，建设单位要严格遵守《危险废物转移联单管理办法》，办理好有关转移手续，建设单位应立即与具有危险废物处理资质的单位签订危废处理合同。</w:t>
            </w:r>
          </w:p>
          <w:p w14:paraId="1B8341FB">
            <w:pPr>
              <w:pStyle w:val="11"/>
              <w:ind w:firstLineChars="200"/>
              <w:jc w:val="both"/>
              <w:rPr>
                <w:color w:val="auto"/>
                <w:sz w:val="24"/>
              </w:rPr>
            </w:pPr>
            <w:r>
              <w:rPr>
                <w:color w:val="auto"/>
                <w:sz w:val="24"/>
              </w:rPr>
              <w:t>根据《建设项目危险废物环境影响评价指南》（</w:t>
            </w:r>
            <w:r>
              <w:rPr>
                <w:rFonts w:hint="eastAsia"/>
                <w:color w:val="auto"/>
                <w:sz w:val="24"/>
                <w:lang w:eastAsia="zh-CN"/>
              </w:rPr>
              <w:t>生态</w:t>
            </w:r>
            <w:r>
              <w:rPr>
                <w:color w:val="auto"/>
                <w:sz w:val="24"/>
              </w:rPr>
              <w:t>环境部公告2017年第43号），本项目危险废物贮存场所（设施）基本情况见下表。</w:t>
            </w:r>
          </w:p>
          <w:p w14:paraId="50595922">
            <w:pPr>
              <w:pStyle w:val="7"/>
              <w:ind w:firstLineChars="0"/>
            </w:pPr>
            <w:r>
              <w:rPr>
                <w:rFonts w:hint="eastAsia"/>
              </w:rPr>
              <w:t>表4-</w:t>
            </w:r>
            <w:r>
              <w:rPr>
                <w:rFonts w:hint="eastAsia"/>
                <w:lang w:val="en-US" w:eastAsia="zh-CN"/>
              </w:rPr>
              <w:t>17</w:t>
            </w:r>
            <w:r>
              <w:rPr>
                <w:rFonts w:hint="eastAsia"/>
              </w:rPr>
              <w:t xml:space="preserve"> </w:t>
            </w:r>
            <w:r>
              <w:t xml:space="preserve">  </w:t>
            </w:r>
            <w:r>
              <w:rPr>
                <w:rFonts w:hint="eastAsia"/>
              </w:rPr>
              <w:t>危险废物贮存场所（设施）基本情况表</w:t>
            </w:r>
          </w:p>
          <w:tbl>
            <w:tblPr>
              <w:tblStyle w:val="30"/>
              <w:tblW w:w="88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893"/>
              <w:gridCol w:w="1915"/>
              <w:gridCol w:w="950"/>
              <w:gridCol w:w="1313"/>
              <w:gridCol w:w="734"/>
              <w:gridCol w:w="572"/>
              <w:gridCol w:w="1040"/>
              <w:gridCol w:w="728"/>
              <w:gridCol w:w="705"/>
            </w:tblGrid>
            <w:tr w14:paraId="074A79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623" w:hRule="atLeast"/>
                <w:jc w:val="center"/>
              </w:trPr>
              <w:tc>
                <w:tcPr>
                  <w:tcW w:w="504" w:type="pct"/>
                  <w:vAlign w:val="center"/>
                </w:tcPr>
                <w:p w14:paraId="1E205C07">
                  <w:pPr>
                    <w:pStyle w:val="5"/>
                  </w:pPr>
                  <w:r>
                    <w:t>贮存</w:t>
                  </w:r>
                </w:p>
                <w:p w14:paraId="13B3144F">
                  <w:pPr>
                    <w:pStyle w:val="5"/>
                  </w:pPr>
                  <w:r>
                    <w:t>场所</w:t>
                  </w:r>
                </w:p>
              </w:tc>
              <w:tc>
                <w:tcPr>
                  <w:tcW w:w="1081" w:type="pct"/>
                  <w:vAlign w:val="center"/>
                </w:tcPr>
                <w:p w14:paraId="3A874229">
                  <w:pPr>
                    <w:pStyle w:val="5"/>
                  </w:pPr>
                  <w:r>
                    <w:t>名称</w:t>
                  </w:r>
                </w:p>
              </w:tc>
              <w:tc>
                <w:tcPr>
                  <w:tcW w:w="536" w:type="pct"/>
                  <w:vAlign w:val="center"/>
                </w:tcPr>
                <w:p w14:paraId="5F2E0F7C">
                  <w:pPr>
                    <w:pStyle w:val="5"/>
                  </w:pPr>
                  <w:r>
                    <w:t>危废</w:t>
                  </w:r>
                </w:p>
                <w:p w14:paraId="29293388">
                  <w:pPr>
                    <w:pStyle w:val="5"/>
                  </w:pPr>
                  <w:r>
                    <w:t>类别</w:t>
                  </w:r>
                </w:p>
              </w:tc>
              <w:tc>
                <w:tcPr>
                  <w:tcW w:w="741" w:type="pct"/>
                  <w:vAlign w:val="center"/>
                </w:tcPr>
                <w:p w14:paraId="1D905F37">
                  <w:pPr>
                    <w:pStyle w:val="5"/>
                  </w:pPr>
                  <w:r>
                    <w:t>危废代码</w:t>
                  </w:r>
                </w:p>
              </w:tc>
              <w:tc>
                <w:tcPr>
                  <w:tcW w:w="414" w:type="pct"/>
                  <w:vAlign w:val="center"/>
                </w:tcPr>
                <w:p w14:paraId="2ABA9F15">
                  <w:pPr>
                    <w:pStyle w:val="5"/>
                  </w:pPr>
                  <w:r>
                    <w:t>位置</w:t>
                  </w:r>
                </w:p>
              </w:tc>
              <w:tc>
                <w:tcPr>
                  <w:tcW w:w="323" w:type="pct"/>
                  <w:vAlign w:val="center"/>
                </w:tcPr>
                <w:p w14:paraId="560B3BAC">
                  <w:pPr>
                    <w:pStyle w:val="5"/>
                  </w:pPr>
                  <w:r>
                    <w:t>占地面积</w:t>
                  </w:r>
                </w:p>
              </w:tc>
              <w:tc>
                <w:tcPr>
                  <w:tcW w:w="587" w:type="pct"/>
                  <w:vAlign w:val="center"/>
                </w:tcPr>
                <w:p w14:paraId="2EE9FD79">
                  <w:pPr>
                    <w:pStyle w:val="5"/>
                  </w:pPr>
                  <w:r>
                    <w:t>贮存方式</w:t>
                  </w:r>
                </w:p>
              </w:tc>
              <w:tc>
                <w:tcPr>
                  <w:tcW w:w="411" w:type="pct"/>
                  <w:vAlign w:val="center"/>
                </w:tcPr>
                <w:p w14:paraId="3C94333C">
                  <w:pPr>
                    <w:pStyle w:val="5"/>
                  </w:pPr>
                  <w:r>
                    <w:t>贮存能力</w:t>
                  </w:r>
                </w:p>
              </w:tc>
              <w:tc>
                <w:tcPr>
                  <w:tcW w:w="398" w:type="pct"/>
                  <w:vAlign w:val="center"/>
                </w:tcPr>
                <w:p w14:paraId="408FA2BB">
                  <w:pPr>
                    <w:pStyle w:val="5"/>
                  </w:pPr>
                  <w:r>
                    <w:t>贮存周期</w:t>
                  </w:r>
                </w:p>
              </w:tc>
            </w:tr>
            <w:tr w14:paraId="0DA27A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369" w:hRule="atLeast"/>
                <w:jc w:val="center"/>
              </w:trPr>
              <w:tc>
                <w:tcPr>
                  <w:tcW w:w="504" w:type="pct"/>
                  <w:vMerge w:val="restart"/>
                  <w:vAlign w:val="center"/>
                </w:tcPr>
                <w:p w14:paraId="794A2FB1">
                  <w:pPr>
                    <w:pStyle w:val="5"/>
                  </w:pPr>
                  <w:r>
                    <w:t>危废暂存间</w:t>
                  </w:r>
                </w:p>
              </w:tc>
              <w:tc>
                <w:tcPr>
                  <w:tcW w:w="1081" w:type="pct"/>
                  <w:vAlign w:val="center"/>
                </w:tcPr>
                <w:p w14:paraId="38D3959B">
                  <w:pPr>
                    <w:pStyle w:val="5"/>
                  </w:pPr>
                  <w:r>
                    <w:t>废活性炭</w:t>
                  </w:r>
                </w:p>
              </w:tc>
              <w:tc>
                <w:tcPr>
                  <w:tcW w:w="536" w:type="pct"/>
                  <w:vAlign w:val="center"/>
                </w:tcPr>
                <w:p w14:paraId="6D6A6C3D">
                  <w:pPr>
                    <w:pStyle w:val="5"/>
                  </w:pPr>
                  <w:r>
                    <w:t>HW49</w:t>
                  </w:r>
                </w:p>
              </w:tc>
              <w:tc>
                <w:tcPr>
                  <w:tcW w:w="741" w:type="pct"/>
                  <w:vAlign w:val="center"/>
                </w:tcPr>
                <w:p w14:paraId="2B909083">
                  <w:pPr>
                    <w:pStyle w:val="5"/>
                  </w:pPr>
                  <w:r>
                    <w:t>900-0</w:t>
                  </w:r>
                  <w:r>
                    <w:rPr>
                      <w:rFonts w:hint="eastAsia"/>
                      <w:lang w:val="en-US" w:eastAsia="zh-CN"/>
                    </w:rPr>
                    <w:t>3</w:t>
                  </w:r>
                  <w:r>
                    <w:rPr>
                      <w:rFonts w:hint="eastAsia"/>
                    </w:rPr>
                    <w:t>9</w:t>
                  </w:r>
                  <w:r>
                    <w:t>-49</w:t>
                  </w:r>
                </w:p>
              </w:tc>
              <w:tc>
                <w:tcPr>
                  <w:tcW w:w="414" w:type="pct"/>
                  <w:vMerge w:val="restart"/>
                  <w:vAlign w:val="center"/>
                </w:tcPr>
                <w:p w14:paraId="1E67720F">
                  <w:pPr>
                    <w:pStyle w:val="5"/>
                    <w:jc w:val="both"/>
                    <w:rPr>
                      <w:rFonts w:hint="default" w:eastAsia="宋体"/>
                      <w:lang w:val="en-US" w:eastAsia="zh-CN"/>
                    </w:rPr>
                  </w:pPr>
                  <w:r>
                    <w:rPr>
                      <w:rFonts w:hint="eastAsia"/>
                      <w:lang w:val="en-US" w:eastAsia="zh-CN"/>
                    </w:rPr>
                    <w:t>厂房二楼西侧</w:t>
                  </w:r>
                </w:p>
              </w:tc>
              <w:tc>
                <w:tcPr>
                  <w:tcW w:w="323" w:type="pct"/>
                  <w:vMerge w:val="restart"/>
                  <w:vAlign w:val="center"/>
                </w:tcPr>
                <w:p w14:paraId="40FF7A36">
                  <w:pPr>
                    <w:pStyle w:val="5"/>
                  </w:pPr>
                  <w:r>
                    <w:rPr>
                      <w:rFonts w:hint="eastAsia"/>
                      <w:lang w:val="en-US" w:eastAsia="zh-CN"/>
                    </w:rPr>
                    <w:t>20</w:t>
                  </w:r>
                  <w:r>
                    <w:t>m</w:t>
                  </w:r>
                  <w:r>
                    <w:rPr>
                      <w:vertAlign w:val="superscript"/>
                    </w:rPr>
                    <w:t>2</w:t>
                  </w:r>
                </w:p>
              </w:tc>
              <w:tc>
                <w:tcPr>
                  <w:tcW w:w="587" w:type="pct"/>
                  <w:vMerge w:val="restart"/>
                  <w:vAlign w:val="center"/>
                </w:tcPr>
                <w:p w14:paraId="73D3F6FB">
                  <w:pPr>
                    <w:pStyle w:val="5"/>
                  </w:pPr>
                  <w:r>
                    <w:t>无损容器</w:t>
                  </w:r>
                </w:p>
              </w:tc>
              <w:tc>
                <w:tcPr>
                  <w:tcW w:w="411" w:type="pct"/>
                  <w:vAlign w:val="center"/>
                </w:tcPr>
                <w:p w14:paraId="660D8BB7">
                  <w:pPr>
                    <w:pStyle w:val="5"/>
                    <w:rPr>
                      <w:rFonts w:hint="eastAsia" w:eastAsia="宋体"/>
                      <w:lang w:val="en-US" w:eastAsia="zh-CN"/>
                    </w:rPr>
                  </w:pPr>
                  <w:r>
                    <w:rPr>
                      <w:rFonts w:hint="eastAsia"/>
                      <w:lang w:val="en-US" w:eastAsia="zh-CN"/>
                    </w:rPr>
                    <w:t>3</w:t>
                  </w:r>
                </w:p>
              </w:tc>
              <w:tc>
                <w:tcPr>
                  <w:tcW w:w="398" w:type="pct"/>
                  <w:vMerge w:val="restart"/>
                  <w:vAlign w:val="center"/>
                </w:tcPr>
                <w:p w14:paraId="333AE184">
                  <w:pPr>
                    <w:pStyle w:val="5"/>
                  </w:pPr>
                  <w:r>
                    <w:t>1年</w:t>
                  </w:r>
                </w:p>
              </w:tc>
            </w:tr>
            <w:tr w14:paraId="47126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cantSplit/>
                <w:trHeight w:val="369" w:hRule="atLeast"/>
                <w:jc w:val="center"/>
              </w:trPr>
              <w:tc>
                <w:tcPr>
                  <w:tcW w:w="504" w:type="pct"/>
                  <w:vMerge w:val="continue"/>
                  <w:vAlign w:val="center"/>
                </w:tcPr>
                <w:p w14:paraId="57C05630">
                  <w:pPr>
                    <w:pStyle w:val="5"/>
                  </w:pPr>
                </w:p>
              </w:tc>
              <w:tc>
                <w:tcPr>
                  <w:tcW w:w="1081" w:type="pct"/>
                  <w:vAlign w:val="center"/>
                </w:tcPr>
                <w:p w14:paraId="5F06AEFB">
                  <w:pPr>
                    <w:pStyle w:val="5"/>
                  </w:pPr>
                  <w:r>
                    <w:rPr>
                      <w:rFonts w:hint="default"/>
                      <w:lang w:val="en-US" w:eastAsia="zh-CN"/>
                    </w:rPr>
                    <w:t>废</w:t>
                  </w:r>
                  <w:r>
                    <w:rPr>
                      <w:rFonts w:hint="eastAsia"/>
                      <w:lang w:val="en-US" w:eastAsia="zh-CN"/>
                    </w:rPr>
                    <w:t>胶粘剂瓶</w:t>
                  </w:r>
                </w:p>
              </w:tc>
              <w:tc>
                <w:tcPr>
                  <w:tcW w:w="536" w:type="pct"/>
                  <w:vAlign w:val="center"/>
                </w:tcPr>
                <w:p w14:paraId="13CF981C">
                  <w:pPr>
                    <w:pStyle w:val="5"/>
                  </w:pPr>
                  <w:r>
                    <w:t>HW</w:t>
                  </w:r>
                  <w:r>
                    <w:rPr>
                      <w:rFonts w:hint="eastAsia"/>
                      <w:lang w:val="en-US" w:eastAsia="zh-CN"/>
                    </w:rPr>
                    <w:t>49</w:t>
                  </w:r>
                </w:p>
              </w:tc>
              <w:tc>
                <w:tcPr>
                  <w:tcW w:w="741" w:type="pct"/>
                  <w:vAlign w:val="center"/>
                </w:tcPr>
                <w:p w14:paraId="0A94EF65">
                  <w:pPr>
                    <w:pStyle w:val="5"/>
                  </w:pPr>
                  <w:r>
                    <w:rPr>
                      <w:rFonts w:hint="default"/>
                      <w:lang w:val="en-US" w:eastAsia="zh-CN"/>
                    </w:rPr>
                    <w:t>900-041-49</w:t>
                  </w:r>
                </w:p>
              </w:tc>
              <w:tc>
                <w:tcPr>
                  <w:tcW w:w="414" w:type="pct"/>
                  <w:vMerge w:val="continue"/>
                  <w:vAlign w:val="center"/>
                </w:tcPr>
                <w:p w14:paraId="4194FA23">
                  <w:pPr>
                    <w:pStyle w:val="5"/>
                  </w:pPr>
                </w:p>
              </w:tc>
              <w:tc>
                <w:tcPr>
                  <w:tcW w:w="323" w:type="pct"/>
                  <w:vMerge w:val="continue"/>
                  <w:vAlign w:val="center"/>
                </w:tcPr>
                <w:p w14:paraId="6A052B49">
                  <w:pPr>
                    <w:pStyle w:val="5"/>
                  </w:pPr>
                </w:p>
              </w:tc>
              <w:tc>
                <w:tcPr>
                  <w:tcW w:w="587" w:type="pct"/>
                  <w:vMerge w:val="continue"/>
                  <w:vAlign w:val="center"/>
                </w:tcPr>
                <w:p w14:paraId="08DFF558">
                  <w:pPr>
                    <w:pStyle w:val="5"/>
                  </w:pPr>
                </w:p>
              </w:tc>
              <w:tc>
                <w:tcPr>
                  <w:tcW w:w="411" w:type="pct"/>
                  <w:vAlign w:val="center"/>
                </w:tcPr>
                <w:p w14:paraId="58D25F8A">
                  <w:pPr>
                    <w:pStyle w:val="5"/>
                    <w:rPr>
                      <w:rFonts w:hint="eastAsia" w:eastAsia="宋体"/>
                      <w:lang w:val="en-US" w:eastAsia="zh-CN"/>
                    </w:rPr>
                  </w:pPr>
                  <w:r>
                    <w:rPr>
                      <w:rFonts w:hint="eastAsia"/>
                      <w:lang w:val="en-US" w:eastAsia="zh-CN"/>
                    </w:rPr>
                    <w:t>1</w:t>
                  </w:r>
                </w:p>
              </w:tc>
              <w:tc>
                <w:tcPr>
                  <w:tcW w:w="398" w:type="pct"/>
                  <w:vMerge w:val="continue"/>
                  <w:vAlign w:val="center"/>
                </w:tcPr>
                <w:p w14:paraId="773F0DC4">
                  <w:pPr>
                    <w:pStyle w:val="5"/>
                  </w:pPr>
                </w:p>
              </w:tc>
            </w:tr>
          </w:tbl>
          <w:p w14:paraId="196F68FA">
            <w:pPr>
              <w:pStyle w:val="11"/>
              <w:ind w:firstLineChars="200"/>
              <w:jc w:val="both"/>
              <w:rPr>
                <w:sz w:val="24"/>
                <w:lang w:val="zh-CN"/>
              </w:rPr>
            </w:pPr>
            <w:r>
              <w:rPr>
                <w:sz w:val="24"/>
                <w:lang w:val="zh-CN"/>
              </w:rPr>
              <w:t>本项目产生的固废产生及治理措施汇总一览表如下</w:t>
            </w:r>
            <w:r>
              <w:rPr>
                <w:rFonts w:hint="default"/>
                <w:sz w:val="24"/>
                <w:lang w:val="zh-CN"/>
              </w:rPr>
              <w:t>。</w:t>
            </w:r>
          </w:p>
          <w:p w14:paraId="64CA882D">
            <w:pPr>
              <w:pStyle w:val="7"/>
              <w:bidi w:val="0"/>
            </w:pPr>
            <w:r>
              <w:rPr>
                <w:rFonts w:hint="eastAsia"/>
              </w:rPr>
              <w:t>表4-1</w:t>
            </w:r>
            <w:r>
              <w:rPr>
                <w:rFonts w:hint="eastAsia"/>
                <w:lang w:val="en-US" w:eastAsia="zh-CN"/>
              </w:rPr>
              <w:t>8</w:t>
            </w:r>
            <w:r>
              <w:rPr>
                <w:rFonts w:hint="eastAsia"/>
              </w:rPr>
              <w:t xml:space="preserve">  固体废物产生及防治措施一览表</w:t>
            </w:r>
          </w:p>
          <w:tbl>
            <w:tblPr>
              <w:tblStyle w:val="30"/>
              <w:tblW w:w="87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442"/>
              <w:gridCol w:w="739"/>
              <w:gridCol w:w="899"/>
              <w:gridCol w:w="1075"/>
              <w:gridCol w:w="774"/>
              <w:gridCol w:w="1088"/>
              <w:gridCol w:w="586"/>
              <w:gridCol w:w="914"/>
              <w:gridCol w:w="2277"/>
            </w:tblGrid>
            <w:tr w14:paraId="62CAD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741" w:hRule="atLeast"/>
              </w:trPr>
              <w:tc>
                <w:tcPr>
                  <w:tcW w:w="251" w:type="pct"/>
                  <w:tcBorders>
                    <w:tl2br w:val="nil"/>
                    <w:tr2bl w:val="nil"/>
                  </w:tcBorders>
                  <w:vAlign w:val="center"/>
                </w:tcPr>
                <w:p w14:paraId="32FEC68C">
                  <w:pPr>
                    <w:pStyle w:val="5"/>
                    <w:bidi w:val="0"/>
                    <w:rPr>
                      <w:b/>
                      <w:bCs/>
                      <w:lang w:val="en-US" w:eastAsia="zh-CN"/>
                    </w:rPr>
                  </w:pPr>
                  <w:r>
                    <w:rPr>
                      <w:rFonts w:hint="eastAsia"/>
                      <w:b/>
                      <w:bCs/>
                      <w:lang w:val="en-US" w:eastAsia="zh-CN"/>
                    </w:rPr>
                    <w:t>序号</w:t>
                  </w:r>
                </w:p>
              </w:tc>
              <w:tc>
                <w:tcPr>
                  <w:tcW w:w="420" w:type="pct"/>
                  <w:tcBorders>
                    <w:tl2br w:val="nil"/>
                    <w:tr2bl w:val="nil"/>
                  </w:tcBorders>
                  <w:vAlign w:val="center"/>
                </w:tcPr>
                <w:p w14:paraId="3E08DAD4">
                  <w:pPr>
                    <w:pStyle w:val="5"/>
                    <w:bidi w:val="0"/>
                    <w:rPr>
                      <w:b/>
                      <w:bCs/>
                      <w:lang w:val="en-US" w:eastAsia="zh-CN"/>
                    </w:rPr>
                  </w:pPr>
                  <w:r>
                    <w:rPr>
                      <w:rFonts w:hint="eastAsia"/>
                      <w:b/>
                      <w:bCs/>
                      <w:lang w:val="en-US" w:eastAsia="zh-CN"/>
                    </w:rPr>
                    <w:t>危险废物名称</w:t>
                  </w:r>
                </w:p>
              </w:tc>
              <w:tc>
                <w:tcPr>
                  <w:tcW w:w="511" w:type="pct"/>
                  <w:tcBorders>
                    <w:tl2br w:val="nil"/>
                    <w:tr2bl w:val="nil"/>
                  </w:tcBorders>
                  <w:vAlign w:val="center"/>
                </w:tcPr>
                <w:p w14:paraId="1CBEA078">
                  <w:pPr>
                    <w:pStyle w:val="5"/>
                    <w:bidi w:val="0"/>
                    <w:rPr>
                      <w:b/>
                      <w:bCs/>
                      <w:lang w:val="en-US" w:eastAsia="zh-CN"/>
                    </w:rPr>
                  </w:pPr>
                  <w:r>
                    <w:rPr>
                      <w:rFonts w:hint="eastAsia"/>
                      <w:b/>
                      <w:bCs/>
                      <w:lang w:val="en-US" w:eastAsia="zh-CN"/>
                    </w:rPr>
                    <w:t>危险废物类别</w:t>
                  </w:r>
                </w:p>
              </w:tc>
              <w:tc>
                <w:tcPr>
                  <w:tcW w:w="611" w:type="pct"/>
                  <w:tcBorders>
                    <w:tl2br w:val="nil"/>
                    <w:tr2bl w:val="nil"/>
                  </w:tcBorders>
                  <w:vAlign w:val="center"/>
                </w:tcPr>
                <w:p w14:paraId="0A14241E">
                  <w:pPr>
                    <w:pStyle w:val="5"/>
                    <w:bidi w:val="0"/>
                    <w:rPr>
                      <w:b/>
                      <w:bCs/>
                      <w:lang w:val="en-US" w:eastAsia="zh-CN"/>
                    </w:rPr>
                  </w:pPr>
                  <w:r>
                    <w:rPr>
                      <w:rFonts w:hint="eastAsia"/>
                      <w:b/>
                      <w:bCs/>
                      <w:lang w:val="en-US" w:eastAsia="zh-CN"/>
                    </w:rPr>
                    <w:t>危险废物代码</w:t>
                  </w:r>
                  <w:r>
                    <w:rPr>
                      <w:rFonts w:hint="eastAsia"/>
                      <w:b/>
                      <w:bCs/>
                    </w:rPr>
                    <w:t>编码</w:t>
                  </w:r>
                </w:p>
              </w:tc>
              <w:tc>
                <w:tcPr>
                  <w:tcW w:w="440" w:type="pct"/>
                  <w:tcBorders>
                    <w:tl2br w:val="nil"/>
                    <w:tr2bl w:val="nil"/>
                  </w:tcBorders>
                  <w:vAlign w:val="center"/>
                </w:tcPr>
                <w:p w14:paraId="2F133597">
                  <w:pPr>
                    <w:pStyle w:val="5"/>
                    <w:bidi w:val="0"/>
                    <w:rPr>
                      <w:rFonts w:hint="eastAsia"/>
                      <w:b/>
                      <w:bCs/>
                      <w:lang w:val="en-US" w:eastAsia="zh-CN"/>
                    </w:rPr>
                  </w:pPr>
                  <w:r>
                    <w:rPr>
                      <w:rFonts w:hint="eastAsia"/>
                      <w:b/>
                      <w:bCs/>
                      <w:lang w:val="en-US" w:eastAsia="zh-CN"/>
                    </w:rPr>
                    <w:t>产生量</w:t>
                  </w:r>
                </w:p>
                <w:p w14:paraId="70DCBCA5">
                  <w:pPr>
                    <w:pStyle w:val="5"/>
                    <w:bidi w:val="0"/>
                    <w:rPr>
                      <w:rFonts w:hint="eastAsia"/>
                      <w:b/>
                      <w:bCs/>
                      <w:lang w:val="en-US" w:eastAsia="zh-CN"/>
                    </w:rPr>
                  </w:pPr>
                  <w:r>
                    <w:rPr>
                      <w:rFonts w:hint="eastAsia"/>
                      <w:b/>
                      <w:bCs/>
                      <w:lang w:val="en-US" w:eastAsia="zh-CN"/>
                    </w:rPr>
                    <w:t>（t/a）</w:t>
                  </w:r>
                </w:p>
              </w:tc>
              <w:tc>
                <w:tcPr>
                  <w:tcW w:w="618" w:type="pct"/>
                  <w:tcBorders>
                    <w:tl2br w:val="nil"/>
                    <w:tr2bl w:val="nil"/>
                  </w:tcBorders>
                  <w:vAlign w:val="center"/>
                </w:tcPr>
                <w:p w14:paraId="5F6DEA10">
                  <w:pPr>
                    <w:pStyle w:val="5"/>
                    <w:bidi w:val="0"/>
                    <w:rPr>
                      <w:b/>
                      <w:bCs/>
                      <w:lang w:val="en-US" w:eastAsia="zh-CN"/>
                    </w:rPr>
                  </w:pPr>
                  <w:r>
                    <w:rPr>
                      <w:rFonts w:hint="eastAsia"/>
                      <w:b/>
                      <w:bCs/>
                      <w:lang w:val="en-US" w:eastAsia="zh-CN"/>
                    </w:rPr>
                    <w:t>产生工序及装置</w:t>
                  </w:r>
                </w:p>
              </w:tc>
              <w:tc>
                <w:tcPr>
                  <w:tcW w:w="333" w:type="pct"/>
                  <w:tcBorders>
                    <w:tl2br w:val="nil"/>
                    <w:tr2bl w:val="nil"/>
                  </w:tcBorders>
                  <w:vAlign w:val="center"/>
                </w:tcPr>
                <w:p w14:paraId="5EBB684B">
                  <w:pPr>
                    <w:pStyle w:val="5"/>
                    <w:bidi w:val="0"/>
                    <w:rPr>
                      <w:b/>
                      <w:bCs/>
                      <w:lang w:val="en-US" w:eastAsia="zh-CN"/>
                    </w:rPr>
                  </w:pPr>
                  <w:r>
                    <w:rPr>
                      <w:rFonts w:hint="eastAsia"/>
                      <w:b/>
                      <w:bCs/>
                      <w:lang w:val="en-US" w:eastAsia="zh-CN"/>
                    </w:rPr>
                    <w:t>形态</w:t>
                  </w:r>
                </w:p>
              </w:tc>
              <w:tc>
                <w:tcPr>
                  <w:tcW w:w="519" w:type="pct"/>
                  <w:tcBorders>
                    <w:tl2br w:val="nil"/>
                    <w:tr2bl w:val="nil"/>
                  </w:tcBorders>
                  <w:vAlign w:val="center"/>
                </w:tcPr>
                <w:p w14:paraId="427656F2">
                  <w:pPr>
                    <w:pStyle w:val="5"/>
                    <w:bidi w:val="0"/>
                    <w:rPr>
                      <w:b/>
                      <w:bCs/>
                      <w:lang w:val="en-US" w:eastAsia="zh-CN"/>
                    </w:rPr>
                  </w:pPr>
                  <w:r>
                    <w:rPr>
                      <w:rFonts w:hint="eastAsia"/>
                      <w:b/>
                      <w:bCs/>
                      <w:lang w:val="en-US" w:eastAsia="zh-CN"/>
                    </w:rPr>
                    <w:t>有害成分</w:t>
                  </w:r>
                </w:p>
              </w:tc>
              <w:tc>
                <w:tcPr>
                  <w:tcW w:w="1293" w:type="pct"/>
                  <w:tcBorders>
                    <w:tl2br w:val="nil"/>
                    <w:tr2bl w:val="nil"/>
                  </w:tcBorders>
                  <w:vAlign w:val="center"/>
                </w:tcPr>
                <w:p w14:paraId="6C2E9DE2">
                  <w:pPr>
                    <w:pStyle w:val="5"/>
                    <w:bidi w:val="0"/>
                    <w:rPr>
                      <w:b/>
                      <w:bCs/>
                      <w:lang w:val="en-US" w:eastAsia="zh-CN"/>
                    </w:rPr>
                  </w:pPr>
                  <w:r>
                    <w:rPr>
                      <w:rFonts w:hint="eastAsia"/>
                      <w:b/>
                      <w:bCs/>
                      <w:lang w:val="en-US" w:eastAsia="zh-CN"/>
                    </w:rPr>
                    <w:t>污染防治措施</w:t>
                  </w:r>
                </w:p>
              </w:tc>
            </w:tr>
            <w:tr w14:paraId="24587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828" w:hRule="atLeast"/>
              </w:trPr>
              <w:tc>
                <w:tcPr>
                  <w:tcW w:w="251" w:type="pct"/>
                  <w:tcBorders>
                    <w:tl2br w:val="nil"/>
                    <w:tr2bl w:val="nil"/>
                  </w:tcBorders>
                  <w:vAlign w:val="center"/>
                </w:tcPr>
                <w:p w14:paraId="3AD5F73E">
                  <w:pPr>
                    <w:pStyle w:val="5"/>
                    <w:bidi w:val="0"/>
                    <w:rPr>
                      <w:lang w:val="en-US" w:eastAsia="zh-CN"/>
                    </w:rPr>
                  </w:pPr>
                  <w:r>
                    <w:rPr>
                      <w:rFonts w:hint="eastAsia"/>
                      <w:lang w:val="en-US" w:eastAsia="zh-CN"/>
                    </w:rPr>
                    <w:t>1</w:t>
                  </w:r>
                </w:p>
              </w:tc>
              <w:tc>
                <w:tcPr>
                  <w:tcW w:w="420" w:type="pct"/>
                  <w:tcBorders>
                    <w:tl2br w:val="nil"/>
                    <w:tr2bl w:val="nil"/>
                  </w:tcBorders>
                  <w:vAlign w:val="center"/>
                </w:tcPr>
                <w:p w14:paraId="58B76673">
                  <w:pPr>
                    <w:pStyle w:val="5"/>
                    <w:bidi w:val="0"/>
                    <w:rPr>
                      <w:lang w:val="en-US" w:eastAsia="zh-CN"/>
                    </w:rPr>
                  </w:pPr>
                  <w:r>
                    <w:t>废</w:t>
                  </w:r>
                  <w:r>
                    <w:rPr>
                      <w:rFonts w:hint="eastAsia"/>
                      <w:lang w:val="en-US" w:eastAsia="zh-CN"/>
                    </w:rPr>
                    <w:t>包装袋</w:t>
                  </w:r>
                </w:p>
              </w:tc>
              <w:tc>
                <w:tcPr>
                  <w:tcW w:w="511" w:type="pct"/>
                  <w:tcBorders>
                    <w:tl2br w:val="nil"/>
                    <w:tr2bl w:val="nil"/>
                  </w:tcBorders>
                  <w:shd w:val="clear" w:color="auto" w:fill="auto"/>
                  <w:vAlign w:val="center"/>
                </w:tcPr>
                <w:p w14:paraId="44719325">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一般固废</w:t>
                  </w:r>
                </w:p>
              </w:tc>
              <w:tc>
                <w:tcPr>
                  <w:tcW w:w="611" w:type="pct"/>
                  <w:tcBorders>
                    <w:tl2br w:val="nil"/>
                    <w:tr2bl w:val="nil"/>
                  </w:tcBorders>
                  <w:vAlign w:val="center"/>
                </w:tcPr>
                <w:p w14:paraId="59844A98">
                  <w:pPr>
                    <w:pStyle w:val="5"/>
                    <w:bidi w:val="0"/>
                    <w:rPr>
                      <w:lang w:val="en-US" w:eastAsia="zh-CN"/>
                    </w:rPr>
                  </w:pPr>
                  <w:r>
                    <w:rPr>
                      <w:rFonts w:hint="eastAsia"/>
                    </w:rPr>
                    <w:t>SW</w:t>
                  </w:r>
                  <w:r>
                    <w:rPr>
                      <w:rFonts w:hint="eastAsia"/>
                      <w:lang w:val="en-US" w:eastAsia="zh-CN"/>
                    </w:rPr>
                    <w:t>17</w:t>
                  </w:r>
                  <w:r>
                    <w:rPr>
                      <w:rFonts w:hint="eastAsia"/>
                    </w:rPr>
                    <w:t xml:space="preserve">  900-005-S17</w:t>
                  </w:r>
                </w:p>
              </w:tc>
              <w:tc>
                <w:tcPr>
                  <w:tcW w:w="440" w:type="pct"/>
                  <w:tcBorders>
                    <w:tl2br w:val="nil"/>
                    <w:tr2bl w:val="nil"/>
                  </w:tcBorders>
                  <w:shd w:val="clear" w:color="auto" w:fill="auto"/>
                  <w:vAlign w:val="center"/>
                </w:tcPr>
                <w:p w14:paraId="253A66A1">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0.6</w:t>
                  </w:r>
                </w:p>
              </w:tc>
              <w:tc>
                <w:tcPr>
                  <w:tcW w:w="618" w:type="pct"/>
                  <w:tcBorders>
                    <w:tl2br w:val="nil"/>
                    <w:tr2bl w:val="nil"/>
                  </w:tcBorders>
                  <w:shd w:val="clear" w:color="auto" w:fill="auto"/>
                  <w:vAlign w:val="center"/>
                </w:tcPr>
                <w:p w14:paraId="1BCA79B0">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点胶</w:t>
                  </w:r>
                </w:p>
              </w:tc>
              <w:tc>
                <w:tcPr>
                  <w:tcW w:w="333" w:type="pct"/>
                  <w:tcBorders>
                    <w:tl2br w:val="nil"/>
                    <w:tr2bl w:val="nil"/>
                  </w:tcBorders>
                  <w:vAlign w:val="center"/>
                </w:tcPr>
                <w:p w14:paraId="5EBF6EC5">
                  <w:pPr>
                    <w:pStyle w:val="5"/>
                    <w:bidi w:val="0"/>
                    <w:rPr>
                      <w:lang w:val="en-US" w:eastAsia="zh-CN"/>
                    </w:rPr>
                  </w:pPr>
                  <w:r>
                    <w:rPr>
                      <w:rFonts w:hint="eastAsia"/>
                      <w:lang w:val="en-US" w:eastAsia="zh-CN"/>
                    </w:rPr>
                    <w:t>固态</w:t>
                  </w:r>
                </w:p>
              </w:tc>
              <w:tc>
                <w:tcPr>
                  <w:tcW w:w="519" w:type="pct"/>
                  <w:tcBorders>
                    <w:tl2br w:val="nil"/>
                    <w:tr2bl w:val="nil"/>
                  </w:tcBorders>
                  <w:shd w:val="clear" w:color="auto" w:fill="auto"/>
                  <w:vAlign w:val="center"/>
                </w:tcPr>
                <w:p w14:paraId="07607208">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w:t>
                  </w:r>
                </w:p>
              </w:tc>
              <w:tc>
                <w:tcPr>
                  <w:tcW w:w="1293" w:type="pct"/>
                  <w:tcBorders>
                    <w:tl2br w:val="nil"/>
                    <w:tr2bl w:val="nil"/>
                  </w:tcBorders>
                  <w:vAlign w:val="center"/>
                </w:tcPr>
                <w:p w14:paraId="4EBE0D74">
                  <w:pPr>
                    <w:pStyle w:val="5"/>
                    <w:bidi w:val="0"/>
                    <w:jc w:val="center"/>
                    <w:rPr>
                      <w:lang w:val="en-US" w:eastAsia="zh-CN"/>
                    </w:rPr>
                  </w:pPr>
                  <w:r>
                    <w:rPr>
                      <w:rFonts w:hint="eastAsia"/>
                      <w:lang w:val="en-US" w:eastAsia="zh-CN"/>
                    </w:rPr>
                    <w:t>收集后暂存于一般固废暂存点，定期外售处置。</w:t>
                  </w:r>
                </w:p>
              </w:tc>
            </w:tr>
            <w:tr w14:paraId="18763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292" w:hRule="atLeast"/>
              </w:trPr>
              <w:tc>
                <w:tcPr>
                  <w:tcW w:w="251" w:type="pct"/>
                  <w:tcBorders>
                    <w:tl2br w:val="nil"/>
                    <w:tr2bl w:val="nil"/>
                  </w:tcBorders>
                  <w:vAlign w:val="center"/>
                </w:tcPr>
                <w:p w14:paraId="37C7780A">
                  <w:pPr>
                    <w:pStyle w:val="5"/>
                    <w:bidi w:val="0"/>
                    <w:rPr>
                      <w:lang w:val="en-US" w:eastAsia="zh-CN"/>
                    </w:rPr>
                  </w:pPr>
                  <w:r>
                    <w:rPr>
                      <w:rFonts w:hint="eastAsia"/>
                      <w:lang w:val="en-US" w:eastAsia="zh-CN"/>
                    </w:rPr>
                    <w:t>2</w:t>
                  </w:r>
                </w:p>
              </w:tc>
              <w:tc>
                <w:tcPr>
                  <w:tcW w:w="420" w:type="pct"/>
                  <w:tcBorders>
                    <w:tl2br w:val="nil"/>
                    <w:tr2bl w:val="nil"/>
                  </w:tcBorders>
                  <w:shd w:val="clear" w:color="auto" w:fill="auto"/>
                  <w:vAlign w:val="center"/>
                </w:tcPr>
                <w:p w14:paraId="7A6A73CB">
                  <w:pPr>
                    <w:pStyle w:val="5"/>
                    <w:bidi w:val="0"/>
                    <w:ind w:firstLine="0" w:firstLineChars="0"/>
                    <w:rPr>
                      <w:rFonts w:ascii="Times New Roman" w:hAnsi="Times New Roman" w:eastAsia="宋体" w:cs="Times New Roman"/>
                      <w:kern w:val="2"/>
                      <w:sz w:val="21"/>
                      <w:lang w:val="en-US" w:eastAsia="zh-CN" w:bidi="ar-SA"/>
                    </w:rPr>
                  </w:pPr>
                  <w:r>
                    <w:rPr>
                      <w:rFonts w:hint="default"/>
                      <w:lang w:val="en-US" w:eastAsia="zh-CN"/>
                    </w:rPr>
                    <w:t>废活性炭</w:t>
                  </w:r>
                </w:p>
              </w:tc>
              <w:tc>
                <w:tcPr>
                  <w:tcW w:w="511" w:type="pct"/>
                  <w:vMerge w:val="restart"/>
                  <w:tcBorders>
                    <w:tl2br w:val="nil"/>
                    <w:tr2bl w:val="nil"/>
                  </w:tcBorders>
                  <w:shd w:val="clear" w:color="auto" w:fill="auto"/>
                  <w:vAlign w:val="center"/>
                </w:tcPr>
                <w:p w14:paraId="265CE101">
                  <w:pPr>
                    <w:pStyle w:val="5"/>
                    <w:bidi w:val="0"/>
                    <w:ind w:firstLine="0" w:firstLineChars="0"/>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危险废物</w:t>
                  </w:r>
                </w:p>
              </w:tc>
              <w:tc>
                <w:tcPr>
                  <w:tcW w:w="611" w:type="pct"/>
                  <w:tcBorders>
                    <w:tl2br w:val="nil"/>
                    <w:tr2bl w:val="nil"/>
                  </w:tcBorders>
                  <w:shd w:val="clear" w:color="auto" w:fill="auto"/>
                  <w:vAlign w:val="center"/>
                </w:tcPr>
                <w:p w14:paraId="0189FDFD">
                  <w:pPr>
                    <w:pStyle w:val="5"/>
                    <w:bidi w:val="0"/>
                    <w:ind w:firstLine="0" w:firstLineChars="0"/>
                    <w:rPr>
                      <w:rFonts w:hint="default" w:ascii="Times New Roman" w:hAnsi="Times New Roman" w:eastAsia="宋体" w:cs="Times New Roman"/>
                      <w:kern w:val="2"/>
                      <w:sz w:val="21"/>
                      <w:lang w:val="en-US" w:eastAsia="zh-CN" w:bidi="ar-SA"/>
                    </w:rPr>
                  </w:pPr>
                  <w:r>
                    <w:rPr>
                      <w:rFonts w:hint="default"/>
                      <w:lang w:val="en-US" w:eastAsia="zh-CN"/>
                    </w:rPr>
                    <w:t>HW49  900-039-49</w:t>
                  </w:r>
                </w:p>
              </w:tc>
              <w:tc>
                <w:tcPr>
                  <w:tcW w:w="440" w:type="pct"/>
                  <w:tcBorders>
                    <w:tl2br w:val="nil"/>
                    <w:tr2bl w:val="nil"/>
                  </w:tcBorders>
                  <w:shd w:val="clear" w:color="auto" w:fill="auto"/>
                  <w:vAlign w:val="center"/>
                </w:tcPr>
                <w:p w14:paraId="69041A8F">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1.062</w:t>
                  </w:r>
                </w:p>
              </w:tc>
              <w:tc>
                <w:tcPr>
                  <w:tcW w:w="618" w:type="pct"/>
                  <w:tcBorders>
                    <w:tl2br w:val="nil"/>
                    <w:tr2bl w:val="nil"/>
                  </w:tcBorders>
                  <w:shd w:val="clear" w:color="auto" w:fill="auto"/>
                  <w:vAlign w:val="center"/>
                </w:tcPr>
                <w:p w14:paraId="070D74EC">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废气处理</w:t>
                  </w:r>
                </w:p>
              </w:tc>
              <w:tc>
                <w:tcPr>
                  <w:tcW w:w="333" w:type="pct"/>
                  <w:tcBorders>
                    <w:tl2br w:val="nil"/>
                    <w:tr2bl w:val="nil"/>
                  </w:tcBorders>
                  <w:shd w:val="clear" w:color="auto" w:fill="auto"/>
                  <w:vAlign w:val="center"/>
                </w:tcPr>
                <w:p w14:paraId="127FA129">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固态</w:t>
                  </w:r>
                </w:p>
              </w:tc>
              <w:tc>
                <w:tcPr>
                  <w:tcW w:w="519" w:type="pct"/>
                  <w:tcBorders>
                    <w:tl2br w:val="nil"/>
                    <w:tr2bl w:val="nil"/>
                  </w:tcBorders>
                  <w:shd w:val="clear" w:color="auto" w:fill="auto"/>
                  <w:vAlign w:val="center"/>
                </w:tcPr>
                <w:p w14:paraId="40F557D6">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w:t>
                  </w:r>
                </w:p>
              </w:tc>
              <w:tc>
                <w:tcPr>
                  <w:tcW w:w="1293" w:type="pct"/>
                  <w:vMerge w:val="restart"/>
                  <w:tcBorders>
                    <w:tl2br w:val="nil"/>
                    <w:tr2bl w:val="nil"/>
                  </w:tcBorders>
                  <w:vAlign w:val="center"/>
                </w:tcPr>
                <w:p w14:paraId="2D064F0D">
                  <w:pPr>
                    <w:pStyle w:val="5"/>
                    <w:bidi w:val="0"/>
                    <w:jc w:val="center"/>
                    <w:rPr>
                      <w:lang w:val="en-US" w:eastAsia="zh-CN"/>
                    </w:rPr>
                  </w:pPr>
                  <w:r>
                    <w:rPr>
                      <w:rFonts w:hint="eastAsia"/>
                      <w:lang w:val="en-US" w:eastAsia="zh-CN"/>
                    </w:rPr>
                    <w:t>分类收集后暂存于危废暂存间，定期交由资质的公司处置。</w:t>
                  </w:r>
                </w:p>
              </w:tc>
            </w:tr>
            <w:tr w14:paraId="67E17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746" w:hRule="atLeast"/>
              </w:trPr>
              <w:tc>
                <w:tcPr>
                  <w:tcW w:w="251" w:type="pct"/>
                  <w:tcBorders>
                    <w:tl2br w:val="nil"/>
                    <w:tr2bl w:val="nil"/>
                  </w:tcBorders>
                  <w:shd w:val="clear" w:color="auto" w:fill="auto"/>
                  <w:vAlign w:val="center"/>
                </w:tcPr>
                <w:p w14:paraId="0EE6849D">
                  <w:pPr>
                    <w:pStyle w:val="5"/>
                    <w:bidi w:val="0"/>
                    <w:rPr>
                      <w:rFonts w:hint="eastAsia"/>
                      <w:lang w:val="en-US" w:eastAsia="zh-CN"/>
                    </w:rPr>
                  </w:pPr>
                  <w:r>
                    <w:rPr>
                      <w:rFonts w:hint="eastAsia"/>
                      <w:lang w:val="en-US" w:eastAsia="zh-CN"/>
                    </w:rPr>
                    <w:t>3</w:t>
                  </w:r>
                </w:p>
              </w:tc>
              <w:tc>
                <w:tcPr>
                  <w:tcW w:w="420" w:type="pct"/>
                  <w:tcBorders>
                    <w:tl2br w:val="nil"/>
                    <w:tr2bl w:val="nil"/>
                  </w:tcBorders>
                  <w:shd w:val="clear" w:color="auto" w:fill="auto"/>
                  <w:vAlign w:val="center"/>
                </w:tcPr>
                <w:p w14:paraId="4D8DAFCE">
                  <w:pPr>
                    <w:pStyle w:val="5"/>
                    <w:bidi w:val="0"/>
                    <w:ind w:firstLine="0" w:firstLineChars="0"/>
                    <w:rPr>
                      <w:rFonts w:ascii="Times New Roman" w:hAnsi="Times New Roman" w:eastAsia="宋体" w:cs="Times New Roman"/>
                      <w:kern w:val="2"/>
                      <w:sz w:val="21"/>
                      <w:lang w:val="en-US" w:eastAsia="zh-CN" w:bidi="ar-SA"/>
                    </w:rPr>
                  </w:pPr>
                  <w:r>
                    <w:rPr>
                      <w:rFonts w:hint="default"/>
                      <w:lang w:val="en-US" w:eastAsia="zh-CN"/>
                    </w:rPr>
                    <w:t>废</w:t>
                  </w:r>
                  <w:r>
                    <w:rPr>
                      <w:rFonts w:hint="eastAsia"/>
                      <w:lang w:val="en-US" w:eastAsia="zh-CN"/>
                    </w:rPr>
                    <w:t>胶粘剂瓶</w:t>
                  </w:r>
                </w:p>
              </w:tc>
              <w:tc>
                <w:tcPr>
                  <w:tcW w:w="511" w:type="pct"/>
                  <w:vMerge w:val="continue"/>
                  <w:tcBorders>
                    <w:tl2br w:val="nil"/>
                    <w:tr2bl w:val="nil"/>
                  </w:tcBorders>
                  <w:shd w:val="clear" w:color="auto" w:fill="auto"/>
                  <w:vAlign w:val="center"/>
                </w:tcPr>
                <w:p w14:paraId="790CE049">
                  <w:pPr>
                    <w:pStyle w:val="5"/>
                    <w:bidi w:val="0"/>
                    <w:ind w:firstLine="0" w:firstLineChars="0"/>
                    <w:rPr>
                      <w:rFonts w:hint="eastAsia" w:ascii="Times New Roman" w:hAnsi="Times New Roman" w:eastAsia="宋体" w:cs="Times New Roman"/>
                      <w:kern w:val="2"/>
                      <w:sz w:val="21"/>
                      <w:lang w:val="en-US" w:eastAsia="zh-CN" w:bidi="ar-SA"/>
                    </w:rPr>
                  </w:pPr>
                </w:p>
              </w:tc>
              <w:tc>
                <w:tcPr>
                  <w:tcW w:w="611" w:type="pct"/>
                  <w:tcBorders>
                    <w:tl2br w:val="nil"/>
                    <w:tr2bl w:val="nil"/>
                  </w:tcBorders>
                  <w:shd w:val="clear" w:color="auto" w:fill="auto"/>
                  <w:vAlign w:val="center"/>
                </w:tcPr>
                <w:p w14:paraId="59EBBC3E">
                  <w:pPr>
                    <w:pStyle w:val="5"/>
                    <w:bidi w:val="0"/>
                    <w:ind w:firstLine="0" w:firstLineChars="0"/>
                    <w:rPr>
                      <w:rFonts w:hint="default" w:ascii="Times New Roman" w:hAnsi="Times New Roman" w:eastAsia="宋体" w:cs="Times New Roman"/>
                      <w:kern w:val="2"/>
                      <w:sz w:val="21"/>
                      <w:lang w:val="en-US" w:eastAsia="zh-CN" w:bidi="ar-SA"/>
                    </w:rPr>
                  </w:pPr>
                  <w:r>
                    <w:rPr>
                      <w:rFonts w:hint="default"/>
                      <w:lang w:val="en-US" w:eastAsia="zh-CN"/>
                    </w:rPr>
                    <w:t>HW49</w:t>
                  </w:r>
                  <w:r>
                    <w:rPr>
                      <w:rFonts w:hint="eastAsia"/>
                      <w:lang w:val="en-US" w:eastAsia="zh-CN"/>
                    </w:rPr>
                    <w:t xml:space="preserve"> </w:t>
                  </w:r>
                  <w:r>
                    <w:rPr>
                      <w:rFonts w:hint="default"/>
                      <w:lang w:val="en-US" w:eastAsia="zh-CN"/>
                    </w:rPr>
                    <w:t xml:space="preserve"> 900-041-49</w:t>
                  </w:r>
                </w:p>
              </w:tc>
              <w:tc>
                <w:tcPr>
                  <w:tcW w:w="440" w:type="pct"/>
                  <w:tcBorders>
                    <w:tl2br w:val="nil"/>
                    <w:tr2bl w:val="nil"/>
                  </w:tcBorders>
                  <w:shd w:val="clear" w:color="auto" w:fill="auto"/>
                  <w:vAlign w:val="center"/>
                </w:tcPr>
                <w:p w14:paraId="0FEF6679">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0.42</w:t>
                  </w:r>
                </w:p>
              </w:tc>
              <w:tc>
                <w:tcPr>
                  <w:tcW w:w="618" w:type="pct"/>
                  <w:tcBorders>
                    <w:tl2br w:val="nil"/>
                    <w:tr2bl w:val="nil"/>
                  </w:tcBorders>
                  <w:shd w:val="clear" w:color="auto" w:fill="auto"/>
                  <w:vAlign w:val="center"/>
                </w:tcPr>
                <w:p w14:paraId="251766DA">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点胶</w:t>
                  </w:r>
                </w:p>
              </w:tc>
              <w:tc>
                <w:tcPr>
                  <w:tcW w:w="333" w:type="pct"/>
                  <w:tcBorders>
                    <w:tl2br w:val="nil"/>
                    <w:tr2bl w:val="nil"/>
                  </w:tcBorders>
                  <w:shd w:val="clear" w:color="auto" w:fill="auto"/>
                  <w:vAlign w:val="center"/>
                </w:tcPr>
                <w:p w14:paraId="2D7FD5FA">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固态</w:t>
                  </w:r>
                </w:p>
              </w:tc>
              <w:tc>
                <w:tcPr>
                  <w:tcW w:w="519" w:type="pct"/>
                  <w:tcBorders>
                    <w:tl2br w:val="nil"/>
                    <w:tr2bl w:val="nil"/>
                  </w:tcBorders>
                  <w:shd w:val="clear" w:color="auto" w:fill="auto"/>
                  <w:vAlign w:val="center"/>
                </w:tcPr>
                <w:p w14:paraId="6EBAA543">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废胶粘剂等有害成分</w:t>
                  </w:r>
                </w:p>
              </w:tc>
              <w:tc>
                <w:tcPr>
                  <w:tcW w:w="1293" w:type="pct"/>
                  <w:vMerge w:val="continue"/>
                  <w:tcBorders>
                    <w:tl2br w:val="nil"/>
                    <w:tr2bl w:val="nil"/>
                  </w:tcBorders>
                  <w:shd w:val="clear" w:color="auto" w:fill="auto"/>
                  <w:vAlign w:val="center"/>
                </w:tcPr>
                <w:p w14:paraId="79051A7A">
                  <w:pPr>
                    <w:pStyle w:val="5"/>
                    <w:bidi w:val="0"/>
                    <w:jc w:val="center"/>
                    <w:rPr>
                      <w:rFonts w:hint="eastAsia" w:eastAsia="宋体"/>
                      <w:lang w:val="en-US" w:eastAsia="zh-CN"/>
                    </w:rPr>
                  </w:pPr>
                </w:p>
              </w:tc>
            </w:tr>
          </w:tbl>
          <w:p w14:paraId="3A7DAB8A">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cs="Times New Roman"/>
                <w:b/>
                <w:color w:val="auto"/>
                <w:sz w:val="24"/>
                <w:szCs w:val="28"/>
                <w:highlight w:val="none"/>
                <w:lang w:eastAsia="zh-CN"/>
              </w:rPr>
              <w:t>（</w:t>
            </w:r>
            <w:r>
              <w:rPr>
                <w:rFonts w:hint="eastAsia" w:cs="Times New Roman"/>
                <w:b/>
                <w:color w:val="auto"/>
                <w:sz w:val="24"/>
                <w:szCs w:val="28"/>
                <w:highlight w:val="none"/>
                <w:lang w:val="en-US" w:eastAsia="zh-CN"/>
              </w:rPr>
              <w:t>3</w:t>
            </w:r>
            <w:r>
              <w:rPr>
                <w:rFonts w:hint="eastAsia" w:cs="Times New Roman"/>
                <w:b/>
                <w:color w:val="auto"/>
                <w:sz w:val="24"/>
                <w:szCs w:val="28"/>
                <w:highlight w:val="none"/>
                <w:lang w:eastAsia="zh-CN"/>
              </w:rPr>
              <w:t>）</w:t>
            </w:r>
            <w:r>
              <w:rPr>
                <w:rFonts w:hint="default" w:ascii="Times New Roman" w:hAnsi="Times New Roman" w:eastAsia="宋体" w:cs="Times New Roman"/>
                <w:b/>
                <w:bCs/>
                <w:color w:val="auto"/>
                <w:sz w:val="24"/>
                <w:szCs w:val="28"/>
                <w:highlight w:val="none"/>
              </w:rPr>
              <w:t>危险废物管理要求</w:t>
            </w:r>
          </w:p>
          <w:p w14:paraId="060B65AF">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经现场调查</w:t>
            </w:r>
            <w:r>
              <w:rPr>
                <w:rFonts w:hint="eastAsia" w:cs="Times New Roman"/>
                <w:bCs/>
                <w:color w:val="auto"/>
                <w:sz w:val="24"/>
                <w:szCs w:val="28"/>
                <w:highlight w:val="none"/>
                <w:lang w:eastAsia="zh-CN"/>
              </w:rPr>
              <w:t>，</w:t>
            </w:r>
            <w:r>
              <w:rPr>
                <w:rFonts w:hint="eastAsia" w:cs="Times New Roman"/>
                <w:bCs/>
                <w:color w:val="auto"/>
                <w:sz w:val="24"/>
                <w:szCs w:val="28"/>
                <w:highlight w:val="none"/>
                <w:lang w:val="en-US" w:eastAsia="zh-CN"/>
              </w:rPr>
              <w:t>本</w:t>
            </w:r>
            <w:r>
              <w:rPr>
                <w:rFonts w:hint="default" w:ascii="Times New Roman" w:hAnsi="Times New Roman" w:eastAsia="宋体" w:cs="Times New Roman"/>
                <w:bCs/>
                <w:color w:val="auto"/>
                <w:sz w:val="24"/>
                <w:szCs w:val="28"/>
                <w:highlight w:val="none"/>
              </w:rPr>
              <w:t>项目</w:t>
            </w:r>
            <w:r>
              <w:rPr>
                <w:rFonts w:hint="eastAsia" w:cs="Times New Roman"/>
                <w:bCs/>
                <w:color w:val="auto"/>
                <w:sz w:val="24"/>
                <w:szCs w:val="28"/>
                <w:highlight w:val="none"/>
                <w:lang w:val="en-US" w:eastAsia="zh-CN"/>
              </w:rPr>
              <w:t>技改前不产生危险固体废物，无危废暂存间。</w:t>
            </w:r>
            <w:r>
              <w:rPr>
                <w:rFonts w:hint="default" w:ascii="Times New Roman" w:hAnsi="Times New Roman" w:eastAsia="宋体" w:cs="Times New Roman"/>
                <w:bCs/>
                <w:color w:val="auto"/>
                <w:sz w:val="24"/>
                <w:szCs w:val="28"/>
                <w:highlight w:val="none"/>
              </w:rPr>
              <w:t>本次</w:t>
            </w:r>
            <w:r>
              <w:rPr>
                <w:rFonts w:hint="eastAsia" w:cs="Times New Roman"/>
                <w:bCs/>
                <w:color w:val="auto"/>
                <w:sz w:val="24"/>
                <w:szCs w:val="28"/>
                <w:highlight w:val="none"/>
                <w:lang w:val="en-US" w:eastAsia="zh-CN"/>
              </w:rPr>
              <w:t>新增危险固体废物，因此本次评价</w:t>
            </w:r>
            <w:r>
              <w:rPr>
                <w:rFonts w:hint="default" w:ascii="Times New Roman" w:hAnsi="Times New Roman" w:eastAsia="宋体" w:cs="Times New Roman"/>
                <w:bCs/>
                <w:color w:val="auto"/>
                <w:sz w:val="24"/>
                <w:szCs w:val="28"/>
                <w:highlight w:val="none"/>
                <w:lang w:val="en-US" w:eastAsia="zh-CN"/>
              </w:rPr>
              <w:t>要求根据规定</w:t>
            </w:r>
            <w:r>
              <w:rPr>
                <w:rFonts w:hint="eastAsia" w:cs="Times New Roman"/>
                <w:bCs/>
                <w:color w:val="auto"/>
                <w:sz w:val="24"/>
                <w:szCs w:val="28"/>
                <w:highlight w:val="none"/>
                <w:lang w:val="en-US" w:eastAsia="zh-CN"/>
              </w:rPr>
              <w:t>设置危废暂存间。</w:t>
            </w:r>
            <w:r>
              <w:rPr>
                <w:rFonts w:hint="default" w:ascii="Times New Roman" w:hAnsi="Times New Roman" w:eastAsia="宋体" w:cs="Times New Roman"/>
                <w:bCs/>
                <w:color w:val="auto"/>
                <w:sz w:val="24"/>
                <w:szCs w:val="28"/>
                <w:highlight w:val="none"/>
                <w:lang w:val="en-US" w:eastAsia="zh-CN"/>
              </w:rPr>
              <w:t>另外，</w:t>
            </w:r>
            <w:r>
              <w:rPr>
                <w:rFonts w:hint="default" w:ascii="Times New Roman" w:hAnsi="Times New Roman" w:eastAsia="宋体" w:cs="Times New Roman"/>
                <w:bCs/>
                <w:color w:val="auto"/>
                <w:sz w:val="24"/>
                <w:szCs w:val="28"/>
                <w:highlight w:val="none"/>
              </w:rPr>
              <w:t>对危险废物的管理提出以下要求。</w:t>
            </w:r>
          </w:p>
          <w:p w14:paraId="158F31A5">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①收集方面的措施及要求</w:t>
            </w:r>
          </w:p>
          <w:p w14:paraId="4A736AEA">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根据</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bCs/>
                <w:color w:val="auto"/>
                <w:sz w:val="24"/>
                <w:szCs w:val="28"/>
                <w:highlight w:val="none"/>
              </w:rPr>
              <w:t>，按不同危险特性进行分类收集；收集桶和暂存室张贴相应的标志及标签。性质类似的废物可收集到同一容器中，性质不相容的危险废物不应混合包装。危险废物包装应能有效隔断危险废物迁移扩散途径，并达到防渗、防漏要求。包装好的危险废物应设置相应的标签，标签信息应填写完整</w:t>
            </w:r>
            <w:r>
              <w:rPr>
                <w:rFonts w:hint="eastAsia" w:cs="Times New Roman"/>
                <w:bCs/>
                <w:color w:val="auto"/>
                <w:sz w:val="24"/>
                <w:szCs w:val="28"/>
                <w:highlight w:val="none"/>
                <w:lang w:eastAsia="zh-CN"/>
              </w:rPr>
              <w:t>翔实</w:t>
            </w:r>
            <w:r>
              <w:rPr>
                <w:rFonts w:hint="default" w:ascii="Times New Roman" w:hAnsi="Times New Roman" w:eastAsia="宋体" w:cs="Times New Roman"/>
                <w:bCs/>
                <w:color w:val="auto"/>
                <w:sz w:val="24"/>
                <w:szCs w:val="28"/>
                <w:highlight w:val="none"/>
              </w:rPr>
              <w:t>。盛装过危险废物的包装袋或包装容器破损后应按危险废物进行管理和处置。</w:t>
            </w:r>
          </w:p>
          <w:p w14:paraId="77776765">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②暂存方面的措施及要求</w:t>
            </w:r>
          </w:p>
          <w:p w14:paraId="42F87914">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按照</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bCs/>
                <w:color w:val="auto"/>
                <w:sz w:val="24"/>
                <w:szCs w:val="28"/>
                <w:highlight w:val="none"/>
              </w:rPr>
              <w:t>的管理规定进行重点防渗处理。</w:t>
            </w:r>
          </w:p>
          <w:p w14:paraId="5815219B">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③转运方面的措施及要求</w:t>
            </w:r>
          </w:p>
          <w:p w14:paraId="215AC506">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color w:val="auto"/>
                <w:sz w:val="24"/>
                <w:highlight w:val="none"/>
              </w:rPr>
              <w:t>危险废物转运时必须安全转移，防止撒漏，且由具有处理资质的单位处理。危险废物的处置需严格按照《危险废物转移管理办法》规定办理危险废物转移手续，并严格执行《危险废物转移管理办法》规定，防止二次污染。</w:t>
            </w:r>
          </w:p>
          <w:p w14:paraId="19B37FFA">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④其他管理要求</w:t>
            </w:r>
          </w:p>
          <w:p w14:paraId="4BF88731">
            <w:pPr>
              <w:spacing w:line="360" w:lineRule="auto"/>
              <w:ind w:firstLine="480" w:firstLineChars="200"/>
              <w:rPr>
                <w:rFonts w:hint="default" w:ascii="Times New Roman" w:hAnsi="Times New Roman" w:eastAsia="宋体" w:cs="Times New Roman"/>
                <w:bCs/>
                <w:color w:val="auto"/>
                <w:sz w:val="24"/>
                <w:szCs w:val="28"/>
                <w:highlight w:val="none"/>
              </w:rPr>
            </w:pPr>
            <w:r>
              <w:rPr>
                <w:rFonts w:hint="default" w:ascii="Times New Roman" w:hAnsi="Times New Roman" w:eastAsia="宋体" w:cs="Times New Roman"/>
                <w:bCs/>
                <w:color w:val="auto"/>
                <w:sz w:val="24"/>
                <w:szCs w:val="28"/>
                <w:highlight w:val="none"/>
              </w:rPr>
              <w:t>加强技术人员的技能培训，严禁将危险废物直接外排，危险废物与一般固废应分别收集、暂存，建立废物贮存的台账制度，危险废物出入实行联单制度，确保危险废物的不遗失。</w:t>
            </w:r>
          </w:p>
          <w:p w14:paraId="345730F5">
            <w:pPr>
              <w:pStyle w:val="38"/>
              <w:ind w:firstLine="482"/>
              <w:rPr>
                <w:b/>
                <w:bCs/>
                <w:color w:val="auto"/>
              </w:rPr>
            </w:pPr>
            <w:r>
              <w:rPr>
                <w:rFonts w:hint="eastAsia"/>
                <w:b/>
                <w:bCs/>
                <w:color w:val="auto"/>
              </w:rPr>
              <w:t>5、地下水和土壤</w:t>
            </w:r>
          </w:p>
          <w:p w14:paraId="01DA1444">
            <w:pPr>
              <w:bidi w:val="0"/>
              <w:rPr>
                <w:rFonts w:hint="eastAsia"/>
              </w:rPr>
            </w:pPr>
            <w:r>
              <w:rPr>
                <w:rFonts w:hint="eastAsia"/>
              </w:rPr>
              <w:t>本项目地下水与土壤污染防治措施坚持“源头控制、分区防治、污染控制、应急响应”的基本原则，要求对厂区进行分区防渗，分别采取不同等级的防渗措施。</w:t>
            </w:r>
          </w:p>
          <w:p w14:paraId="1C6BAD33">
            <w:pPr>
              <w:bidi w:val="0"/>
              <w:rPr>
                <w:rFonts w:hint="eastAsia"/>
                <w:b/>
                <w:bCs/>
              </w:rPr>
            </w:pPr>
            <w:r>
              <w:rPr>
                <w:rFonts w:hint="eastAsia"/>
                <w:b/>
                <w:bCs/>
              </w:rPr>
              <w:t>（1）污染途径</w:t>
            </w:r>
          </w:p>
          <w:p w14:paraId="100A6BA0">
            <w:pPr>
              <w:bidi w:val="0"/>
              <w:rPr>
                <w:rFonts w:hint="eastAsia"/>
                <w:b w:val="0"/>
                <w:bCs w:val="0"/>
              </w:rPr>
            </w:pPr>
            <w:r>
              <w:rPr>
                <w:rFonts w:hint="eastAsia"/>
                <w:b w:val="0"/>
                <w:bCs w:val="0"/>
              </w:rPr>
              <w:t>本项目主要为</w:t>
            </w:r>
            <w:r>
              <w:rPr>
                <w:rFonts w:hint="eastAsia"/>
                <w:b w:val="0"/>
                <w:bCs w:val="0"/>
                <w:lang w:val="en-US" w:eastAsia="zh-CN"/>
              </w:rPr>
              <w:t>氢能源混合动力系统和氢能源两轮车</w:t>
            </w:r>
            <w:r>
              <w:rPr>
                <w:rFonts w:hint="eastAsia"/>
                <w:b w:val="0"/>
                <w:bCs w:val="0"/>
              </w:rPr>
              <w:t>生产技改项目，</w:t>
            </w:r>
            <w:r>
              <w:rPr>
                <w:rFonts w:hint="eastAsia"/>
                <w:b w:val="0"/>
                <w:bCs w:val="0"/>
                <w:lang w:val="en-US" w:eastAsia="zh-CN"/>
              </w:rPr>
              <w:t>不涉及生产废水产生，产生废气</w:t>
            </w:r>
            <w:r>
              <w:rPr>
                <w:rFonts w:hint="eastAsia"/>
                <w:b w:val="0"/>
                <w:bCs w:val="0"/>
              </w:rPr>
              <w:t>为挥发性有机废气（VOCs），污染途径为大气沉降，危险废物中有害物质污染途径为垂直入渗，进入包气带的污染物在物理、化学和生物作用下经吸附、转化、迁移和分解后输入地下水。</w:t>
            </w:r>
          </w:p>
          <w:p w14:paraId="05DF506E">
            <w:pPr>
              <w:bidi w:val="0"/>
              <w:rPr>
                <w:rFonts w:hint="eastAsia"/>
                <w:b w:val="0"/>
                <w:bCs w:val="0"/>
              </w:rPr>
            </w:pPr>
            <w:r>
              <w:rPr>
                <w:rFonts w:hint="eastAsia"/>
                <w:b w:val="0"/>
                <w:bCs w:val="0"/>
              </w:rPr>
              <w:t>项目运营期间，废气主要污染因子为VOCs，不含重金属，不涉及酸性、碱性气体，不会引起土壤酸碱性变化，不会引起土壤和地下水中重金属含量的增加。</w:t>
            </w:r>
          </w:p>
          <w:p w14:paraId="2E0102AD">
            <w:pPr>
              <w:bidi w:val="0"/>
              <w:rPr>
                <w:rFonts w:hint="eastAsia"/>
                <w:b w:val="0"/>
                <w:bCs w:val="0"/>
              </w:rPr>
            </w:pPr>
            <w:r>
              <w:rPr>
                <w:rFonts w:hint="eastAsia"/>
                <w:b w:val="0"/>
                <w:bCs w:val="0"/>
              </w:rPr>
              <w:t>本项目危废暂存间</w:t>
            </w:r>
            <w:r>
              <w:rPr>
                <w:rFonts w:hint="eastAsia"/>
                <w:b w:val="0"/>
                <w:bCs w:val="0"/>
                <w:lang w:val="en-US" w:eastAsia="zh-CN"/>
              </w:rPr>
              <w:t>设置在二楼车间，并且</w:t>
            </w:r>
            <w:r>
              <w:rPr>
                <w:rFonts w:hint="eastAsia"/>
                <w:b w:val="0"/>
                <w:bCs w:val="0"/>
              </w:rPr>
              <w:t>采取重点防渗措施，对土壤和地下水环境影响较小。</w:t>
            </w:r>
          </w:p>
          <w:p w14:paraId="1B9AEF12">
            <w:pPr>
              <w:bidi w:val="0"/>
              <w:rPr>
                <w:rFonts w:hint="eastAsia"/>
                <w:b/>
                <w:bCs/>
              </w:rPr>
            </w:pPr>
            <w:r>
              <w:rPr>
                <w:rFonts w:hint="eastAsia"/>
                <w:b/>
                <w:bCs/>
              </w:rPr>
              <w:t>（2）源头控制措施</w:t>
            </w:r>
          </w:p>
          <w:p w14:paraId="03616256">
            <w:pPr>
              <w:bidi w:val="0"/>
              <w:rPr>
                <w:rFonts w:hint="eastAsia"/>
              </w:rPr>
            </w:pPr>
            <w:r>
              <w:rPr>
                <w:rFonts w:hint="eastAsia"/>
              </w:rPr>
              <w:t>①积极推行实施清洁生产，实现各类废物循环利用，减少污染物的排放量；</w:t>
            </w:r>
          </w:p>
          <w:p w14:paraId="2EF35B4D">
            <w:pPr>
              <w:bidi w:val="0"/>
              <w:rPr>
                <w:rFonts w:hint="eastAsia"/>
              </w:rPr>
            </w:pPr>
            <w:r>
              <w:rPr>
                <w:rFonts w:hint="eastAsia"/>
              </w:rPr>
              <w:t>②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066DF304">
            <w:pPr>
              <w:bidi w:val="0"/>
              <w:rPr>
                <w:rFonts w:hint="eastAsia"/>
              </w:rPr>
            </w:pPr>
            <w:r>
              <w:rPr>
                <w:rFonts w:hint="eastAsia"/>
              </w:rPr>
              <w:t>③对工艺、管道、设备、污水储存及处理构筑物采取控制措施，防止污染物的跑、冒、滴、漏，将污染物泄漏的环境风险事故降到最低限度。</w:t>
            </w:r>
          </w:p>
          <w:p w14:paraId="429D8E38">
            <w:pPr>
              <w:bidi w:val="0"/>
              <w:rPr>
                <w:rFonts w:hint="eastAsia"/>
                <w:b/>
                <w:bCs/>
              </w:rPr>
            </w:pPr>
            <w:r>
              <w:rPr>
                <w:rFonts w:hint="eastAsia"/>
                <w:b/>
                <w:bCs/>
              </w:rPr>
              <w:t>（3）分区防治措施</w:t>
            </w:r>
          </w:p>
          <w:p w14:paraId="25544284">
            <w:pPr>
              <w:spacing w:line="360" w:lineRule="auto"/>
              <w:ind w:firstLine="480" w:firstLineChars="200"/>
              <w:rPr>
                <w:rFonts w:hint="default" w:ascii="Times New Roman" w:hAnsi="Times New Roman" w:eastAsia="宋体" w:cs="Times New Roman"/>
                <w:b/>
                <w:bCs/>
                <w:color w:val="auto"/>
                <w:kern w:val="0"/>
                <w:sz w:val="24"/>
                <w:highlight w:val="none"/>
                <w:lang w:val="en-US" w:eastAsia="zh-CN"/>
              </w:rPr>
            </w:pPr>
            <w:r>
              <w:rPr>
                <w:rFonts w:hint="eastAsia"/>
                <w:lang w:val="en-US" w:eastAsia="zh-CN"/>
              </w:rPr>
              <w:t>目前，厂房现有生产车间已采取防渗措施为</w:t>
            </w:r>
            <w:r>
              <w:rPr>
                <w:rFonts w:hint="default" w:ascii="Times New Roman" w:hAnsi="Times New Roman" w:eastAsia="宋体" w:cs="Times New Roman"/>
                <w:color w:val="auto"/>
                <w:kern w:val="0"/>
                <w:highlight w:val="none"/>
              </w:rPr>
              <w:t>混凝土地面硬化</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加涂刷</w:t>
            </w:r>
            <w:r>
              <w:rPr>
                <w:rFonts w:hint="default" w:ascii="Times New Roman" w:hAnsi="Times New Roman" w:eastAsia="宋体" w:cs="Times New Roman"/>
                <w:color w:val="auto"/>
                <w:kern w:val="0"/>
                <w:highlight w:val="none"/>
              </w:rPr>
              <w:t>2mm厚</w:t>
            </w:r>
            <w:r>
              <w:rPr>
                <w:rFonts w:hint="eastAsia" w:cs="Times New Roman"/>
                <w:color w:val="auto"/>
                <w:kern w:val="0"/>
                <w:highlight w:val="none"/>
                <w:lang w:val="en-US" w:eastAsia="zh-CN"/>
              </w:rPr>
              <w:t>环氧树脂地坪漆，</w:t>
            </w:r>
            <w:r>
              <w:rPr>
                <w:rFonts w:hint="eastAsia"/>
                <w:lang w:val="en-US" w:eastAsia="zh-CN"/>
              </w:rPr>
              <w:t>渗透系数≤10</w:t>
            </w:r>
            <w:r>
              <w:rPr>
                <w:rFonts w:hint="eastAsia"/>
                <w:vertAlign w:val="superscript"/>
                <w:lang w:val="en-US" w:eastAsia="zh-CN"/>
              </w:rPr>
              <w:t>-10</w:t>
            </w:r>
            <w:r>
              <w:rPr>
                <w:rFonts w:hint="eastAsia"/>
                <w:lang w:val="en-US" w:eastAsia="zh-CN"/>
              </w:rPr>
              <w:t>cm/s，</w:t>
            </w:r>
            <w:r>
              <w:rPr>
                <w:rFonts w:hint="eastAsia" w:cs="Times New Roman"/>
                <w:color w:val="auto"/>
                <w:kern w:val="0"/>
                <w:highlight w:val="none"/>
                <w:lang w:val="en-US" w:eastAsia="zh-CN"/>
              </w:rPr>
              <w:t>满足重点防渗要求。本项目依托厂房三楼双极板生产车间进行新增设备的安装，现有防渗措施符合要求。</w:t>
            </w:r>
          </w:p>
          <w:p w14:paraId="2BE373AA">
            <w:pPr>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本项目</w:t>
            </w:r>
            <w:r>
              <w:rPr>
                <w:rFonts w:hint="eastAsia" w:cs="Times New Roman"/>
                <w:b/>
                <w:bCs/>
                <w:color w:val="auto"/>
                <w:sz w:val="24"/>
                <w:szCs w:val="28"/>
                <w:highlight w:val="none"/>
                <w:lang w:val="en-US" w:eastAsia="zh-CN"/>
              </w:rPr>
              <w:t>技改前无危废暂存间。本次新增危险固体废物，因此需设置危废暂存间</w:t>
            </w:r>
            <w:r>
              <w:rPr>
                <w:rFonts w:hint="eastAsia" w:cs="Times New Roman"/>
                <w:b/>
                <w:bCs/>
                <w:color w:val="auto"/>
                <w:sz w:val="24"/>
                <w:szCs w:val="28"/>
                <w:highlight w:val="none"/>
                <w:lang w:eastAsia="zh-CN"/>
              </w:rPr>
              <w:t>。</w:t>
            </w:r>
            <w:r>
              <w:rPr>
                <w:rFonts w:hint="eastAsia" w:cs="Times New Roman"/>
                <w:b/>
                <w:bCs/>
                <w:color w:val="auto"/>
                <w:sz w:val="24"/>
                <w:szCs w:val="28"/>
                <w:highlight w:val="none"/>
                <w:lang w:val="en-US" w:eastAsia="zh-CN"/>
              </w:rPr>
              <w:t>厂房现有</w:t>
            </w:r>
            <w:r>
              <w:rPr>
                <w:rFonts w:hint="eastAsia" w:cs="Times New Roman"/>
                <w:b/>
                <w:bCs/>
                <w:color w:val="auto"/>
                <w:sz w:val="24"/>
                <w:szCs w:val="28"/>
                <w:highlight w:val="none"/>
                <w:lang w:eastAsia="zh-CN"/>
              </w:rPr>
              <w:t>地表防渗等级满足要求，</w:t>
            </w:r>
            <w:r>
              <w:rPr>
                <w:rFonts w:hint="eastAsia" w:cs="Times New Roman"/>
                <w:b/>
                <w:bCs/>
                <w:color w:val="auto"/>
                <w:sz w:val="24"/>
                <w:szCs w:val="28"/>
                <w:highlight w:val="none"/>
                <w:lang w:val="en-US" w:eastAsia="zh-CN"/>
              </w:rPr>
              <w:t>应按照</w:t>
            </w:r>
            <w:r>
              <w:rPr>
                <w:rFonts w:hint="default" w:ascii="Times New Roman" w:hAnsi="Times New Roman" w:eastAsia="宋体" w:cs="Times New Roman"/>
                <w:b/>
                <w:bCs/>
                <w:color w:val="auto"/>
                <w:sz w:val="24"/>
                <w:highlight w:val="none"/>
              </w:rPr>
              <w:t>《危险废物贮存污染控制标准》（GB18597-2023）</w:t>
            </w:r>
            <w:r>
              <w:rPr>
                <w:rFonts w:hint="default" w:ascii="Times New Roman" w:hAnsi="Times New Roman" w:eastAsia="宋体" w:cs="Times New Roman"/>
                <w:b/>
                <w:bCs/>
                <w:color w:val="auto"/>
                <w:sz w:val="24"/>
                <w:szCs w:val="28"/>
                <w:highlight w:val="none"/>
              </w:rPr>
              <w:t>的规定进行</w:t>
            </w:r>
            <w:r>
              <w:rPr>
                <w:rFonts w:hint="default" w:ascii="Times New Roman" w:hAnsi="Times New Roman" w:eastAsia="宋体" w:cs="Times New Roman"/>
                <w:b/>
                <w:bCs/>
                <w:color w:val="auto"/>
                <w:kern w:val="0"/>
                <w:sz w:val="24"/>
                <w:highlight w:val="none"/>
              </w:rPr>
              <w:t>配备标识标牌</w:t>
            </w:r>
            <w:r>
              <w:rPr>
                <w:rFonts w:hint="eastAsia" w:cs="Times New Roman"/>
                <w:b/>
                <w:bCs/>
                <w:color w:val="auto"/>
                <w:kern w:val="0"/>
                <w:sz w:val="24"/>
                <w:highlight w:val="none"/>
                <w:lang w:val="en-US" w:eastAsia="zh-CN"/>
              </w:rPr>
              <w:t>和管理。</w:t>
            </w:r>
          </w:p>
          <w:p w14:paraId="6DEFFAF4">
            <w:pPr>
              <w:bidi w:val="0"/>
              <w:rPr>
                <w:rFonts w:hint="eastAsia"/>
                <w:b/>
                <w:bCs/>
              </w:rPr>
            </w:pPr>
            <w:r>
              <w:rPr>
                <w:rFonts w:hint="eastAsia"/>
                <w:b/>
                <w:bCs/>
              </w:rPr>
              <w:t>6、生态</w:t>
            </w:r>
          </w:p>
          <w:p w14:paraId="366402D7">
            <w:pPr>
              <w:bidi w:val="0"/>
              <w:rPr>
                <w:rFonts w:hint="eastAsia"/>
              </w:rPr>
            </w:pPr>
            <w:r>
              <w:rPr>
                <w:rFonts w:hint="eastAsia"/>
              </w:rPr>
              <w:t>本项目位于工业园区内，本次技改在已租赁厂房内</w:t>
            </w:r>
            <w:r>
              <w:rPr>
                <w:rFonts w:hint="eastAsia"/>
                <w:lang w:val="en-US" w:eastAsia="zh-CN"/>
              </w:rPr>
              <w:t>空余区域</w:t>
            </w:r>
            <w:r>
              <w:rPr>
                <w:rFonts w:hint="eastAsia"/>
              </w:rPr>
              <w:t>，不新增用地，且项目周边无生态环境保护目标，对生态环境无明显影响。</w:t>
            </w:r>
          </w:p>
          <w:p w14:paraId="2D77B71C">
            <w:pPr>
              <w:bidi w:val="0"/>
              <w:rPr>
                <w:rFonts w:hint="eastAsia"/>
                <w:b/>
                <w:bCs/>
              </w:rPr>
            </w:pPr>
            <w:r>
              <w:rPr>
                <w:rFonts w:hint="eastAsia"/>
                <w:b/>
                <w:bCs/>
              </w:rPr>
              <w:t>7、环境风险</w:t>
            </w:r>
          </w:p>
          <w:p w14:paraId="7FA1D448">
            <w:pPr>
              <w:pStyle w:val="38"/>
              <w:ind w:firstLine="480"/>
              <w:rPr>
                <w:b/>
                <w:bCs/>
                <w:color w:val="auto"/>
              </w:rPr>
            </w:pPr>
            <w:r>
              <w:rPr>
                <w:rFonts w:hint="eastAsia"/>
                <w:b/>
                <w:bCs/>
                <w:color w:val="auto"/>
              </w:rPr>
              <w:t>（1）危险物质识别</w:t>
            </w:r>
          </w:p>
          <w:p w14:paraId="4BEA1240">
            <w:pPr>
              <w:ind w:firstLine="480"/>
              <w:rPr>
                <w:rFonts w:hint="eastAsia" w:eastAsiaTheme="minorEastAsia"/>
                <w:lang w:val="en-US" w:eastAsia="zh-CN"/>
              </w:rPr>
            </w:pPr>
            <w:r>
              <w:t>根据项目营运过程中使用的各种原辅材料情况，并参照《建设项目环境风险评价技术导则》（HJ169-2018）</w:t>
            </w:r>
            <w:r>
              <w:rPr>
                <w:rFonts w:hint="eastAsia"/>
              </w:rPr>
              <w:t>和《企业突发环境事件风险分级方法》</w:t>
            </w:r>
            <w:r>
              <w:rPr>
                <w:rFonts w:hint="eastAsia"/>
                <w:lang w:eastAsia="zh-CN"/>
              </w:rPr>
              <w:t>（</w:t>
            </w:r>
            <w:r>
              <w:rPr>
                <w:rFonts w:hint="eastAsia"/>
              </w:rPr>
              <w:t>HJ 941-2018</w:t>
            </w:r>
            <w:r>
              <w:rPr>
                <w:rFonts w:hint="eastAsia"/>
                <w:lang w:eastAsia="zh-CN"/>
              </w:rPr>
              <w:t>）</w:t>
            </w:r>
            <w:r>
              <w:rPr>
                <w:rFonts w:hint="eastAsia"/>
              </w:rPr>
              <w:t>，</w:t>
            </w:r>
            <w:r>
              <w:rPr>
                <w:rFonts w:hint="eastAsia"/>
                <w:lang w:val="en-US" w:eastAsia="zh-CN"/>
              </w:rPr>
              <w:t>本项目技改前后全厂均不涉及环境风险物质。</w:t>
            </w:r>
          </w:p>
          <w:p w14:paraId="7DD78010">
            <w:pPr>
              <w:pStyle w:val="38"/>
              <w:ind w:firstLine="480"/>
              <w:rPr>
                <w:b/>
                <w:bCs/>
                <w:color w:val="auto"/>
              </w:rPr>
            </w:pPr>
            <w:r>
              <w:rPr>
                <w:rFonts w:hint="eastAsia"/>
                <w:b/>
                <w:bCs/>
                <w:color w:val="auto"/>
              </w:rPr>
              <w:t>（2）环境敏感目标</w:t>
            </w:r>
          </w:p>
          <w:p w14:paraId="27D47CCE">
            <w:pPr>
              <w:bidi w:val="0"/>
              <w:rPr>
                <w:rFonts w:hint="eastAsia"/>
              </w:rPr>
            </w:pPr>
            <w:r>
              <w:rPr>
                <w:rFonts w:hint="eastAsia"/>
                <w:lang w:val="en-US" w:eastAsia="zh-CN"/>
              </w:rPr>
              <w:t>本</w:t>
            </w:r>
            <w:r>
              <w:rPr>
                <w:rFonts w:hint="eastAsia"/>
              </w:rPr>
              <w:t>项目环境敏感目标见表</w:t>
            </w:r>
            <w:r>
              <w:rPr>
                <w:rFonts w:hint="eastAsia"/>
                <w:lang w:val="en-US" w:eastAsia="zh-CN"/>
              </w:rPr>
              <w:t>3-3</w:t>
            </w:r>
            <w:r>
              <w:rPr>
                <w:rFonts w:hint="eastAsia"/>
              </w:rPr>
              <w:t>。</w:t>
            </w:r>
          </w:p>
          <w:p w14:paraId="3732D664">
            <w:pPr>
              <w:pStyle w:val="38"/>
              <w:ind w:firstLine="480"/>
              <w:rPr>
                <w:b/>
                <w:bCs/>
                <w:color w:val="auto"/>
              </w:rPr>
            </w:pPr>
            <w:r>
              <w:rPr>
                <w:rFonts w:hint="eastAsia"/>
                <w:b/>
                <w:bCs/>
                <w:color w:val="auto"/>
              </w:rPr>
              <w:t>（3）环境风险识别</w:t>
            </w:r>
          </w:p>
          <w:p w14:paraId="3EEFDC18">
            <w:pPr>
              <w:pStyle w:val="38"/>
              <w:ind w:firstLine="480"/>
              <w:rPr>
                <w:rFonts w:hint="eastAsia"/>
                <w:color w:val="auto"/>
                <w:lang w:eastAsia="zh-CN"/>
              </w:rPr>
            </w:pPr>
            <w:r>
              <w:rPr>
                <w:rFonts w:hint="eastAsia"/>
                <w:color w:val="auto"/>
              </w:rPr>
              <w:t>①环境风险物质</w:t>
            </w:r>
            <w:r>
              <w:rPr>
                <w:rFonts w:hint="eastAsia"/>
                <w:color w:val="auto"/>
                <w:lang w:eastAsia="zh-CN"/>
              </w:rPr>
              <w:t>泄漏</w:t>
            </w:r>
          </w:p>
          <w:p w14:paraId="62BA0A8B">
            <w:pPr>
              <w:pStyle w:val="38"/>
              <w:ind w:firstLine="480"/>
              <w:rPr>
                <w:color w:val="auto"/>
              </w:rPr>
            </w:pPr>
            <w:r>
              <w:rPr>
                <w:rFonts w:hint="eastAsia"/>
                <w:color w:val="auto"/>
                <w:lang w:val="en-US" w:eastAsia="zh-CN"/>
              </w:rPr>
              <w:t>本项目不涉及使用</w:t>
            </w:r>
            <w:r>
              <w:rPr>
                <w:rFonts w:hint="eastAsia"/>
                <w:color w:val="auto"/>
              </w:rPr>
              <w:t>环境风险物质</w:t>
            </w:r>
            <w:r>
              <w:rPr>
                <w:rFonts w:hint="eastAsia"/>
                <w:color w:val="auto"/>
                <w:lang w:eastAsia="zh-CN"/>
              </w:rPr>
              <w:t>。</w:t>
            </w:r>
          </w:p>
          <w:p w14:paraId="038853FB">
            <w:pPr>
              <w:pStyle w:val="38"/>
              <w:ind w:firstLine="480"/>
              <w:rPr>
                <w:color w:val="auto"/>
              </w:rPr>
            </w:pPr>
            <w:r>
              <w:rPr>
                <w:rFonts w:hint="eastAsia"/>
                <w:color w:val="auto"/>
              </w:rPr>
              <w:t>②火灾、爆炸</w:t>
            </w:r>
          </w:p>
          <w:p w14:paraId="200A744A">
            <w:pPr>
              <w:pStyle w:val="38"/>
              <w:ind w:firstLine="480"/>
              <w:rPr>
                <w:color w:val="auto"/>
              </w:rPr>
            </w:pPr>
            <w:r>
              <w:rPr>
                <w:color w:val="auto"/>
              </w:rPr>
              <w:t>本项目</w:t>
            </w:r>
            <w:r>
              <w:rPr>
                <w:rFonts w:hint="eastAsia"/>
                <w:color w:val="auto"/>
              </w:rPr>
              <w:t>危废暂存间的</w:t>
            </w:r>
            <w:r>
              <w:rPr>
                <w:rFonts w:hint="eastAsia"/>
                <w:color w:val="auto"/>
                <w:highlight w:val="none"/>
              </w:rPr>
              <w:t>废活性炭</w:t>
            </w:r>
            <w:r>
              <w:rPr>
                <w:rFonts w:hint="eastAsia"/>
                <w:color w:val="auto"/>
                <w:highlight w:val="none"/>
                <w:lang w:val="en-US" w:eastAsia="zh-CN"/>
              </w:rPr>
              <w:t>和</w:t>
            </w:r>
            <w:r>
              <w:rPr>
                <w:rFonts w:hint="eastAsia"/>
                <w:color w:val="auto"/>
              </w:rPr>
              <w:t>废</w:t>
            </w:r>
            <w:r>
              <w:rPr>
                <w:rFonts w:hint="eastAsia"/>
                <w:color w:val="auto"/>
                <w:lang w:val="en-US" w:eastAsia="zh-CN"/>
              </w:rPr>
              <w:t>胶粘剂瓶</w:t>
            </w:r>
            <w:r>
              <w:rPr>
                <w:rFonts w:hint="eastAsia"/>
                <w:color w:val="auto"/>
                <w:highlight w:val="none"/>
              </w:rPr>
              <w:t>属</w:t>
            </w:r>
            <w:r>
              <w:rPr>
                <w:rFonts w:hint="eastAsia"/>
                <w:color w:val="auto"/>
              </w:rPr>
              <w:t>于易燃物质，若发生</w:t>
            </w:r>
            <w:r>
              <w:rPr>
                <w:rFonts w:hint="eastAsia"/>
                <w:color w:val="auto"/>
                <w:lang w:eastAsia="zh-CN"/>
              </w:rPr>
              <w:t>泄漏</w:t>
            </w:r>
            <w:r>
              <w:rPr>
                <w:rFonts w:hint="eastAsia"/>
                <w:color w:val="auto"/>
              </w:rPr>
              <w:t>遇火源，容易引发火灾及燃爆事故。</w:t>
            </w:r>
            <w:r>
              <w:rPr>
                <w:rFonts w:hint="eastAsia"/>
                <w:color w:val="auto"/>
                <w:highlight w:val="none"/>
              </w:rPr>
              <w:t>火灾、爆炸事故发生后会产生次生污染物进入大气环境，对大气环境造成影响，事故消防废水可能通过地表径流或雨水管道进入地表水环境。</w:t>
            </w:r>
            <w:r>
              <w:rPr>
                <w:rFonts w:hint="eastAsia"/>
                <w:color w:val="auto"/>
              </w:rPr>
              <w:t>同时，发生火灾时各种物质燃烧会产生各种有害气体和烟尘，沿下风向扩散，对下风向的人员和环境造成危害。</w:t>
            </w:r>
          </w:p>
          <w:p w14:paraId="4C1C05E3">
            <w:pPr>
              <w:pStyle w:val="38"/>
              <w:ind w:firstLine="480"/>
              <w:rPr>
                <w:color w:val="auto"/>
              </w:rPr>
            </w:pPr>
            <w:r>
              <w:rPr>
                <w:rFonts w:hint="eastAsia"/>
                <w:color w:val="auto"/>
              </w:rPr>
              <w:t>③污染治理设施非正常运行</w:t>
            </w:r>
          </w:p>
          <w:p w14:paraId="6A1AA87C">
            <w:pPr>
              <w:pStyle w:val="38"/>
              <w:ind w:firstLine="480"/>
              <w:rPr>
                <w:color w:val="auto"/>
              </w:rPr>
            </w:pPr>
            <w:r>
              <w:rPr>
                <w:rFonts w:hint="eastAsia"/>
                <w:color w:val="auto"/>
              </w:rPr>
              <w:t>a</w:t>
            </w:r>
            <w:r>
              <w:rPr>
                <w:color w:val="auto"/>
              </w:rPr>
              <w:t>废气处理装置运行异常或失效，导致废气未经处理或处理不达标排放进入外环境，对大气环境造成影响。</w:t>
            </w:r>
          </w:p>
          <w:p w14:paraId="1BBE80C7">
            <w:pPr>
              <w:pStyle w:val="38"/>
              <w:ind w:firstLine="480"/>
              <w:rPr>
                <w:color w:val="auto"/>
              </w:rPr>
            </w:pPr>
            <w:r>
              <w:rPr>
                <w:rFonts w:hint="eastAsia"/>
                <w:color w:val="auto"/>
              </w:rPr>
              <w:t>b</w:t>
            </w:r>
            <w:r>
              <w:rPr>
                <w:color w:val="auto"/>
              </w:rPr>
              <w:t>生活污水</w:t>
            </w:r>
            <w:r>
              <w:rPr>
                <w:rFonts w:hint="eastAsia"/>
                <w:lang w:val="en-US" w:eastAsia="zh-CN"/>
              </w:rPr>
              <w:t>一体化处理设施</w:t>
            </w:r>
            <w:r>
              <w:rPr>
                <w:color w:val="auto"/>
              </w:rPr>
              <w:t>、污水管道裂缝，防渗层失效，导致废水未经处理或处理不彻底直接排放进入外环境，会对地表水、地下水和土壤环境造成污染。</w:t>
            </w:r>
          </w:p>
          <w:p w14:paraId="765F2310">
            <w:pPr>
              <w:pStyle w:val="38"/>
              <w:ind w:firstLine="480"/>
              <w:rPr>
                <w:b/>
                <w:bCs/>
                <w:color w:val="auto"/>
              </w:rPr>
            </w:pPr>
            <w:r>
              <w:rPr>
                <w:rFonts w:hint="eastAsia"/>
                <w:b/>
                <w:bCs/>
                <w:color w:val="auto"/>
              </w:rPr>
              <w:t>（</w:t>
            </w:r>
            <w:r>
              <w:rPr>
                <w:rFonts w:hint="eastAsia"/>
                <w:b/>
                <w:bCs/>
                <w:color w:val="auto"/>
                <w:lang w:val="en-US" w:eastAsia="zh-CN"/>
              </w:rPr>
              <w:t>4</w:t>
            </w:r>
            <w:r>
              <w:rPr>
                <w:rFonts w:hint="eastAsia"/>
                <w:b/>
                <w:bCs/>
                <w:color w:val="auto"/>
              </w:rPr>
              <w:t>）</w:t>
            </w:r>
            <w:r>
              <w:rPr>
                <w:b/>
                <w:bCs/>
                <w:color w:val="auto"/>
              </w:rPr>
              <w:t>风险防范措施</w:t>
            </w:r>
          </w:p>
          <w:p w14:paraId="3AD115AC">
            <w:pPr>
              <w:pStyle w:val="38"/>
              <w:ind w:firstLine="480"/>
              <w:rPr>
                <w:color w:val="auto"/>
              </w:rPr>
            </w:pPr>
            <w:r>
              <w:rPr>
                <w:color w:val="auto"/>
              </w:rPr>
              <w:t>针对以上环境风险，本环评建议建设单位落实以下风险防范措施：</w:t>
            </w:r>
          </w:p>
          <w:p w14:paraId="023940E1">
            <w:pPr>
              <w:pStyle w:val="38"/>
              <w:ind w:firstLine="480"/>
              <w:rPr>
                <w:color w:val="auto"/>
              </w:rPr>
            </w:pPr>
            <w:r>
              <w:rPr>
                <w:rFonts w:hint="eastAsia"/>
                <w:color w:val="auto"/>
              </w:rPr>
              <w:t>①环境风险物质</w:t>
            </w:r>
            <w:r>
              <w:rPr>
                <w:color w:val="auto"/>
              </w:rPr>
              <w:t>泄漏风险防范措施</w:t>
            </w:r>
          </w:p>
          <w:p w14:paraId="0AB839ED">
            <w:pPr>
              <w:pStyle w:val="38"/>
              <w:ind w:firstLine="480"/>
              <w:rPr>
                <w:color w:val="auto"/>
              </w:rPr>
            </w:pPr>
            <w:r>
              <w:rPr>
                <w:rFonts w:hint="eastAsia"/>
                <w:color w:val="auto"/>
                <w:lang w:val="en-US" w:eastAsia="zh-CN"/>
              </w:rPr>
              <w:t>本项目技改前后不涉及使用</w:t>
            </w:r>
            <w:r>
              <w:rPr>
                <w:rFonts w:hint="eastAsia"/>
                <w:color w:val="auto"/>
              </w:rPr>
              <w:t>环境风险物质</w:t>
            </w:r>
            <w:r>
              <w:rPr>
                <w:rFonts w:hint="eastAsia"/>
                <w:color w:val="auto"/>
                <w:lang w:eastAsia="zh-CN"/>
              </w:rPr>
              <w:t>。</w:t>
            </w:r>
          </w:p>
          <w:p w14:paraId="2049A2B4">
            <w:pPr>
              <w:pStyle w:val="38"/>
              <w:ind w:firstLine="480"/>
              <w:rPr>
                <w:color w:val="auto"/>
              </w:rPr>
            </w:pPr>
            <w:r>
              <w:rPr>
                <w:rFonts w:hint="eastAsia"/>
                <w:color w:val="auto"/>
              </w:rPr>
              <w:t>②危险物质</w:t>
            </w:r>
            <w:r>
              <w:rPr>
                <w:rFonts w:hint="eastAsia"/>
                <w:color w:val="auto"/>
                <w:lang w:eastAsia="zh-CN"/>
              </w:rPr>
              <w:t>泄漏</w:t>
            </w:r>
            <w:r>
              <w:rPr>
                <w:color w:val="auto"/>
              </w:rPr>
              <w:t>引发火灾的风险防范措施</w:t>
            </w:r>
          </w:p>
          <w:p w14:paraId="7E5260E0">
            <w:pPr>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本项目</w:t>
            </w:r>
            <w:r>
              <w:rPr>
                <w:rFonts w:hint="eastAsia" w:cs="Times New Roman"/>
                <w:b w:val="0"/>
                <w:bCs w:val="0"/>
                <w:color w:val="auto"/>
                <w:sz w:val="24"/>
                <w:szCs w:val="28"/>
                <w:highlight w:val="none"/>
                <w:lang w:val="en-US" w:eastAsia="zh-CN"/>
              </w:rPr>
              <w:t>技改前无危废暂存间。本次新增危废，因此需设置危废暂存间</w:t>
            </w:r>
            <w:r>
              <w:rPr>
                <w:rFonts w:hint="eastAsia" w:cs="Times New Roman"/>
                <w:b w:val="0"/>
                <w:bCs w:val="0"/>
                <w:color w:val="auto"/>
                <w:sz w:val="24"/>
                <w:szCs w:val="28"/>
                <w:highlight w:val="none"/>
                <w:lang w:eastAsia="zh-CN"/>
              </w:rPr>
              <w:t>。</w:t>
            </w:r>
            <w:r>
              <w:rPr>
                <w:rFonts w:hint="eastAsia" w:cs="Times New Roman"/>
                <w:b w:val="0"/>
                <w:bCs w:val="0"/>
                <w:color w:val="auto"/>
                <w:sz w:val="24"/>
                <w:szCs w:val="28"/>
                <w:highlight w:val="none"/>
                <w:lang w:val="en-US" w:eastAsia="zh-CN"/>
              </w:rPr>
              <w:t>目前厂房已实施防渗混凝土+2mm厚环氧树脂漆防渗，满足《危险废物贮存污染控制标准》重点防渗要求，渗透系数k≤10</w:t>
            </w:r>
            <w:r>
              <w:rPr>
                <w:rFonts w:hint="eastAsia" w:cs="Times New Roman"/>
                <w:b w:val="0"/>
                <w:bCs w:val="0"/>
                <w:color w:val="auto"/>
                <w:sz w:val="24"/>
                <w:szCs w:val="28"/>
                <w:highlight w:val="none"/>
                <w:vertAlign w:val="superscript"/>
                <w:lang w:val="en-US" w:eastAsia="zh-CN"/>
              </w:rPr>
              <w:t>-10</w:t>
            </w:r>
            <w:r>
              <w:rPr>
                <w:rFonts w:hint="eastAsia" w:cs="Times New Roman"/>
                <w:b w:val="0"/>
                <w:bCs w:val="0"/>
                <w:color w:val="auto"/>
                <w:sz w:val="24"/>
                <w:szCs w:val="28"/>
                <w:highlight w:val="none"/>
                <w:lang w:val="en-US" w:eastAsia="zh-CN"/>
              </w:rPr>
              <w:t>cm/s</w:t>
            </w:r>
            <w:r>
              <w:rPr>
                <w:rFonts w:hint="eastAsia"/>
                <w:color w:val="auto"/>
              </w:rPr>
              <w:t>；</w:t>
            </w:r>
            <w:r>
              <w:rPr>
                <w:rFonts w:hint="default" w:ascii="Times New Roman" w:hAnsi="Times New Roman" w:eastAsia="宋体" w:cs="Times New Roman"/>
                <w:b w:val="0"/>
                <w:bCs w:val="0"/>
                <w:color w:val="auto"/>
                <w:kern w:val="0"/>
                <w:sz w:val="24"/>
                <w:highlight w:val="none"/>
              </w:rPr>
              <w:t>标识标牌</w:t>
            </w:r>
            <w:r>
              <w:rPr>
                <w:rFonts w:hint="eastAsia" w:cs="Times New Roman"/>
                <w:b w:val="0"/>
                <w:bCs w:val="0"/>
                <w:color w:val="auto"/>
                <w:kern w:val="0"/>
                <w:sz w:val="24"/>
                <w:highlight w:val="none"/>
                <w:lang w:val="en-US" w:eastAsia="zh-CN"/>
              </w:rPr>
              <w:t>等</w:t>
            </w:r>
            <w:r>
              <w:rPr>
                <w:rFonts w:hint="eastAsia" w:cs="Times New Roman"/>
                <w:b w:val="0"/>
                <w:bCs w:val="0"/>
                <w:color w:val="auto"/>
                <w:sz w:val="24"/>
                <w:szCs w:val="28"/>
                <w:highlight w:val="none"/>
                <w:lang w:val="en-US" w:eastAsia="zh-CN"/>
              </w:rPr>
              <w:t>应按照</w:t>
            </w:r>
            <w:r>
              <w:rPr>
                <w:rFonts w:hint="default" w:ascii="Times New Roman" w:hAnsi="Times New Roman" w:eastAsia="宋体" w:cs="Times New Roman"/>
                <w:b w:val="0"/>
                <w:bCs w:val="0"/>
                <w:color w:val="auto"/>
                <w:sz w:val="24"/>
                <w:highlight w:val="none"/>
              </w:rPr>
              <w:t>《危险废物贮存污染控制标准》（GB18597-2023）</w:t>
            </w:r>
            <w:r>
              <w:rPr>
                <w:rFonts w:hint="default" w:ascii="Times New Roman" w:hAnsi="Times New Roman" w:eastAsia="宋体" w:cs="Times New Roman"/>
                <w:b w:val="0"/>
                <w:bCs w:val="0"/>
                <w:color w:val="auto"/>
                <w:sz w:val="24"/>
                <w:szCs w:val="28"/>
                <w:highlight w:val="none"/>
              </w:rPr>
              <w:t>的规定进行</w:t>
            </w:r>
            <w:r>
              <w:rPr>
                <w:rFonts w:hint="default" w:ascii="Times New Roman" w:hAnsi="Times New Roman" w:eastAsia="宋体" w:cs="Times New Roman"/>
                <w:b w:val="0"/>
                <w:bCs w:val="0"/>
                <w:color w:val="auto"/>
                <w:kern w:val="0"/>
                <w:sz w:val="24"/>
                <w:highlight w:val="none"/>
              </w:rPr>
              <w:t>配备</w:t>
            </w:r>
            <w:r>
              <w:rPr>
                <w:rFonts w:hint="eastAsia" w:cs="Times New Roman"/>
                <w:b w:val="0"/>
                <w:bCs w:val="0"/>
                <w:color w:val="auto"/>
                <w:kern w:val="0"/>
                <w:sz w:val="24"/>
                <w:highlight w:val="none"/>
                <w:lang w:val="en-US" w:eastAsia="zh-CN"/>
              </w:rPr>
              <w:t>和管理；</w:t>
            </w:r>
            <w:r>
              <w:rPr>
                <w:rFonts w:hint="eastAsia"/>
                <w:color w:val="auto"/>
              </w:rPr>
              <w:t>危废暂存间内严禁使用明火。</w:t>
            </w:r>
          </w:p>
          <w:p w14:paraId="71E8748A">
            <w:pPr>
              <w:pStyle w:val="38"/>
              <w:ind w:firstLine="480"/>
              <w:rPr>
                <w:color w:val="auto"/>
              </w:rPr>
            </w:pPr>
            <w:r>
              <w:rPr>
                <w:rFonts w:hint="eastAsia"/>
                <w:color w:val="auto"/>
              </w:rPr>
              <w:t>③</w:t>
            </w:r>
            <w:r>
              <w:rPr>
                <w:color w:val="auto"/>
              </w:rPr>
              <w:t>废气、废水处理装置异常风险防范措施</w:t>
            </w:r>
          </w:p>
          <w:p w14:paraId="7DCBCDD6">
            <w:pPr>
              <w:pStyle w:val="38"/>
              <w:ind w:firstLine="480"/>
              <w:rPr>
                <w:color w:val="auto"/>
              </w:rPr>
            </w:pPr>
            <w:r>
              <w:rPr>
                <w:rFonts w:hint="eastAsia"/>
                <w:color w:val="auto"/>
              </w:rPr>
              <w:t>a.</w:t>
            </w:r>
            <w:r>
              <w:rPr>
                <w:color w:val="auto"/>
              </w:rPr>
              <w:t>项目废气处理装置由专业厂家进行设计和安装，废气装置采用较为坚固的材料制成，能防止因设备损坏导致的废气污染物排放事故，将污染物泄漏的环境风险事故降至最低。</w:t>
            </w:r>
          </w:p>
          <w:p w14:paraId="0EA486C0">
            <w:pPr>
              <w:pStyle w:val="38"/>
              <w:ind w:firstLine="480"/>
              <w:rPr>
                <w:color w:val="auto"/>
              </w:rPr>
            </w:pPr>
            <w:r>
              <w:rPr>
                <w:rFonts w:hint="eastAsia"/>
                <w:color w:val="auto"/>
              </w:rPr>
              <w:t>b.</w:t>
            </w:r>
            <w:r>
              <w:rPr>
                <w:color w:val="auto"/>
              </w:rPr>
              <w:t>定期检查废气处理装置是否堵塞，如被堵应及时维护。</w:t>
            </w:r>
          </w:p>
          <w:p w14:paraId="58D23EE7">
            <w:pPr>
              <w:pStyle w:val="38"/>
              <w:ind w:firstLine="480"/>
              <w:rPr>
                <w:color w:val="auto"/>
              </w:rPr>
            </w:pPr>
            <w:r>
              <w:rPr>
                <w:rFonts w:hint="eastAsia"/>
                <w:color w:val="auto"/>
              </w:rPr>
              <w:t>c.</w:t>
            </w:r>
            <w:r>
              <w:rPr>
                <w:color w:val="auto"/>
              </w:rPr>
              <w:t>定期更换活性炭，定期对风机、活性炭进行检查及维护，并做好维护记录，避免废气处理装置异常导致废气事故排放。</w:t>
            </w:r>
          </w:p>
          <w:p w14:paraId="3EFBE0DD">
            <w:pPr>
              <w:pStyle w:val="38"/>
              <w:ind w:firstLine="480"/>
              <w:rPr>
                <w:color w:val="auto"/>
              </w:rPr>
            </w:pPr>
            <w:r>
              <w:rPr>
                <w:rFonts w:hint="eastAsia"/>
                <w:color w:val="auto"/>
              </w:rPr>
              <w:t>d.</w:t>
            </w:r>
            <w:r>
              <w:rPr>
                <w:color w:val="auto"/>
              </w:rPr>
              <w:t>运营过程中应加强巡检，及时处理污染物跑、冒、滴、漏，同时应加强对管道工程的检查，若发现管道老化或损坏，应及时维修更换。</w:t>
            </w:r>
          </w:p>
          <w:p w14:paraId="5FEE4FCE">
            <w:pPr>
              <w:pStyle w:val="38"/>
              <w:ind w:firstLine="480"/>
              <w:rPr>
                <w:color w:val="auto"/>
              </w:rPr>
            </w:pPr>
            <w:r>
              <w:rPr>
                <w:rFonts w:hint="eastAsia"/>
                <w:color w:val="auto"/>
                <w:lang w:val="en-US" w:eastAsia="zh-CN"/>
              </w:rPr>
              <w:t>e</w:t>
            </w:r>
            <w:r>
              <w:rPr>
                <w:rFonts w:hint="eastAsia"/>
                <w:color w:val="auto"/>
              </w:rPr>
              <w:t>.</w:t>
            </w:r>
            <w:r>
              <w:rPr>
                <w:color w:val="auto"/>
              </w:rPr>
              <w:t>一旦发现废气处理装置故障，暂停生产，排查故障原因并解决后，方能恢复生产。</w:t>
            </w:r>
          </w:p>
          <w:p w14:paraId="2050F66F">
            <w:pPr>
              <w:pStyle w:val="38"/>
              <w:ind w:firstLine="480"/>
              <w:rPr>
                <w:rFonts w:hint="eastAsia"/>
                <w:color w:val="auto"/>
                <w:lang w:val="en-US" w:eastAsia="zh-CN"/>
              </w:rPr>
            </w:pPr>
            <w:r>
              <w:rPr>
                <w:rFonts w:hint="eastAsia"/>
                <w:color w:val="auto"/>
              </w:rPr>
              <w:t>④</w:t>
            </w:r>
            <w:r>
              <w:rPr>
                <w:rFonts w:hint="eastAsia"/>
                <w:color w:val="auto"/>
                <w:lang w:val="en-US" w:eastAsia="zh-CN"/>
              </w:rPr>
              <w:t>火灾防范措施</w:t>
            </w:r>
          </w:p>
          <w:p w14:paraId="619B4BEA">
            <w:pPr>
              <w:widowControl/>
              <w:spacing w:line="360" w:lineRule="auto"/>
              <w:ind w:firstLine="480" w:firstLineChars="200"/>
              <w:jc w:val="left"/>
              <w:rPr>
                <w:rFonts w:hint="default" w:ascii="Times New Roman" w:hAnsi="Times New Roman" w:eastAsia="宋体" w:cs="Times New Roman"/>
                <w:color w:val="auto"/>
                <w:spacing w:val="4"/>
                <w:kern w:val="0"/>
                <w:sz w:val="24"/>
                <w:szCs w:val="24"/>
              </w:rPr>
            </w:pPr>
            <w:r>
              <w:rPr>
                <w:rFonts w:hint="eastAsia"/>
                <w:color w:val="auto"/>
              </w:rPr>
              <w:t>a.</w:t>
            </w:r>
            <w:r>
              <w:rPr>
                <w:rFonts w:hint="default" w:ascii="Times New Roman" w:hAnsi="Times New Roman" w:eastAsia="宋体" w:cs="Times New Roman"/>
                <w:color w:val="auto"/>
                <w:spacing w:val="4"/>
                <w:kern w:val="0"/>
                <w:sz w:val="24"/>
                <w:szCs w:val="24"/>
              </w:rPr>
              <w:t>加强原辅料储存管理，项目的原料、产品及产生的工业固废严禁与易燃易爆品混存。储存过程必须严格遵守按照《建筑灭火器配置设计规范》规定，各风险单元配置相应的灭火器类型与数量，并在火灾危险场所设置报警装置，严禁区内有明火出现。</w:t>
            </w:r>
          </w:p>
          <w:p w14:paraId="28C43590">
            <w:pPr>
              <w:widowControl/>
              <w:spacing w:line="360" w:lineRule="auto"/>
              <w:ind w:firstLine="480" w:firstLineChars="200"/>
              <w:jc w:val="left"/>
              <w:rPr>
                <w:rFonts w:hint="default" w:ascii="Times New Roman" w:hAnsi="Times New Roman" w:eastAsia="宋体" w:cs="Times New Roman"/>
                <w:color w:val="auto"/>
                <w:spacing w:val="4"/>
                <w:kern w:val="0"/>
                <w:sz w:val="24"/>
                <w:szCs w:val="24"/>
              </w:rPr>
            </w:pPr>
            <w:r>
              <w:rPr>
                <w:rFonts w:hint="eastAsia"/>
                <w:color w:val="auto"/>
              </w:rPr>
              <w:t>b.</w:t>
            </w:r>
            <w:r>
              <w:rPr>
                <w:rFonts w:hint="default" w:ascii="Times New Roman" w:hAnsi="Times New Roman" w:eastAsia="宋体" w:cs="Times New Roman"/>
                <w:color w:val="auto"/>
                <w:spacing w:val="4"/>
                <w:kern w:val="0"/>
                <w:sz w:val="24"/>
                <w:szCs w:val="24"/>
              </w:rPr>
              <w:t>落实责任制，生产区域、仓储区域应分设负责人看管，确保生产区域、仓储区域消防隐患时刻监控，不可利用废物定期清理。</w:t>
            </w:r>
          </w:p>
          <w:p w14:paraId="79F9BD68">
            <w:pPr>
              <w:widowControl/>
              <w:spacing w:line="360" w:lineRule="auto"/>
              <w:ind w:firstLine="480" w:firstLineChars="200"/>
              <w:jc w:val="left"/>
              <w:rPr>
                <w:rFonts w:hint="default" w:ascii="Times New Roman" w:hAnsi="Times New Roman" w:eastAsia="宋体" w:cs="Times New Roman"/>
                <w:color w:val="auto"/>
                <w:spacing w:val="4"/>
                <w:kern w:val="0"/>
                <w:sz w:val="24"/>
                <w:szCs w:val="24"/>
              </w:rPr>
            </w:pPr>
            <w:r>
              <w:rPr>
                <w:rFonts w:hint="eastAsia"/>
                <w:color w:val="auto"/>
              </w:rPr>
              <w:t>c.</w:t>
            </w:r>
            <w:r>
              <w:rPr>
                <w:rFonts w:hint="default" w:ascii="Times New Roman" w:hAnsi="Times New Roman" w:eastAsia="宋体" w:cs="Times New Roman"/>
                <w:color w:val="auto"/>
                <w:spacing w:val="4"/>
                <w:kern w:val="0"/>
                <w:sz w:val="24"/>
                <w:szCs w:val="24"/>
              </w:rPr>
              <w:t>在厂区内显眼位置张贴严禁烟火告示牌，落实职工不得在厂区内抽烟等制度。</w:t>
            </w:r>
          </w:p>
          <w:p w14:paraId="70A2E6B7">
            <w:pPr>
              <w:spacing w:line="360" w:lineRule="auto"/>
              <w:ind w:firstLine="480" w:firstLineChars="200"/>
              <w:rPr>
                <w:rFonts w:hint="default" w:ascii="Times New Roman" w:hAnsi="Times New Roman" w:eastAsia="宋体" w:cs="Times New Roman"/>
                <w:bCs/>
                <w:color w:val="auto"/>
                <w:sz w:val="24"/>
                <w:szCs w:val="28"/>
              </w:rPr>
            </w:pPr>
            <w:r>
              <w:rPr>
                <w:rFonts w:hint="eastAsia"/>
                <w:color w:val="auto"/>
              </w:rPr>
              <w:t>d.</w:t>
            </w:r>
            <w:r>
              <w:rPr>
                <w:rFonts w:hint="default" w:ascii="Times New Roman" w:hAnsi="Times New Roman" w:eastAsia="宋体" w:cs="Times New Roman"/>
                <w:color w:val="auto"/>
                <w:spacing w:val="4"/>
                <w:kern w:val="0"/>
                <w:sz w:val="24"/>
                <w:szCs w:val="24"/>
              </w:rPr>
              <w:t>如突发火灾，应立即采取急救措施并及时向当地生态环境局等有关部门报告。</w:t>
            </w:r>
          </w:p>
          <w:p w14:paraId="2A5A3761">
            <w:pPr>
              <w:pStyle w:val="38"/>
              <w:ind w:firstLine="480"/>
              <w:rPr>
                <w:rFonts w:hint="default"/>
                <w:color w:val="auto"/>
                <w:lang w:val="en-US" w:eastAsia="zh-CN"/>
              </w:rPr>
            </w:pPr>
            <w:r>
              <w:rPr>
                <w:rFonts w:hint="eastAsia"/>
                <w:color w:val="auto"/>
                <w:lang w:val="en-US" w:eastAsia="zh-CN"/>
              </w:rPr>
              <w:t>⑤</w:t>
            </w:r>
            <w:r>
              <w:rPr>
                <w:rFonts w:hint="default"/>
                <w:color w:val="auto"/>
                <w:lang w:val="en-US" w:eastAsia="zh-CN"/>
              </w:rPr>
              <w:t>其他风险防范措施</w:t>
            </w:r>
          </w:p>
          <w:p w14:paraId="456226D4">
            <w:pPr>
              <w:pStyle w:val="38"/>
              <w:ind w:firstLine="480"/>
              <w:rPr>
                <w:rFonts w:hint="default"/>
                <w:color w:val="auto"/>
                <w:lang w:val="en-US" w:eastAsia="zh-CN"/>
              </w:rPr>
            </w:pPr>
            <w:r>
              <w:rPr>
                <w:rFonts w:hint="eastAsia"/>
                <w:color w:val="auto"/>
              </w:rPr>
              <w:t>a.</w:t>
            </w:r>
            <w:r>
              <w:rPr>
                <w:rFonts w:hint="default"/>
                <w:color w:val="auto"/>
                <w:lang w:val="en-US" w:eastAsia="zh-CN"/>
              </w:rPr>
              <w:t>对</w:t>
            </w:r>
            <w:r>
              <w:rPr>
                <w:rFonts w:hint="eastAsia"/>
                <w:color w:val="auto"/>
                <w:lang w:val="en-US" w:eastAsia="zh-CN"/>
              </w:rPr>
              <w:t>胶粘剂使用情况</w:t>
            </w:r>
            <w:r>
              <w:rPr>
                <w:rFonts w:hint="default"/>
                <w:color w:val="auto"/>
                <w:lang w:val="en-US" w:eastAsia="zh-CN"/>
              </w:rPr>
              <w:t>进行台账管理，安排专人管理；</w:t>
            </w:r>
          </w:p>
          <w:p w14:paraId="23233102">
            <w:pPr>
              <w:pStyle w:val="38"/>
              <w:ind w:firstLine="480"/>
              <w:rPr>
                <w:rFonts w:hint="default"/>
                <w:color w:val="auto"/>
              </w:rPr>
            </w:pPr>
            <w:r>
              <w:rPr>
                <w:rFonts w:hint="eastAsia"/>
                <w:color w:val="auto"/>
                <w:lang w:val="en-US" w:eastAsia="zh-CN"/>
              </w:rPr>
              <w:t>b</w:t>
            </w:r>
            <w:r>
              <w:rPr>
                <w:rFonts w:hint="default"/>
                <w:color w:val="auto"/>
              </w:rPr>
              <w:t>建立完善风险管理措施，包括：建立完整安全生产规章制度，公司员工严格执行；做好操作人员的培训工作，提高安全意识和操作技能</w:t>
            </w:r>
            <w:r>
              <w:rPr>
                <w:rFonts w:hint="eastAsia"/>
                <w:color w:val="auto"/>
                <w:lang w:eastAsia="zh-CN"/>
              </w:rPr>
              <w:t>；</w:t>
            </w:r>
            <w:r>
              <w:rPr>
                <w:rFonts w:hint="default"/>
                <w:color w:val="auto"/>
              </w:rPr>
              <w:t>做好日常设备维护保养工作，建立关键设备易损元件强制更换制度并严格执行，保证设备在完好状态下运行；</w:t>
            </w:r>
          </w:p>
          <w:p w14:paraId="14362D6C">
            <w:pPr>
              <w:pStyle w:val="38"/>
              <w:ind w:firstLine="480"/>
              <w:rPr>
                <w:rFonts w:hint="default"/>
                <w:color w:val="auto"/>
              </w:rPr>
            </w:pPr>
            <w:r>
              <w:rPr>
                <w:rFonts w:hint="eastAsia"/>
                <w:color w:val="auto"/>
                <w:lang w:val="en-US" w:eastAsia="zh-CN"/>
              </w:rPr>
              <w:t>c.</w:t>
            </w:r>
            <w:r>
              <w:rPr>
                <w:rFonts w:hint="default"/>
                <w:color w:val="auto"/>
              </w:rPr>
              <w:t>定期检查，保证安全设施（如消防设施）齐全并保持完好；污染治理设施正常运行。</w:t>
            </w:r>
          </w:p>
          <w:p w14:paraId="5453C66D">
            <w:pPr>
              <w:pStyle w:val="38"/>
              <w:ind w:firstLine="480"/>
              <w:rPr>
                <w:rFonts w:hint="default"/>
                <w:color w:val="auto"/>
              </w:rPr>
            </w:pPr>
            <w:r>
              <w:rPr>
                <w:rFonts w:hint="eastAsia"/>
                <w:color w:val="auto"/>
                <w:lang w:val="en-US" w:eastAsia="zh-CN"/>
              </w:rPr>
              <w:t>d.</w:t>
            </w:r>
            <w:r>
              <w:rPr>
                <w:rFonts w:hint="default"/>
                <w:color w:val="auto"/>
              </w:rPr>
              <w:t>若发生危险事故，在事故发生后，现场人员或其它人员应立即将发生事故的性质、类别、环境污染情况、人员受伤情况、现场救援情况等</w:t>
            </w:r>
            <w:r>
              <w:rPr>
                <w:rFonts w:hint="eastAsia"/>
                <w:color w:val="auto"/>
                <w:lang w:eastAsia="zh-CN"/>
              </w:rPr>
              <w:t>及时</w:t>
            </w:r>
            <w:r>
              <w:rPr>
                <w:rFonts w:hint="default"/>
                <w:color w:val="auto"/>
              </w:rPr>
              <w:t>向应急指挥中心办公室报告。应急指挥中心启动应急预案，处理危险事故。</w:t>
            </w:r>
          </w:p>
          <w:p w14:paraId="1C54523A">
            <w:pPr>
              <w:pStyle w:val="38"/>
              <w:ind w:firstLine="480"/>
              <w:rPr>
                <w:color w:val="auto"/>
              </w:rPr>
            </w:pPr>
            <w:r>
              <w:rPr>
                <w:rFonts w:hint="eastAsia"/>
                <w:color w:val="auto"/>
                <w:lang w:val="en-US" w:eastAsia="zh-CN"/>
              </w:rPr>
              <w:t>e</w:t>
            </w:r>
            <w:r>
              <w:rPr>
                <w:rFonts w:hint="eastAsia"/>
                <w:color w:val="auto"/>
              </w:rPr>
              <w:t>.</w:t>
            </w:r>
            <w:r>
              <w:rPr>
                <w:color w:val="auto"/>
              </w:rPr>
              <w:t>加强对公司职工的教育培训，实行上岗证制度，增强职工风险意识，提高事故自救能力，制定和强化各种安全管理、安全生产的规程，减少人为风险事故（如误操作）的发生。</w:t>
            </w:r>
          </w:p>
          <w:p w14:paraId="26C83848">
            <w:pPr>
              <w:pStyle w:val="44"/>
              <w:wordWrap/>
              <w:ind w:firstLine="480"/>
              <w:jc w:val="both"/>
              <w:rPr>
                <w:b/>
                <w:bCs/>
                <w:color w:val="auto"/>
                <w:szCs w:val="24"/>
              </w:rPr>
            </w:pPr>
            <w:r>
              <w:rPr>
                <w:rFonts w:hint="eastAsia"/>
                <w:color w:val="auto"/>
              </w:rPr>
              <w:t>（4）</w:t>
            </w:r>
            <w:r>
              <w:rPr>
                <w:b/>
                <w:bCs/>
                <w:color w:val="auto"/>
                <w:szCs w:val="24"/>
              </w:rPr>
              <w:t>环境风险防范措施及投资估算</w:t>
            </w:r>
          </w:p>
          <w:p w14:paraId="6A23EDE8">
            <w:pPr>
              <w:wordWrap/>
              <w:spacing w:line="360" w:lineRule="auto"/>
              <w:ind w:firstLine="480" w:firstLineChars="200"/>
              <w:jc w:val="both"/>
              <w:rPr>
                <w:color w:val="auto"/>
                <w:sz w:val="24"/>
                <w:szCs w:val="24"/>
              </w:rPr>
            </w:pPr>
            <w:r>
              <w:rPr>
                <w:color w:val="auto"/>
                <w:sz w:val="24"/>
                <w:szCs w:val="24"/>
              </w:rPr>
              <w:t>本项目环境风险防范措施及投资估算见表4</w:t>
            </w:r>
            <w:r>
              <w:rPr>
                <w:rFonts w:hint="eastAsia"/>
                <w:color w:val="auto"/>
                <w:sz w:val="24"/>
                <w:szCs w:val="24"/>
              </w:rPr>
              <w:t>-</w:t>
            </w:r>
            <w:r>
              <w:rPr>
                <w:rFonts w:hint="eastAsia"/>
                <w:color w:val="auto"/>
                <w:sz w:val="24"/>
                <w:szCs w:val="24"/>
                <w:lang w:val="en-US" w:eastAsia="zh-CN"/>
              </w:rPr>
              <w:t>19</w:t>
            </w:r>
            <w:r>
              <w:rPr>
                <w:color w:val="auto"/>
                <w:sz w:val="24"/>
                <w:szCs w:val="24"/>
              </w:rPr>
              <w:t>。</w:t>
            </w:r>
          </w:p>
          <w:p w14:paraId="7F6ACF9E">
            <w:pPr>
              <w:pStyle w:val="7"/>
              <w:bidi w:val="0"/>
            </w:pPr>
            <w:r>
              <w:t>表4</w:t>
            </w:r>
            <w:r>
              <w:rPr>
                <w:rFonts w:hint="eastAsia"/>
              </w:rPr>
              <w:t>-</w:t>
            </w:r>
            <w:r>
              <w:rPr>
                <w:rFonts w:hint="eastAsia"/>
                <w:lang w:val="en-US" w:eastAsia="zh-CN"/>
              </w:rPr>
              <w:t>19</w:t>
            </w:r>
            <w:r>
              <w:t xml:space="preserve">   风险防范措施及投资估算一览表</w:t>
            </w:r>
          </w:p>
          <w:tbl>
            <w:tblPr>
              <w:tblStyle w:val="30"/>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5770"/>
              <w:gridCol w:w="2309"/>
            </w:tblGrid>
            <w:tr w14:paraId="573ACB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6" w:type="pct"/>
                  <w:tcBorders>
                    <w:tl2br w:val="nil"/>
                    <w:tr2bl w:val="nil"/>
                  </w:tcBorders>
                  <w:vAlign w:val="center"/>
                </w:tcPr>
                <w:p w14:paraId="3FABE7A5">
                  <w:pPr>
                    <w:pStyle w:val="5"/>
                    <w:bidi w:val="0"/>
                    <w:rPr>
                      <w:b/>
                      <w:bCs/>
                    </w:rPr>
                  </w:pPr>
                  <w:r>
                    <w:rPr>
                      <w:b/>
                      <w:bCs/>
                    </w:rPr>
                    <w:t>序号</w:t>
                  </w:r>
                </w:p>
              </w:tc>
              <w:tc>
                <w:tcPr>
                  <w:tcW w:w="3258" w:type="pct"/>
                  <w:tcBorders>
                    <w:tl2br w:val="nil"/>
                    <w:tr2bl w:val="nil"/>
                  </w:tcBorders>
                  <w:vAlign w:val="center"/>
                </w:tcPr>
                <w:p w14:paraId="40E27989">
                  <w:pPr>
                    <w:pStyle w:val="5"/>
                    <w:bidi w:val="0"/>
                    <w:rPr>
                      <w:b/>
                      <w:bCs/>
                    </w:rPr>
                  </w:pPr>
                  <w:r>
                    <w:rPr>
                      <w:b/>
                      <w:bCs/>
                    </w:rPr>
                    <w:t>主要风险防范措施</w:t>
                  </w:r>
                </w:p>
              </w:tc>
              <w:tc>
                <w:tcPr>
                  <w:tcW w:w="1304" w:type="pct"/>
                  <w:tcBorders>
                    <w:tl2br w:val="nil"/>
                    <w:tr2bl w:val="nil"/>
                  </w:tcBorders>
                  <w:vAlign w:val="center"/>
                </w:tcPr>
                <w:p w14:paraId="4B5D5961">
                  <w:pPr>
                    <w:pStyle w:val="5"/>
                    <w:bidi w:val="0"/>
                    <w:rPr>
                      <w:b/>
                      <w:bCs/>
                    </w:rPr>
                  </w:pPr>
                  <w:r>
                    <w:rPr>
                      <w:b/>
                      <w:bCs/>
                    </w:rPr>
                    <w:t>投资估算（万元）</w:t>
                  </w:r>
                </w:p>
              </w:tc>
            </w:tr>
            <w:tr w14:paraId="1F2F5E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6" w:type="pct"/>
                  <w:tcBorders>
                    <w:tl2br w:val="nil"/>
                    <w:tr2bl w:val="nil"/>
                  </w:tcBorders>
                  <w:vAlign w:val="center"/>
                </w:tcPr>
                <w:p w14:paraId="05A00751">
                  <w:pPr>
                    <w:pStyle w:val="5"/>
                    <w:bidi w:val="0"/>
                  </w:pPr>
                  <w:r>
                    <w:t>1</w:t>
                  </w:r>
                </w:p>
              </w:tc>
              <w:tc>
                <w:tcPr>
                  <w:tcW w:w="3258" w:type="pct"/>
                  <w:tcBorders>
                    <w:tl2br w:val="nil"/>
                    <w:tr2bl w:val="nil"/>
                  </w:tcBorders>
                  <w:vAlign w:val="center"/>
                </w:tcPr>
                <w:p w14:paraId="67456426">
                  <w:pPr>
                    <w:pStyle w:val="5"/>
                    <w:bidi w:val="0"/>
                  </w:pPr>
                  <w:r>
                    <w:rPr>
                      <w:rFonts w:hint="eastAsia"/>
                    </w:rPr>
                    <w:t>对外购原辅料进行收货检验，确保包装完好无损</w:t>
                  </w:r>
                </w:p>
              </w:tc>
              <w:tc>
                <w:tcPr>
                  <w:tcW w:w="1304" w:type="pct"/>
                  <w:tcBorders>
                    <w:tl2br w:val="nil"/>
                    <w:tr2bl w:val="nil"/>
                  </w:tcBorders>
                  <w:vAlign w:val="center"/>
                </w:tcPr>
                <w:p w14:paraId="6C1FE8B5">
                  <w:pPr>
                    <w:pStyle w:val="5"/>
                    <w:bidi w:val="0"/>
                  </w:pPr>
                  <w:r>
                    <w:t>依托现有工程</w:t>
                  </w:r>
                </w:p>
              </w:tc>
            </w:tr>
            <w:tr w14:paraId="01E8D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36" w:type="pct"/>
                  <w:tcBorders>
                    <w:tl2br w:val="nil"/>
                    <w:tr2bl w:val="nil"/>
                  </w:tcBorders>
                  <w:vAlign w:val="center"/>
                </w:tcPr>
                <w:p w14:paraId="775B0344">
                  <w:pPr>
                    <w:pStyle w:val="5"/>
                    <w:bidi w:val="0"/>
                  </w:pPr>
                  <w:r>
                    <w:t>2</w:t>
                  </w:r>
                </w:p>
              </w:tc>
              <w:tc>
                <w:tcPr>
                  <w:tcW w:w="3258" w:type="pct"/>
                  <w:tcBorders>
                    <w:tl2br w:val="nil"/>
                    <w:tr2bl w:val="nil"/>
                  </w:tcBorders>
                  <w:vAlign w:val="center"/>
                </w:tcPr>
                <w:p w14:paraId="79994A3A">
                  <w:pPr>
                    <w:pStyle w:val="5"/>
                    <w:bidi w:val="0"/>
                  </w:pPr>
                  <w:r>
                    <w:rPr>
                      <w:rFonts w:hint="eastAsia"/>
                      <w:lang w:val="en-US" w:eastAsia="zh-CN"/>
                    </w:rPr>
                    <w:t>新增</w:t>
                  </w:r>
                  <w:r>
                    <w:t>危废暂存间</w:t>
                  </w:r>
                  <w:r>
                    <w:rPr>
                      <w:rFonts w:hint="eastAsia"/>
                      <w:lang w:eastAsia="zh-CN"/>
                    </w:rPr>
                    <w:t>，</w:t>
                  </w:r>
                  <w:r>
                    <w:rPr>
                      <w:rFonts w:hint="eastAsia"/>
                      <w:lang w:val="en-US" w:eastAsia="zh-CN"/>
                    </w:rPr>
                    <w:t>并根据规定进行建造和管理</w:t>
                  </w:r>
                </w:p>
              </w:tc>
              <w:tc>
                <w:tcPr>
                  <w:tcW w:w="1304" w:type="pct"/>
                  <w:tcBorders>
                    <w:tl2br w:val="nil"/>
                    <w:tr2bl w:val="nil"/>
                  </w:tcBorders>
                  <w:vAlign w:val="center"/>
                </w:tcPr>
                <w:p w14:paraId="08C17D19">
                  <w:pPr>
                    <w:pStyle w:val="5"/>
                    <w:bidi w:val="0"/>
                    <w:rPr>
                      <w:rFonts w:hint="eastAsia" w:eastAsia="宋体"/>
                      <w:lang w:val="en-US" w:eastAsia="zh-CN"/>
                    </w:rPr>
                  </w:pPr>
                  <w:r>
                    <w:rPr>
                      <w:rFonts w:hint="eastAsia"/>
                      <w:lang w:val="en-US" w:eastAsia="zh-CN"/>
                    </w:rPr>
                    <w:t>6</w:t>
                  </w:r>
                </w:p>
              </w:tc>
            </w:tr>
            <w:tr w14:paraId="5422A8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6" w:type="pct"/>
                  <w:tcBorders>
                    <w:tl2br w:val="nil"/>
                    <w:tr2bl w:val="nil"/>
                  </w:tcBorders>
                  <w:shd w:val="clear" w:color="auto" w:fill="auto"/>
                  <w:vAlign w:val="center"/>
                </w:tcPr>
                <w:p w14:paraId="5D5E4D11">
                  <w:pPr>
                    <w:pStyle w:val="5"/>
                    <w:bidi w:val="0"/>
                    <w:ind w:firstLine="0" w:firstLineChars="0"/>
                    <w:rPr>
                      <w:rFonts w:ascii="Times New Roman" w:hAnsi="Times New Roman" w:eastAsia="宋体" w:cs="Times New Roman"/>
                      <w:kern w:val="2"/>
                      <w:sz w:val="21"/>
                      <w:lang w:val="en-US" w:eastAsia="zh-CN" w:bidi="ar-SA"/>
                    </w:rPr>
                  </w:pPr>
                  <w:r>
                    <w:rPr>
                      <w:rFonts w:hint="eastAsia"/>
                      <w:lang w:eastAsia="zh-CN"/>
                    </w:rPr>
                    <w:t>3</w:t>
                  </w:r>
                </w:p>
              </w:tc>
              <w:tc>
                <w:tcPr>
                  <w:tcW w:w="3258" w:type="pct"/>
                  <w:tcBorders>
                    <w:tl2br w:val="nil"/>
                    <w:tr2bl w:val="nil"/>
                  </w:tcBorders>
                  <w:vAlign w:val="center"/>
                </w:tcPr>
                <w:p w14:paraId="05BF79D8">
                  <w:pPr>
                    <w:pStyle w:val="5"/>
                    <w:bidi w:val="0"/>
                    <w:jc w:val="center"/>
                  </w:pPr>
                  <w:r>
                    <w:t>定期更换活性炭，对风机、活性炭进行检查及维护，做好维护记录</w:t>
                  </w:r>
                </w:p>
              </w:tc>
              <w:tc>
                <w:tcPr>
                  <w:tcW w:w="1304" w:type="pct"/>
                  <w:tcBorders>
                    <w:tl2br w:val="nil"/>
                    <w:tr2bl w:val="nil"/>
                  </w:tcBorders>
                  <w:vAlign w:val="center"/>
                </w:tcPr>
                <w:p w14:paraId="1DB216D5">
                  <w:pPr>
                    <w:pStyle w:val="5"/>
                    <w:bidi w:val="0"/>
                  </w:pPr>
                  <w:r>
                    <w:rPr>
                      <w:rFonts w:hint="eastAsia"/>
                    </w:rPr>
                    <w:t>3</w:t>
                  </w:r>
                </w:p>
              </w:tc>
            </w:tr>
            <w:tr w14:paraId="37718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6" w:type="pct"/>
                  <w:tcBorders>
                    <w:tl2br w:val="nil"/>
                    <w:tr2bl w:val="nil"/>
                  </w:tcBorders>
                  <w:shd w:val="clear" w:color="auto" w:fill="auto"/>
                  <w:vAlign w:val="center"/>
                </w:tcPr>
                <w:p w14:paraId="509A5BB4">
                  <w:pPr>
                    <w:pStyle w:val="5"/>
                    <w:bidi w:val="0"/>
                    <w:ind w:firstLine="0" w:firstLineChars="0"/>
                    <w:rPr>
                      <w:rFonts w:ascii="Times New Roman" w:hAnsi="Times New Roman" w:eastAsia="宋体" w:cs="Times New Roman"/>
                      <w:kern w:val="2"/>
                      <w:sz w:val="21"/>
                      <w:lang w:val="en-US" w:eastAsia="zh-CN" w:bidi="ar-SA"/>
                    </w:rPr>
                  </w:pPr>
                  <w:r>
                    <w:rPr>
                      <w:rFonts w:hint="eastAsia"/>
                      <w:lang w:val="en-US" w:eastAsia="zh-CN"/>
                    </w:rPr>
                    <w:t>4</w:t>
                  </w:r>
                </w:p>
              </w:tc>
              <w:tc>
                <w:tcPr>
                  <w:tcW w:w="3258" w:type="pct"/>
                  <w:tcBorders>
                    <w:tl2br w:val="nil"/>
                    <w:tr2bl w:val="nil"/>
                  </w:tcBorders>
                  <w:vAlign w:val="center"/>
                </w:tcPr>
                <w:p w14:paraId="4CBCD950">
                  <w:pPr>
                    <w:pStyle w:val="5"/>
                    <w:bidi w:val="0"/>
                  </w:pPr>
                  <w:r>
                    <w:t>对工作员工进行上岗培训与</w:t>
                  </w:r>
                  <w:r>
                    <w:rPr>
                      <w:rFonts w:hint="eastAsia"/>
                    </w:rPr>
                    <w:t>环境应急</w:t>
                  </w:r>
                  <w:r>
                    <w:t>培训</w:t>
                  </w:r>
                  <w:r>
                    <w:rPr>
                      <w:rFonts w:hint="eastAsia"/>
                    </w:rPr>
                    <w:t>，并定期进行演练</w:t>
                  </w:r>
                </w:p>
              </w:tc>
              <w:tc>
                <w:tcPr>
                  <w:tcW w:w="1304" w:type="pct"/>
                  <w:tcBorders>
                    <w:tl2br w:val="nil"/>
                    <w:tr2bl w:val="nil"/>
                  </w:tcBorders>
                  <w:vAlign w:val="center"/>
                </w:tcPr>
                <w:p w14:paraId="03E9B280">
                  <w:pPr>
                    <w:pStyle w:val="5"/>
                    <w:bidi w:val="0"/>
                  </w:pPr>
                  <w:r>
                    <w:rPr>
                      <w:rFonts w:hint="eastAsia"/>
                    </w:rPr>
                    <w:t>2</w:t>
                  </w:r>
                </w:p>
              </w:tc>
            </w:tr>
            <w:tr w14:paraId="7816BD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6" w:type="pct"/>
                  <w:tcBorders>
                    <w:tl2br w:val="nil"/>
                    <w:tr2bl w:val="nil"/>
                  </w:tcBorders>
                  <w:vAlign w:val="center"/>
                </w:tcPr>
                <w:p w14:paraId="18C376A0">
                  <w:pPr>
                    <w:pStyle w:val="5"/>
                    <w:bidi w:val="0"/>
                    <w:rPr>
                      <w:rFonts w:hint="default"/>
                      <w:lang w:val="en-US"/>
                    </w:rPr>
                  </w:pPr>
                  <w:r>
                    <w:rPr>
                      <w:rFonts w:hint="eastAsia"/>
                      <w:lang w:val="en-US" w:eastAsia="zh-CN"/>
                    </w:rPr>
                    <w:t>5</w:t>
                  </w:r>
                </w:p>
              </w:tc>
              <w:tc>
                <w:tcPr>
                  <w:tcW w:w="3258" w:type="pct"/>
                  <w:tcBorders>
                    <w:tl2br w:val="nil"/>
                    <w:tr2bl w:val="nil"/>
                  </w:tcBorders>
                  <w:vAlign w:val="center"/>
                </w:tcPr>
                <w:p w14:paraId="1DAAA0F5">
                  <w:pPr>
                    <w:pStyle w:val="5"/>
                    <w:bidi w:val="0"/>
                  </w:pPr>
                  <w:r>
                    <w:rPr>
                      <w:rFonts w:hint="eastAsia"/>
                      <w:lang w:val="en-US" w:eastAsia="zh-CN"/>
                    </w:rPr>
                    <w:t>编制厂区</w:t>
                  </w:r>
                  <w:r>
                    <w:t>应急预案及管理措施建设</w:t>
                  </w:r>
                </w:p>
              </w:tc>
              <w:tc>
                <w:tcPr>
                  <w:tcW w:w="1304" w:type="pct"/>
                  <w:tcBorders>
                    <w:tl2br w:val="nil"/>
                    <w:tr2bl w:val="nil"/>
                  </w:tcBorders>
                  <w:vAlign w:val="center"/>
                </w:tcPr>
                <w:p w14:paraId="35ED9FC3">
                  <w:pPr>
                    <w:pStyle w:val="5"/>
                    <w:bidi w:val="0"/>
                    <w:rPr>
                      <w:rFonts w:hint="eastAsia" w:eastAsia="宋体"/>
                      <w:lang w:eastAsia="zh-CN"/>
                    </w:rPr>
                  </w:pPr>
                  <w:r>
                    <w:rPr>
                      <w:rFonts w:hint="eastAsia"/>
                      <w:lang w:val="en-US" w:eastAsia="zh-CN"/>
                    </w:rPr>
                    <w:t>4</w:t>
                  </w:r>
                </w:p>
              </w:tc>
            </w:tr>
            <w:tr w14:paraId="294BA6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95" w:type="pct"/>
                  <w:gridSpan w:val="2"/>
                  <w:tcBorders>
                    <w:tl2br w:val="nil"/>
                    <w:tr2bl w:val="nil"/>
                  </w:tcBorders>
                  <w:vAlign w:val="center"/>
                </w:tcPr>
                <w:p w14:paraId="1B758F66">
                  <w:pPr>
                    <w:pStyle w:val="5"/>
                    <w:bidi w:val="0"/>
                  </w:pPr>
                  <w:r>
                    <w:t>合计</w:t>
                  </w:r>
                </w:p>
              </w:tc>
              <w:tc>
                <w:tcPr>
                  <w:tcW w:w="1304" w:type="pct"/>
                  <w:tcBorders>
                    <w:tl2br w:val="nil"/>
                    <w:tr2bl w:val="nil"/>
                  </w:tcBorders>
                  <w:vAlign w:val="center"/>
                </w:tcPr>
                <w:p w14:paraId="080B01AB">
                  <w:pPr>
                    <w:pStyle w:val="5"/>
                    <w:bidi w:val="0"/>
                    <w:rPr>
                      <w:rFonts w:hint="default" w:eastAsia="宋体"/>
                      <w:lang w:val="en-US" w:eastAsia="zh-CN"/>
                    </w:rPr>
                  </w:pPr>
                  <w:r>
                    <w:rPr>
                      <w:rFonts w:hint="eastAsia"/>
                      <w:lang w:val="en-US" w:eastAsia="zh-CN"/>
                    </w:rPr>
                    <w:t>15</w:t>
                  </w:r>
                </w:p>
              </w:tc>
            </w:tr>
          </w:tbl>
          <w:p w14:paraId="564A2032">
            <w:pPr>
              <w:spacing w:before="156" w:beforeLines="50" w:line="360" w:lineRule="auto"/>
              <w:ind w:firstLine="482" w:firstLineChars="200"/>
              <w:jc w:val="both"/>
              <w:rPr>
                <w:b/>
                <w:bCs/>
                <w:color w:val="auto"/>
                <w:sz w:val="24"/>
                <w:szCs w:val="24"/>
              </w:rPr>
            </w:pPr>
            <w:r>
              <w:rPr>
                <w:rFonts w:hint="eastAsia"/>
                <w:b/>
                <w:bCs/>
                <w:color w:val="auto"/>
                <w:sz w:val="24"/>
                <w:szCs w:val="24"/>
              </w:rPr>
              <w:t>（5）</w:t>
            </w:r>
            <w:r>
              <w:rPr>
                <w:b/>
                <w:bCs/>
                <w:color w:val="auto"/>
                <w:sz w:val="24"/>
                <w:szCs w:val="24"/>
              </w:rPr>
              <w:t>环境风险应急预案</w:t>
            </w:r>
          </w:p>
          <w:p w14:paraId="74C1FA53">
            <w:pPr>
              <w:spacing w:line="360" w:lineRule="auto"/>
              <w:ind w:firstLine="480" w:firstLineChars="200"/>
              <w:jc w:val="both"/>
              <w:rPr>
                <w:color w:val="auto"/>
                <w:sz w:val="24"/>
                <w:szCs w:val="24"/>
              </w:rPr>
            </w:pPr>
            <w:r>
              <w:rPr>
                <w:rFonts w:hint="eastAsia"/>
                <w:color w:val="auto"/>
                <w:sz w:val="24"/>
                <w:szCs w:val="24"/>
              </w:rPr>
              <w:t>建设单位需制定全面的应急预案，针对存在的事故隐患，编制应急处置方案</w:t>
            </w:r>
            <w:r>
              <w:rPr>
                <w:color w:val="auto"/>
                <w:sz w:val="24"/>
                <w:szCs w:val="24"/>
              </w:rPr>
              <w:t>。若发生事故，应急救援的主要程序如下：</w:t>
            </w:r>
          </w:p>
          <w:p w14:paraId="50AD2C06">
            <w:pPr>
              <w:wordWrap/>
              <w:spacing w:line="360" w:lineRule="auto"/>
              <w:ind w:firstLine="480" w:firstLineChars="200"/>
              <w:jc w:val="both"/>
              <w:rPr>
                <w:color w:val="auto"/>
                <w:sz w:val="24"/>
                <w:szCs w:val="24"/>
              </w:rPr>
            </w:pPr>
            <w:r>
              <w:rPr>
                <w:color w:val="auto"/>
                <w:sz w:val="24"/>
                <w:szCs w:val="24"/>
              </w:rPr>
              <w:t>一旦发生事故，会造成厂区污染物事故排放，对环境造成污染。在发生以上事故时，应急指挥部应立即启动预案，采取切实可行的抢险措施，防止</w:t>
            </w:r>
            <w:r>
              <w:rPr>
                <w:rFonts w:hint="eastAsia"/>
                <w:color w:val="auto"/>
                <w:sz w:val="24"/>
                <w:szCs w:val="24"/>
                <w:lang w:eastAsia="zh-CN"/>
              </w:rPr>
              <w:t>事态</w:t>
            </w:r>
            <w:r>
              <w:rPr>
                <w:color w:val="auto"/>
                <w:sz w:val="24"/>
                <w:szCs w:val="24"/>
              </w:rPr>
              <w:t>进一步扩大。</w:t>
            </w:r>
          </w:p>
          <w:p w14:paraId="1E7ED559">
            <w:pPr>
              <w:wordWrap/>
              <w:spacing w:line="360" w:lineRule="auto"/>
              <w:ind w:firstLine="480" w:firstLineChars="200"/>
              <w:jc w:val="both"/>
              <w:rPr>
                <w:color w:val="auto"/>
                <w:sz w:val="24"/>
                <w:szCs w:val="24"/>
              </w:rPr>
            </w:pPr>
            <w:r>
              <w:rPr>
                <w:color w:val="auto"/>
                <w:sz w:val="24"/>
                <w:szCs w:val="24"/>
              </w:rPr>
              <w:t>一旦发生事故，工作人员应遵循以下应急响应程序：现场工作人员首先应现场采取紧急措施进行初步处理，把事故消灭在萌芽阶段。如果通过现场紧急处理后，无法遏</w:t>
            </w:r>
            <w:r>
              <w:rPr>
                <w:rFonts w:hint="eastAsia"/>
                <w:color w:val="auto"/>
                <w:sz w:val="24"/>
                <w:szCs w:val="24"/>
              </w:rPr>
              <w:t>制</w:t>
            </w:r>
            <w:r>
              <w:rPr>
                <w:color w:val="auto"/>
                <w:sz w:val="24"/>
                <w:szCs w:val="24"/>
              </w:rPr>
              <w:t>事故进一步发展，现场工作人员立即向事故应急救援指挥部报告，准确汇报事故发生的地点、时间、现场状态等情况。事故应急指挥部接到报告后，需及时逐级向各上级主管部门报告，同时迅</w:t>
            </w:r>
            <w:r>
              <w:rPr>
                <w:rFonts w:hint="eastAsia"/>
                <w:color w:val="auto"/>
                <w:sz w:val="24"/>
                <w:szCs w:val="24"/>
                <w:lang w:eastAsia="zh-CN"/>
              </w:rPr>
              <w:t>速组</w:t>
            </w:r>
            <w:r>
              <w:rPr>
                <w:color w:val="auto"/>
                <w:sz w:val="24"/>
                <w:szCs w:val="24"/>
              </w:rPr>
              <w:t>织指挥本单位各种救援队伍和职工采取措施控制危害源，进行自救，并立即向当地人民政府通报。</w:t>
            </w:r>
          </w:p>
          <w:p w14:paraId="02CB71C8">
            <w:pPr>
              <w:spacing w:line="360" w:lineRule="auto"/>
              <w:ind w:firstLine="482" w:firstLineChars="200"/>
              <w:jc w:val="both"/>
              <w:rPr>
                <w:b/>
                <w:bCs/>
                <w:color w:val="auto"/>
                <w:sz w:val="24"/>
                <w:szCs w:val="24"/>
              </w:rPr>
            </w:pPr>
            <w:r>
              <w:rPr>
                <w:rFonts w:hint="eastAsia"/>
                <w:b/>
                <w:bCs/>
                <w:color w:val="auto"/>
                <w:sz w:val="24"/>
                <w:szCs w:val="24"/>
              </w:rPr>
              <w:t>（6）</w:t>
            </w:r>
            <w:r>
              <w:rPr>
                <w:b/>
                <w:bCs/>
                <w:color w:val="auto"/>
                <w:sz w:val="24"/>
                <w:szCs w:val="24"/>
              </w:rPr>
              <w:t>环境风险影响分析结论</w:t>
            </w:r>
          </w:p>
          <w:p w14:paraId="51D8ACD8">
            <w:pPr>
              <w:spacing w:line="360" w:lineRule="auto"/>
              <w:ind w:firstLine="480" w:firstLineChars="200"/>
              <w:jc w:val="both"/>
              <w:rPr>
                <w:color w:val="auto"/>
                <w:sz w:val="24"/>
                <w:szCs w:val="24"/>
              </w:rPr>
            </w:pPr>
            <w:r>
              <w:rPr>
                <w:color w:val="auto"/>
                <w:sz w:val="24"/>
                <w:szCs w:val="24"/>
              </w:rPr>
              <w:t>综上所述，在生产过程中，加强管理，建立健全相应的防范应急措施，并在设计管理及运行中得到认真落实，上述风险事故隐患可降至可接受程度。</w:t>
            </w:r>
          </w:p>
          <w:p w14:paraId="6E794BEE">
            <w:pPr>
              <w:widowControl w:val="0"/>
              <w:wordWrap/>
              <w:spacing w:line="360" w:lineRule="auto"/>
              <w:ind w:firstLine="482" w:firstLineChars="200"/>
              <w:jc w:val="both"/>
              <w:rPr>
                <w:rFonts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8、以新带老措施及</w:t>
            </w:r>
            <w:r>
              <w:rPr>
                <w:rFonts w:ascii="Times New Roman" w:hAnsi="Times New Roman" w:eastAsia="宋体" w:cs="Times New Roman"/>
                <w:b/>
                <w:bCs/>
                <w:color w:val="auto"/>
                <w:kern w:val="2"/>
                <w:sz w:val="24"/>
                <w:szCs w:val="24"/>
                <w:lang w:val="en-US" w:eastAsia="zh-CN" w:bidi="ar-SA"/>
              </w:rPr>
              <w:t>污染物排放“三本账”</w:t>
            </w:r>
          </w:p>
          <w:p w14:paraId="757024BF">
            <w:pPr>
              <w:spacing w:line="360" w:lineRule="auto"/>
              <w:ind w:firstLine="480" w:firstLineChars="200"/>
              <w:jc w:val="both"/>
              <w:rPr>
                <w:color w:val="auto"/>
                <w:sz w:val="24"/>
                <w:szCs w:val="24"/>
              </w:rPr>
            </w:pPr>
            <w:r>
              <w:rPr>
                <w:rFonts w:hint="eastAsia"/>
                <w:color w:val="auto"/>
                <w:sz w:val="24"/>
                <w:szCs w:val="24"/>
              </w:rPr>
              <w:t>技改实施后，</w:t>
            </w:r>
            <w:r>
              <w:rPr>
                <w:color w:val="auto"/>
                <w:sz w:val="24"/>
                <w:szCs w:val="24"/>
              </w:rPr>
              <w:t>主要污染物排放三本账见表</w:t>
            </w:r>
            <w:r>
              <w:rPr>
                <w:rFonts w:hint="eastAsia"/>
                <w:color w:val="auto"/>
                <w:sz w:val="24"/>
                <w:szCs w:val="24"/>
              </w:rPr>
              <w:t>4-</w:t>
            </w:r>
            <w:r>
              <w:rPr>
                <w:rFonts w:hint="eastAsia"/>
                <w:color w:val="auto"/>
                <w:sz w:val="24"/>
                <w:szCs w:val="24"/>
                <w:lang w:val="en-US" w:eastAsia="zh-CN"/>
              </w:rPr>
              <w:t>20</w:t>
            </w:r>
            <w:r>
              <w:rPr>
                <w:color w:val="auto"/>
                <w:sz w:val="24"/>
                <w:szCs w:val="24"/>
              </w:rPr>
              <w:t>。</w:t>
            </w:r>
          </w:p>
          <w:p w14:paraId="3B33D8CE">
            <w:pPr>
              <w:spacing w:line="360" w:lineRule="auto"/>
              <w:ind w:firstLine="480" w:firstLineChars="200"/>
              <w:jc w:val="both"/>
              <w:rPr>
                <w:color w:val="auto"/>
                <w:sz w:val="24"/>
                <w:szCs w:val="24"/>
              </w:rPr>
            </w:pPr>
          </w:p>
          <w:p w14:paraId="5BF0F35A">
            <w:pPr>
              <w:pStyle w:val="7"/>
              <w:bidi w:val="0"/>
            </w:pPr>
            <w:r>
              <w:t>表</w:t>
            </w:r>
            <w:r>
              <w:rPr>
                <w:rFonts w:hint="eastAsia"/>
              </w:rPr>
              <w:t>4-</w:t>
            </w:r>
            <w:r>
              <w:rPr>
                <w:rFonts w:hint="eastAsia"/>
                <w:lang w:val="en-US" w:eastAsia="zh-CN"/>
              </w:rPr>
              <w:t>20</w:t>
            </w:r>
            <w:r>
              <w:t xml:space="preserve">  本项目建成后污染物排放“三本账”</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994"/>
              <w:gridCol w:w="1042"/>
              <w:gridCol w:w="1038"/>
              <w:gridCol w:w="1118"/>
              <w:gridCol w:w="1175"/>
              <w:gridCol w:w="973"/>
              <w:gridCol w:w="1620"/>
              <w:gridCol w:w="895"/>
            </w:tblGrid>
            <w:tr w14:paraId="45AE76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561" w:type="pct"/>
                  <w:tcBorders>
                    <w:tl2br w:val="nil"/>
                    <w:tr2bl w:val="nil"/>
                  </w:tcBorders>
                  <w:vAlign w:val="center"/>
                </w:tcPr>
                <w:p w14:paraId="1D04E1F4">
                  <w:pPr>
                    <w:pStyle w:val="5"/>
                    <w:bidi w:val="0"/>
                    <w:rPr>
                      <w:b/>
                      <w:bCs/>
                    </w:rPr>
                  </w:pPr>
                  <w:r>
                    <w:rPr>
                      <w:b/>
                      <w:bCs/>
                    </w:rPr>
                    <w:t>污染类别</w:t>
                  </w:r>
                </w:p>
              </w:tc>
              <w:tc>
                <w:tcPr>
                  <w:tcW w:w="588" w:type="pct"/>
                  <w:tcBorders>
                    <w:tl2br w:val="nil"/>
                    <w:tr2bl w:val="nil"/>
                  </w:tcBorders>
                  <w:vAlign w:val="center"/>
                </w:tcPr>
                <w:p w14:paraId="54C80FC7">
                  <w:pPr>
                    <w:pStyle w:val="5"/>
                    <w:bidi w:val="0"/>
                    <w:rPr>
                      <w:b/>
                      <w:bCs/>
                    </w:rPr>
                  </w:pPr>
                  <w:r>
                    <w:rPr>
                      <w:b/>
                      <w:bCs/>
                    </w:rPr>
                    <w:t>污染物</w:t>
                  </w:r>
                </w:p>
              </w:tc>
              <w:tc>
                <w:tcPr>
                  <w:tcW w:w="586" w:type="pct"/>
                  <w:tcBorders>
                    <w:tl2br w:val="nil"/>
                    <w:tr2bl w:val="nil"/>
                  </w:tcBorders>
                  <w:vAlign w:val="center"/>
                </w:tcPr>
                <w:p w14:paraId="22F6791D">
                  <w:pPr>
                    <w:pStyle w:val="5"/>
                    <w:bidi w:val="0"/>
                    <w:rPr>
                      <w:b/>
                      <w:bCs/>
                    </w:rPr>
                  </w:pPr>
                  <w:r>
                    <w:rPr>
                      <w:b/>
                      <w:bCs/>
                    </w:rPr>
                    <w:t>企业现状排放量</w:t>
                  </w:r>
                  <w:r>
                    <w:rPr>
                      <w:rFonts w:hint="eastAsia"/>
                      <w:b/>
                      <w:bCs/>
                      <w:lang w:eastAsia="zh-CN"/>
                    </w:rPr>
                    <w:t>（</w:t>
                  </w:r>
                  <w:r>
                    <w:rPr>
                      <w:rFonts w:hint="eastAsia"/>
                      <w:b/>
                      <w:bCs/>
                      <w:lang w:val="en-US" w:eastAsia="zh-CN"/>
                    </w:rPr>
                    <w:t>固废产生量</w:t>
                  </w:r>
                  <w:r>
                    <w:rPr>
                      <w:rFonts w:hint="eastAsia"/>
                      <w:b/>
                      <w:bCs/>
                      <w:lang w:eastAsia="zh-CN"/>
                    </w:rPr>
                    <w:t>）</w:t>
                  </w:r>
                </w:p>
                <w:p w14:paraId="69F4C6FA">
                  <w:pPr>
                    <w:pStyle w:val="5"/>
                    <w:bidi w:val="0"/>
                    <w:rPr>
                      <w:b/>
                      <w:bCs/>
                    </w:rPr>
                  </w:pPr>
                  <w:r>
                    <w:rPr>
                      <w:b/>
                      <w:bCs/>
                    </w:rPr>
                    <w:t>（t/a）</w:t>
                  </w:r>
                </w:p>
              </w:tc>
              <w:tc>
                <w:tcPr>
                  <w:tcW w:w="631" w:type="pct"/>
                  <w:tcBorders>
                    <w:tl2br w:val="nil"/>
                    <w:tr2bl w:val="nil"/>
                  </w:tcBorders>
                  <w:vAlign w:val="center"/>
                </w:tcPr>
                <w:p w14:paraId="2670835D">
                  <w:pPr>
                    <w:pStyle w:val="5"/>
                    <w:bidi w:val="0"/>
                    <w:rPr>
                      <w:b/>
                      <w:bCs/>
                    </w:rPr>
                  </w:pPr>
                  <w:r>
                    <w:rPr>
                      <w:b/>
                      <w:bCs/>
                    </w:rPr>
                    <w:t>在建项目排放量</w:t>
                  </w:r>
                  <w:r>
                    <w:rPr>
                      <w:rFonts w:hint="eastAsia"/>
                      <w:b/>
                      <w:bCs/>
                      <w:lang w:eastAsia="zh-CN"/>
                    </w:rPr>
                    <w:t>（</w:t>
                  </w:r>
                  <w:r>
                    <w:rPr>
                      <w:rFonts w:hint="eastAsia"/>
                      <w:b/>
                      <w:bCs/>
                      <w:lang w:val="en-US" w:eastAsia="zh-CN"/>
                    </w:rPr>
                    <w:t>固废产生量</w:t>
                  </w:r>
                  <w:r>
                    <w:rPr>
                      <w:rFonts w:hint="eastAsia"/>
                      <w:b/>
                      <w:bCs/>
                      <w:lang w:eastAsia="zh-CN"/>
                    </w:rPr>
                    <w:t>）</w:t>
                  </w:r>
                </w:p>
                <w:p w14:paraId="13BE87F1">
                  <w:pPr>
                    <w:pStyle w:val="5"/>
                    <w:bidi w:val="0"/>
                    <w:rPr>
                      <w:b/>
                      <w:bCs/>
                    </w:rPr>
                  </w:pPr>
                  <w:r>
                    <w:rPr>
                      <w:b/>
                      <w:bCs/>
                    </w:rPr>
                    <w:t>（t/a）</w:t>
                  </w:r>
                </w:p>
              </w:tc>
              <w:tc>
                <w:tcPr>
                  <w:tcW w:w="663" w:type="pct"/>
                  <w:tcBorders>
                    <w:tl2br w:val="nil"/>
                    <w:tr2bl w:val="nil"/>
                  </w:tcBorders>
                  <w:vAlign w:val="center"/>
                </w:tcPr>
                <w:p w14:paraId="29E5AF7E">
                  <w:pPr>
                    <w:pStyle w:val="5"/>
                    <w:bidi w:val="0"/>
                    <w:rPr>
                      <w:b/>
                      <w:bCs/>
                    </w:rPr>
                  </w:pPr>
                  <w:r>
                    <w:rPr>
                      <w:b/>
                      <w:bCs/>
                    </w:rPr>
                    <w:t>“以新带老”消减量</w:t>
                  </w:r>
                </w:p>
                <w:p w14:paraId="6B831357">
                  <w:pPr>
                    <w:pStyle w:val="5"/>
                    <w:bidi w:val="0"/>
                    <w:rPr>
                      <w:b/>
                      <w:bCs/>
                    </w:rPr>
                  </w:pPr>
                  <w:r>
                    <w:rPr>
                      <w:b/>
                      <w:bCs/>
                    </w:rPr>
                    <w:t>（t/a）</w:t>
                  </w:r>
                </w:p>
              </w:tc>
              <w:tc>
                <w:tcPr>
                  <w:tcW w:w="549" w:type="pct"/>
                  <w:tcBorders>
                    <w:tl2br w:val="nil"/>
                    <w:tr2bl w:val="nil"/>
                  </w:tcBorders>
                  <w:vAlign w:val="center"/>
                </w:tcPr>
                <w:p w14:paraId="1B3ECCB2">
                  <w:pPr>
                    <w:pStyle w:val="5"/>
                    <w:bidi w:val="0"/>
                    <w:rPr>
                      <w:b/>
                      <w:bCs/>
                    </w:rPr>
                  </w:pPr>
                  <w:r>
                    <w:rPr>
                      <w:b/>
                      <w:bCs/>
                    </w:rPr>
                    <w:t>本项目新增排放量</w:t>
                  </w:r>
                </w:p>
                <w:p w14:paraId="524D058E">
                  <w:pPr>
                    <w:pStyle w:val="5"/>
                    <w:bidi w:val="0"/>
                    <w:rPr>
                      <w:rFonts w:hint="eastAsia"/>
                      <w:b/>
                      <w:bCs/>
                      <w:lang w:eastAsia="zh-CN"/>
                    </w:rPr>
                  </w:pPr>
                  <w:r>
                    <w:rPr>
                      <w:rFonts w:hint="eastAsia"/>
                      <w:b/>
                      <w:bCs/>
                      <w:lang w:eastAsia="zh-CN"/>
                    </w:rPr>
                    <w:t>（</w:t>
                  </w:r>
                  <w:r>
                    <w:rPr>
                      <w:rFonts w:hint="eastAsia"/>
                      <w:b/>
                      <w:bCs/>
                      <w:lang w:val="en-US" w:eastAsia="zh-CN"/>
                    </w:rPr>
                    <w:t>固废产生量</w:t>
                  </w:r>
                  <w:r>
                    <w:rPr>
                      <w:rFonts w:hint="eastAsia"/>
                      <w:b/>
                      <w:bCs/>
                      <w:lang w:eastAsia="zh-CN"/>
                    </w:rPr>
                    <w:t>）</w:t>
                  </w:r>
                </w:p>
                <w:p w14:paraId="35129E9D">
                  <w:pPr>
                    <w:pStyle w:val="5"/>
                    <w:bidi w:val="0"/>
                    <w:rPr>
                      <w:b/>
                      <w:bCs/>
                    </w:rPr>
                  </w:pPr>
                  <w:r>
                    <w:rPr>
                      <w:b/>
                      <w:bCs/>
                    </w:rPr>
                    <w:t>（t/a）</w:t>
                  </w:r>
                </w:p>
              </w:tc>
              <w:tc>
                <w:tcPr>
                  <w:tcW w:w="914" w:type="pct"/>
                  <w:tcBorders>
                    <w:tl2br w:val="nil"/>
                    <w:tr2bl w:val="nil"/>
                  </w:tcBorders>
                  <w:vAlign w:val="center"/>
                </w:tcPr>
                <w:p w14:paraId="6CD8C2C6">
                  <w:pPr>
                    <w:pStyle w:val="5"/>
                    <w:bidi w:val="0"/>
                    <w:rPr>
                      <w:rFonts w:hint="eastAsia"/>
                      <w:b/>
                      <w:bCs/>
                      <w:lang w:eastAsia="zh-CN"/>
                    </w:rPr>
                  </w:pPr>
                  <w:r>
                    <w:rPr>
                      <w:b/>
                      <w:bCs/>
                    </w:rPr>
                    <w:t>本项目建成后全厂排放量</w:t>
                  </w:r>
                  <w:r>
                    <w:rPr>
                      <w:rFonts w:hint="eastAsia"/>
                      <w:b/>
                      <w:bCs/>
                      <w:lang w:eastAsia="zh-CN"/>
                    </w:rPr>
                    <w:t>（</w:t>
                  </w:r>
                  <w:r>
                    <w:rPr>
                      <w:rFonts w:hint="eastAsia"/>
                      <w:b/>
                      <w:bCs/>
                      <w:lang w:val="en-US" w:eastAsia="zh-CN"/>
                    </w:rPr>
                    <w:t>固废产生量</w:t>
                  </w:r>
                  <w:r>
                    <w:rPr>
                      <w:rFonts w:hint="eastAsia"/>
                      <w:b/>
                      <w:bCs/>
                      <w:lang w:eastAsia="zh-CN"/>
                    </w:rPr>
                    <w:t>）</w:t>
                  </w:r>
                </w:p>
                <w:p w14:paraId="18BE8405">
                  <w:pPr>
                    <w:pStyle w:val="5"/>
                    <w:bidi w:val="0"/>
                    <w:rPr>
                      <w:b/>
                      <w:bCs/>
                    </w:rPr>
                  </w:pPr>
                  <w:r>
                    <w:rPr>
                      <w:b/>
                      <w:bCs/>
                    </w:rPr>
                    <w:t>（t/a）</w:t>
                  </w:r>
                </w:p>
              </w:tc>
              <w:tc>
                <w:tcPr>
                  <w:tcW w:w="505" w:type="pct"/>
                  <w:tcBorders>
                    <w:tl2br w:val="nil"/>
                    <w:tr2bl w:val="nil"/>
                  </w:tcBorders>
                  <w:vAlign w:val="center"/>
                </w:tcPr>
                <w:p w14:paraId="683420E4">
                  <w:pPr>
                    <w:pStyle w:val="5"/>
                    <w:bidi w:val="0"/>
                    <w:rPr>
                      <w:b/>
                      <w:bCs/>
                    </w:rPr>
                  </w:pPr>
                  <w:r>
                    <w:rPr>
                      <w:b/>
                      <w:bCs/>
                    </w:rPr>
                    <w:t>排放</w:t>
                  </w:r>
                  <w:r>
                    <w:rPr>
                      <w:rFonts w:hint="eastAsia"/>
                      <w:b/>
                      <w:bCs/>
                      <w:lang w:eastAsia="zh-CN"/>
                    </w:rPr>
                    <w:t>（</w:t>
                  </w:r>
                  <w:r>
                    <w:rPr>
                      <w:rFonts w:hint="eastAsia"/>
                      <w:b/>
                      <w:bCs/>
                      <w:lang w:val="en-US" w:eastAsia="zh-CN"/>
                    </w:rPr>
                    <w:t>产生</w:t>
                  </w:r>
                  <w:r>
                    <w:rPr>
                      <w:rFonts w:hint="eastAsia"/>
                      <w:b/>
                      <w:bCs/>
                      <w:lang w:eastAsia="zh-CN"/>
                    </w:rPr>
                    <w:t>）</w:t>
                  </w:r>
                  <w:r>
                    <w:rPr>
                      <w:b/>
                      <w:bCs/>
                    </w:rPr>
                    <w:t>增减量</w:t>
                  </w:r>
                </w:p>
                <w:p w14:paraId="3E8386EE">
                  <w:pPr>
                    <w:pStyle w:val="5"/>
                    <w:bidi w:val="0"/>
                    <w:rPr>
                      <w:b/>
                      <w:bCs/>
                    </w:rPr>
                  </w:pPr>
                  <w:r>
                    <w:rPr>
                      <w:b/>
                      <w:bCs/>
                    </w:rPr>
                    <w:t>（t/a）</w:t>
                  </w:r>
                </w:p>
              </w:tc>
            </w:tr>
            <w:tr w14:paraId="6B4B86E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561" w:type="pct"/>
                  <w:tcBorders>
                    <w:tl2br w:val="nil"/>
                    <w:tr2bl w:val="nil"/>
                  </w:tcBorders>
                  <w:vAlign w:val="center"/>
                </w:tcPr>
                <w:p w14:paraId="30476470">
                  <w:pPr>
                    <w:pStyle w:val="5"/>
                    <w:bidi w:val="0"/>
                  </w:pPr>
                  <w:r>
                    <w:t>废气</w:t>
                  </w:r>
                </w:p>
              </w:tc>
              <w:tc>
                <w:tcPr>
                  <w:tcW w:w="588" w:type="pct"/>
                  <w:tcBorders>
                    <w:tl2br w:val="nil"/>
                    <w:tr2bl w:val="nil"/>
                  </w:tcBorders>
                  <w:vAlign w:val="center"/>
                </w:tcPr>
                <w:p w14:paraId="72EB2CDA">
                  <w:pPr>
                    <w:pStyle w:val="5"/>
                    <w:bidi w:val="0"/>
                  </w:pPr>
                  <w:r>
                    <w:t>VOCs</w:t>
                  </w:r>
                </w:p>
              </w:tc>
              <w:tc>
                <w:tcPr>
                  <w:tcW w:w="586" w:type="pct"/>
                  <w:tcBorders>
                    <w:tl2br w:val="nil"/>
                    <w:tr2bl w:val="nil"/>
                  </w:tcBorders>
                  <w:vAlign w:val="center"/>
                </w:tcPr>
                <w:p w14:paraId="6D161F7E">
                  <w:pPr>
                    <w:pStyle w:val="5"/>
                    <w:bidi w:val="0"/>
                    <w:rPr>
                      <w:lang w:val="en-US" w:eastAsia="zh-CN"/>
                    </w:rPr>
                  </w:pPr>
                  <w:r>
                    <w:rPr>
                      <w:rFonts w:hint="eastAsia"/>
                      <w:lang w:val="en-US" w:eastAsia="zh-CN"/>
                    </w:rPr>
                    <w:t>0</w:t>
                  </w:r>
                </w:p>
              </w:tc>
              <w:tc>
                <w:tcPr>
                  <w:tcW w:w="631" w:type="pct"/>
                  <w:tcBorders>
                    <w:tl2br w:val="nil"/>
                    <w:tr2bl w:val="nil"/>
                  </w:tcBorders>
                  <w:vAlign w:val="center"/>
                </w:tcPr>
                <w:p w14:paraId="75456CEE">
                  <w:pPr>
                    <w:pStyle w:val="5"/>
                    <w:bidi w:val="0"/>
                  </w:pPr>
                  <w:r>
                    <w:rPr>
                      <w:rFonts w:hint="eastAsia"/>
                    </w:rPr>
                    <w:t>/</w:t>
                  </w:r>
                </w:p>
              </w:tc>
              <w:tc>
                <w:tcPr>
                  <w:tcW w:w="663" w:type="pct"/>
                  <w:tcBorders>
                    <w:tl2br w:val="nil"/>
                    <w:tr2bl w:val="nil"/>
                  </w:tcBorders>
                  <w:vAlign w:val="center"/>
                </w:tcPr>
                <w:p w14:paraId="2FBA33DB">
                  <w:pPr>
                    <w:pStyle w:val="5"/>
                    <w:bidi w:val="0"/>
                  </w:pPr>
                  <w:r>
                    <w:rPr>
                      <w:rFonts w:hint="eastAsia"/>
                      <w:lang w:eastAsia="zh-CN"/>
                    </w:rPr>
                    <w:t>0</w:t>
                  </w:r>
                </w:p>
              </w:tc>
              <w:tc>
                <w:tcPr>
                  <w:tcW w:w="549" w:type="pct"/>
                  <w:tcBorders>
                    <w:tl2br w:val="nil"/>
                    <w:tr2bl w:val="nil"/>
                  </w:tcBorders>
                  <w:vAlign w:val="center"/>
                </w:tcPr>
                <w:p w14:paraId="5F91593F">
                  <w:pPr>
                    <w:pStyle w:val="5"/>
                    <w:bidi w:val="0"/>
                    <w:rPr>
                      <w:rFonts w:hint="default" w:eastAsia="宋体"/>
                      <w:lang w:val="en-US" w:eastAsia="zh-CN"/>
                    </w:rPr>
                  </w:pPr>
                  <w:r>
                    <w:rPr>
                      <w:rFonts w:hint="eastAsia"/>
                      <w:lang w:val="en-US" w:eastAsia="zh-CN"/>
                    </w:rPr>
                    <w:t>0.0298</w:t>
                  </w:r>
                </w:p>
              </w:tc>
              <w:tc>
                <w:tcPr>
                  <w:tcW w:w="914" w:type="pct"/>
                  <w:tcBorders>
                    <w:tl2br w:val="nil"/>
                    <w:tr2bl w:val="nil"/>
                  </w:tcBorders>
                  <w:vAlign w:val="center"/>
                </w:tcPr>
                <w:p w14:paraId="539DA59B">
                  <w:pPr>
                    <w:pStyle w:val="5"/>
                    <w:bidi w:val="0"/>
                    <w:rPr>
                      <w:rFonts w:hint="default"/>
                      <w:lang w:val="en-US" w:eastAsia="zh-CN"/>
                    </w:rPr>
                  </w:pPr>
                  <w:r>
                    <w:rPr>
                      <w:rFonts w:hint="eastAsia"/>
                      <w:lang w:val="en-US" w:eastAsia="zh-CN"/>
                    </w:rPr>
                    <w:t>0.0298</w:t>
                  </w:r>
                </w:p>
              </w:tc>
              <w:tc>
                <w:tcPr>
                  <w:tcW w:w="505" w:type="pct"/>
                  <w:tcBorders>
                    <w:tl2br w:val="nil"/>
                    <w:tr2bl w:val="nil"/>
                  </w:tcBorders>
                  <w:vAlign w:val="center"/>
                </w:tcPr>
                <w:p w14:paraId="102CED1E">
                  <w:pPr>
                    <w:pStyle w:val="5"/>
                    <w:bidi w:val="0"/>
                    <w:rPr>
                      <w:rFonts w:hint="default"/>
                      <w:lang w:val="en-US" w:eastAsia="zh-CN"/>
                    </w:rPr>
                  </w:pPr>
                  <w:r>
                    <w:rPr>
                      <w:rFonts w:hint="eastAsia"/>
                    </w:rPr>
                    <w:t>+</w:t>
                  </w:r>
                  <w:r>
                    <w:rPr>
                      <w:rFonts w:hint="eastAsia"/>
                      <w:lang w:val="en-US" w:eastAsia="zh-CN"/>
                    </w:rPr>
                    <w:t>0.0298</w:t>
                  </w:r>
                </w:p>
              </w:tc>
            </w:tr>
            <w:tr w14:paraId="1B034D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restart"/>
                  <w:tcBorders>
                    <w:tl2br w:val="nil"/>
                    <w:tr2bl w:val="nil"/>
                  </w:tcBorders>
                  <w:vAlign w:val="center"/>
                </w:tcPr>
                <w:p w14:paraId="302D3960">
                  <w:pPr>
                    <w:pStyle w:val="5"/>
                    <w:bidi w:val="0"/>
                    <w:rPr>
                      <w:rFonts w:hint="eastAsia" w:eastAsia="宋体"/>
                      <w:lang w:eastAsia="zh-CN"/>
                    </w:rPr>
                  </w:pPr>
                  <w:r>
                    <w:rPr>
                      <w:rFonts w:hint="eastAsia"/>
                      <w:lang w:val="en-US" w:eastAsia="zh-CN"/>
                    </w:rPr>
                    <w:t>生活污水</w:t>
                  </w:r>
                  <w:r>
                    <w:rPr>
                      <w:rFonts w:hint="eastAsia"/>
                      <w:lang w:eastAsia="zh-CN"/>
                    </w:rPr>
                    <w:t>（</w:t>
                  </w:r>
                  <w:r>
                    <w:rPr>
                      <w:rFonts w:hint="eastAsia"/>
                      <w:lang w:val="en-US" w:eastAsia="zh-CN"/>
                    </w:rPr>
                    <w:t>进入魏兴场镇污水处理厂</w:t>
                  </w:r>
                  <w:r>
                    <w:rPr>
                      <w:rFonts w:hint="eastAsia"/>
                      <w:lang w:eastAsia="zh-CN"/>
                    </w:rPr>
                    <w:t>）</w:t>
                  </w:r>
                </w:p>
              </w:tc>
              <w:tc>
                <w:tcPr>
                  <w:tcW w:w="588" w:type="pct"/>
                  <w:tcBorders>
                    <w:tl2br w:val="nil"/>
                    <w:tr2bl w:val="nil"/>
                  </w:tcBorders>
                  <w:vAlign w:val="center"/>
                </w:tcPr>
                <w:p w14:paraId="3A5E3885">
                  <w:pPr>
                    <w:pStyle w:val="5"/>
                    <w:bidi w:val="0"/>
                    <w:rPr>
                      <w:rFonts w:hint="default"/>
                      <w:lang w:val="en-US" w:eastAsia="zh-CN"/>
                    </w:rPr>
                  </w:pPr>
                  <w:r>
                    <w:rPr>
                      <w:rFonts w:hint="eastAsia"/>
                      <w:lang w:val="en-US" w:eastAsia="zh-CN"/>
                    </w:rPr>
                    <w:t>废水量</w:t>
                  </w:r>
                </w:p>
              </w:tc>
              <w:tc>
                <w:tcPr>
                  <w:tcW w:w="586" w:type="pct"/>
                  <w:tcBorders>
                    <w:tl2br w:val="nil"/>
                    <w:tr2bl w:val="nil"/>
                  </w:tcBorders>
                  <w:shd w:val="clear" w:color="auto" w:fill="auto"/>
                  <w:vAlign w:val="center"/>
                </w:tcPr>
                <w:p w14:paraId="2A18FB33">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921.6</w:t>
                  </w:r>
                </w:p>
              </w:tc>
              <w:tc>
                <w:tcPr>
                  <w:tcW w:w="631" w:type="pct"/>
                  <w:tcBorders>
                    <w:tl2br w:val="nil"/>
                    <w:tr2bl w:val="nil"/>
                  </w:tcBorders>
                  <w:vAlign w:val="center"/>
                </w:tcPr>
                <w:p w14:paraId="7796ABAC">
                  <w:pPr>
                    <w:pStyle w:val="5"/>
                    <w:bidi w:val="0"/>
                    <w:rPr>
                      <w:rFonts w:hint="default"/>
                      <w:lang w:val="en-US" w:eastAsia="zh-CN"/>
                    </w:rPr>
                  </w:pPr>
                  <w:r>
                    <w:rPr>
                      <w:rFonts w:hint="eastAsia"/>
                      <w:lang w:val="en-US" w:eastAsia="zh-CN"/>
                    </w:rPr>
                    <w:t>/</w:t>
                  </w:r>
                </w:p>
              </w:tc>
              <w:tc>
                <w:tcPr>
                  <w:tcW w:w="663" w:type="pct"/>
                  <w:tcBorders>
                    <w:tl2br w:val="nil"/>
                    <w:tr2bl w:val="nil"/>
                  </w:tcBorders>
                  <w:vAlign w:val="center"/>
                </w:tcPr>
                <w:p w14:paraId="11ED1374">
                  <w:pPr>
                    <w:pStyle w:val="5"/>
                    <w:bidi w:val="0"/>
                    <w:rPr>
                      <w:rFonts w:hint="default"/>
                      <w:lang w:val="en-US" w:eastAsia="zh-CN"/>
                    </w:rPr>
                  </w:pPr>
                  <w:r>
                    <w:rPr>
                      <w:rFonts w:hint="eastAsia"/>
                      <w:lang w:val="en-US" w:eastAsia="zh-CN"/>
                    </w:rPr>
                    <w:t>0</w:t>
                  </w:r>
                </w:p>
              </w:tc>
              <w:tc>
                <w:tcPr>
                  <w:tcW w:w="549" w:type="pct"/>
                  <w:tcBorders>
                    <w:tl2br w:val="nil"/>
                    <w:tr2bl w:val="nil"/>
                  </w:tcBorders>
                  <w:vAlign w:val="center"/>
                </w:tcPr>
                <w:p w14:paraId="0FF378F0">
                  <w:pPr>
                    <w:pStyle w:val="5"/>
                    <w:bidi w:val="0"/>
                    <w:rPr>
                      <w:rFonts w:hint="default"/>
                      <w:lang w:val="en-US" w:eastAsia="zh-CN"/>
                    </w:rPr>
                  </w:pPr>
                  <w:r>
                    <w:rPr>
                      <w:rFonts w:hint="eastAsia"/>
                      <w:lang w:val="en-US" w:eastAsia="zh-CN"/>
                    </w:rPr>
                    <w:t>0</w:t>
                  </w:r>
                </w:p>
              </w:tc>
              <w:tc>
                <w:tcPr>
                  <w:tcW w:w="914" w:type="pct"/>
                  <w:tcBorders>
                    <w:tl2br w:val="nil"/>
                    <w:tr2bl w:val="nil"/>
                  </w:tcBorders>
                  <w:vAlign w:val="center"/>
                </w:tcPr>
                <w:p w14:paraId="0D4F4D0C">
                  <w:pPr>
                    <w:pStyle w:val="5"/>
                    <w:bidi w:val="0"/>
                    <w:ind w:firstLine="0" w:firstLineChars="0"/>
                    <w:rPr>
                      <w:rFonts w:hint="eastAsia"/>
                      <w:lang w:val="en-US" w:eastAsia="zh-CN"/>
                    </w:rPr>
                  </w:pPr>
                  <w:r>
                    <w:rPr>
                      <w:rFonts w:hint="eastAsia"/>
                      <w:lang w:val="en-US" w:eastAsia="zh-CN"/>
                    </w:rPr>
                    <w:t>921.6</w:t>
                  </w:r>
                </w:p>
              </w:tc>
              <w:tc>
                <w:tcPr>
                  <w:tcW w:w="505" w:type="pct"/>
                  <w:tcBorders>
                    <w:tl2br w:val="nil"/>
                    <w:tr2bl w:val="nil"/>
                  </w:tcBorders>
                  <w:vAlign w:val="center"/>
                </w:tcPr>
                <w:p w14:paraId="66087BE3">
                  <w:pPr>
                    <w:pStyle w:val="5"/>
                    <w:bidi w:val="0"/>
                    <w:rPr>
                      <w:rFonts w:hint="eastAsia"/>
                      <w:lang w:val="en-US" w:eastAsia="zh-CN"/>
                    </w:rPr>
                  </w:pPr>
                  <w:r>
                    <w:rPr>
                      <w:rFonts w:hint="eastAsia"/>
                      <w:lang w:val="en-US" w:eastAsia="zh-CN"/>
                    </w:rPr>
                    <w:t>+0</w:t>
                  </w:r>
                </w:p>
              </w:tc>
            </w:tr>
            <w:tr w14:paraId="627D41F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continue"/>
                  <w:tcBorders>
                    <w:tl2br w:val="nil"/>
                    <w:tr2bl w:val="nil"/>
                  </w:tcBorders>
                  <w:vAlign w:val="center"/>
                </w:tcPr>
                <w:p w14:paraId="6F8C2F53">
                  <w:pPr>
                    <w:pStyle w:val="5"/>
                    <w:bidi w:val="0"/>
                    <w:rPr>
                      <w:rFonts w:hint="eastAsia"/>
                      <w:lang w:val="en-US" w:eastAsia="zh-CN"/>
                    </w:rPr>
                  </w:pPr>
                </w:p>
              </w:tc>
              <w:tc>
                <w:tcPr>
                  <w:tcW w:w="588" w:type="pct"/>
                  <w:tcBorders>
                    <w:tl2br w:val="nil"/>
                    <w:tr2bl w:val="nil"/>
                  </w:tcBorders>
                  <w:shd w:val="clear" w:color="auto" w:fill="auto"/>
                  <w:vAlign w:val="center"/>
                </w:tcPr>
                <w:p w14:paraId="60E1FBB9">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COD</w:t>
                  </w:r>
                </w:p>
              </w:tc>
              <w:tc>
                <w:tcPr>
                  <w:tcW w:w="586" w:type="pct"/>
                  <w:tcBorders>
                    <w:tl2br w:val="nil"/>
                    <w:tr2bl w:val="nil"/>
                  </w:tcBorders>
                  <w:shd w:val="clear" w:color="auto" w:fill="auto"/>
                  <w:vAlign w:val="center"/>
                </w:tcPr>
                <w:p w14:paraId="0C37B175">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0.2120</w:t>
                  </w:r>
                </w:p>
              </w:tc>
              <w:tc>
                <w:tcPr>
                  <w:tcW w:w="631" w:type="pct"/>
                  <w:tcBorders>
                    <w:tl2br w:val="nil"/>
                    <w:tr2bl w:val="nil"/>
                  </w:tcBorders>
                  <w:shd w:val="clear" w:color="auto" w:fill="auto"/>
                  <w:vAlign w:val="center"/>
                </w:tcPr>
                <w:p w14:paraId="014B2823">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663" w:type="pct"/>
                  <w:tcBorders>
                    <w:tl2br w:val="nil"/>
                    <w:tr2bl w:val="nil"/>
                  </w:tcBorders>
                  <w:shd w:val="clear" w:color="auto" w:fill="auto"/>
                  <w:vAlign w:val="center"/>
                </w:tcPr>
                <w:p w14:paraId="41017212">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549" w:type="pct"/>
                  <w:tcBorders>
                    <w:tl2br w:val="nil"/>
                    <w:tr2bl w:val="nil"/>
                  </w:tcBorders>
                  <w:shd w:val="clear" w:color="auto" w:fill="auto"/>
                  <w:vAlign w:val="center"/>
                </w:tcPr>
                <w:p w14:paraId="7BC2FA10">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914" w:type="pct"/>
                  <w:tcBorders>
                    <w:tl2br w:val="nil"/>
                    <w:tr2bl w:val="nil"/>
                  </w:tcBorders>
                  <w:shd w:val="clear" w:color="auto" w:fill="auto"/>
                  <w:vAlign w:val="center"/>
                </w:tcPr>
                <w:p w14:paraId="1F383E41">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0.2120</w:t>
                  </w:r>
                </w:p>
              </w:tc>
              <w:tc>
                <w:tcPr>
                  <w:tcW w:w="505" w:type="pct"/>
                  <w:tcBorders>
                    <w:tl2br w:val="nil"/>
                    <w:tr2bl w:val="nil"/>
                  </w:tcBorders>
                  <w:shd w:val="clear" w:color="auto" w:fill="auto"/>
                  <w:vAlign w:val="center"/>
                </w:tcPr>
                <w:p w14:paraId="3684BC71">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r>
            <w:tr w14:paraId="5D66540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continue"/>
                  <w:tcBorders>
                    <w:tl2br w:val="nil"/>
                    <w:tr2bl w:val="nil"/>
                  </w:tcBorders>
                  <w:vAlign w:val="center"/>
                </w:tcPr>
                <w:p w14:paraId="3CDDE779">
                  <w:pPr>
                    <w:pStyle w:val="5"/>
                    <w:bidi w:val="0"/>
                    <w:rPr>
                      <w:rFonts w:hint="eastAsia"/>
                      <w:lang w:val="en-US" w:eastAsia="zh-CN"/>
                    </w:rPr>
                  </w:pPr>
                </w:p>
              </w:tc>
              <w:tc>
                <w:tcPr>
                  <w:tcW w:w="588" w:type="pct"/>
                  <w:tcBorders>
                    <w:tl2br w:val="nil"/>
                    <w:tr2bl w:val="nil"/>
                  </w:tcBorders>
                  <w:shd w:val="clear" w:color="auto" w:fill="auto"/>
                  <w:vAlign w:val="center"/>
                </w:tcPr>
                <w:p w14:paraId="5BABD7BC">
                  <w:pPr>
                    <w:pStyle w:val="5"/>
                    <w:bidi w:val="0"/>
                    <w:ind w:firstLine="0" w:firstLineChars="0"/>
                    <w:rPr>
                      <w:rFonts w:hint="eastAsia" w:ascii="Times New Roman" w:hAnsi="Times New Roman" w:eastAsia="宋体" w:cs="Times New Roman"/>
                      <w:kern w:val="2"/>
                      <w:sz w:val="21"/>
                      <w:lang w:val="en-US" w:eastAsia="zh-CN" w:bidi="ar-SA"/>
                    </w:rPr>
                  </w:pPr>
                  <w:r>
                    <w:rPr>
                      <w:rFonts w:hint="eastAsia" w:cs="Times New Roman"/>
                      <w:kern w:val="2"/>
                      <w:sz w:val="21"/>
                      <w:lang w:val="en-US" w:eastAsia="zh-CN" w:bidi="ar-SA"/>
                    </w:rPr>
                    <w:t>BOD</w:t>
                  </w:r>
                </w:p>
              </w:tc>
              <w:tc>
                <w:tcPr>
                  <w:tcW w:w="586" w:type="pct"/>
                  <w:tcBorders>
                    <w:tl2br w:val="nil"/>
                    <w:tr2bl w:val="nil"/>
                  </w:tcBorders>
                  <w:shd w:val="clear" w:color="auto" w:fill="auto"/>
                  <w:vAlign w:val="center"/>
                </w:tcPr>
                <w:p w14:paraId="6A56DB84">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0.1659</w:t>
                  </w:r>
                </w:p>
              </w:tc>
              <w:tc>
                <w:tcPr>
                  <w:tcW w:w="631" w:type="pct"/>
                  <w:tcBorders>
                    <w:tl2br w:val="nil"/>
                    <w:tr2bl w:val="nil"/>
                  </w:tcBorders>
                  <w:shd w:val="clear" w:color="auto" w:fill="auto"/>
                  <w:vAlign w:val="center"/>
                </w:tcPr>
                <w:p w14:paraId="1376F751">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663" w:type="pct"/>
                  <w:tcBorders>
                    <w:tl2br w:val="nil"/>
                    <w:tr2bl w:val="nil"/>
                  </w:tcBorders>
                  <w:shd w:val="clear" w:color="auto" w:fill="auto"/>
                  <w:vAlign w:val="center"/>
                </w:tcPr>
                <w:p w14:paraId="417A7BB8">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549" w:type="pct"/>
                  <w:tcBorders>
                    <w:tl2br w:val="nil"/>
                    <w:tr2bl w:val="nil"/>
                  </w:tcBorders>
                  <w:shd w:val="clear" w:color="auto" w:fill="auto"/>
                  <w:vAlign w:val="center"/>
                </w:tcPr>
                <w:p w14:paraId="521E7E96">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914" w:type="pct"/>
                  <w:tcBorders>
                    <w:tl2br w:val="nil"/>
                    <w:tr2bl w:val="nil"/>
                  </w:tcBorders>
                  <w:shd w:val="clear" w:color="auto" w:fill="auto"/>
                  <w:vAlign w:val="center"/>
                </w:tcPr>
                <w:p w14:paraId="380FBFDE">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0.1659</w:t>
                  </w:r>
                </w:p>
              </w:tc>
              <w:tc>
                <w:tcPr>
                  <w:tcW w:w="505" w:type="pct"/>
                  <w:tcBorders>
                    <w:tl2br w:val="nil"/>
                    <w:tr2bl w:val="nil"/>
                  </w:tcBorders>
                  <w:shd w:val="clear" w:color="auto" w:fill="auto"/>
                  <w:vAlign w:val="center"/>
                </w:tcPr>
                <w:p w14:paraId="60B601B4">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r>
            <w:tr w14:paraId="5216C7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continue"/>
                  <w:tcBorders>
                    <w:tl2br w:val="nil"/>
                    <w:tr2bl w:val="nil"/>
                  </w:tcBorders>
                  <w:vAlign w:val="center"/>
                </w:tcPr>
                <w:p w14:paraId="60CCB3D4">
                  <w:pPr>
                    <w:pStyle w:val="5"/>
                    <w:bidi w:val="0"/>
                    <w:rPr>
                      <w:rFonts w:hint="eastAsia"/>
                      <w:lang w:val="en-US" w:eastAsia="zh-CN"/>
                    </w:rPr>
                  </w:pPr>
                </w:p>
              </w:tc>
              <w:tc>
                <w:tcPr>
                  <w:tcW w:w="588" w:type="pct"/>
                  <w:tcBorders>
                    <w:tl2br w:val="nil"/>
                    <w:tr2bl w:val="nil"/>
                  </w:tcBorders>
                  <w:vAlign w:val="center"/>
                </w:tcPr>
                <w:p w14:paraId="5E2E4D0C">
                  <w:pPr>
                    <w:pStyle w:val="5"/>
                    <w:bidi w:val="0"/>
                    <w:rPr>
                      <w:rFonts w:hint="eastAsia"/>
                      <w:lang w:val="en-US" w:eastAsia="zh-CN"/>
                    </w:rPr>
                  </w:pPr>
                  <w:r>
                    <w:rPr>
                      <w:rFonts w:hint="eastAsia"/>
                      <w:color w:val="auto"/>
                    </w:rPr>
                    <w:t>NH</w:t>
                  </w:r>
                  <w:r>
                    <w:rPr>
                      <w:rFonts w:hint="eastAsia"/>
                      <w:color w:val="auto"/>
                      <w:vertAlign w:val="subscript"/>
                    </w:rPr>
                    <w:t>3</w:t>
                  </w:r>
                  <w:r>
                    <w:rPr>
                      <w:rFonts w:hint="eastAsia"/>
                      <w:color w:val="auto"/>
                    </w:rPr>
                    <w:t>-N</w:t>
                  </w:r>
                </w:p>
              </w:tc>
              <w:tc>
                <w:tcPr>
                  <w:tcW w:w="586" w:type="pct"/>
                  <w:tcBorders>
                    <w:tl2br w:val="nil"/>
                    <w:tr2bl w:val="nil"/>
                  </w:tcBorders>
                  <w:shd w:val="clear" w:color="auto" w:fill="auto"/>
                  <w:vAlign w:val="center"/>
                </w:tcPr>
                <w:p w14:paraId="5FB13AC5">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0.2580</w:t>
                  </w:r>
                </w:p>
              </w:tc>
              <w:tc>
                <w:tcPr>
                  <w:tcW w:w="631" w:type="pct"/>
                  <w:tcBorders>
                    <w:tl2br w:val="nil"/>
                    <w:tr2bl w:val="nil"/>
                  </w:tcBorders>
                  <w:vAlign w:val="center"/>
                </w:tcPr>
                <w:p w14:paraId="69168255">
                  <w:pPr>
                    <w:pStyle w:val="5"/>
                    <w:bidi w:val="0"/>
                    <w:ind w:firstLine="0" w:firstLineChars="0"/>
                    <w:rPr>
                      <w:rFonts w:hint="eastAsia"/>
                      <w:lang w:val="en-US" w:eastAsia="zh-CN"/>
                    </w:rPr>
                  </w:pPr>
                  <w:r>
                    <w:rPr>
                      <w:rFonts w:hint="eastAsia"/>
                      <w:lang w:val="en-US" w:eastAsia="zh-CN"/>
                    </w:rPr>
                    <w:t>/</w:t>
                  </w:r>
                </w:p>
              </w:tc>
              <w:tc>
                <w:tcPr>
                  <w:tcW w:w="663" w:type="pct"/>
                  <w:tcBorders>
                    <w:tl2br w:val="nil"/>
                    <w:tr2bl w:val="nil"/>
                  </w:tcBorders>
                  <w:vAlign w:val="center"/>
                </w:tcPr>
                <w:p w14:paraId="0C7083A6">
                  <w:pPr>
                    <w:pStyle w:val="5"/>
                    <w:bidi w:val="0"/>
                    <w:ind w:firstLine="0" w:firstLineChars="0"/>
                    <w:rPr>
                      <w:rFonts w:hint="eastAsia"/>
                      <w:lang w:val="en-US" w:eastAsia="zh-CN"/>
                    </w:rPr>
                  </w:pPr>
                  <w:r>
                    <w:rPr>
                      <w:rFonts w:hint="eastAsia"/>
                      <w:lang w:val="en-US" w:eastAsia="zh-CN"/>
                    </w:rPr>
                    <w:t>0</w:t>
                  </w:r>
                </w:p>
              </w:tc>
              <w:tc>
                <w:tcPr>
                  <w:tcW w:w="549" w:type="pct"/>
                  <w:tcBorders>
                    <w:tl2br w:val="nil"/>
                    <w:tr2bl w:val="nil"/>
                  </w:tcBorders>
                  <w:vAlign w:val="center"/>
                </w:tcPr>
                <w:p w14:paraId="43C0766D">
                  <w:pPr>
                    <w:pStyle w:val="5"/>
                    <w:bidi w:val="0"/>
                    <w:ind w:firstLine="0" w:firstLineChars="0"/>
                    <w:rPr>
                      <w:rFonts w:hint="eastAsia"/>
                      <w:lang w:val="en-US" w:eastAsia="zh-CN"/>
                    </w:rPr>
                  </w:pPr>
                  <w:r>
                    <w:rPr>
                      <w:rFonts w:hint="eastAsia"/>
                      <w:lang w:val="en-US" w:eastAsia="zh-CN"/>
                    </w:rPr>
                    <w:t>0</w:t>
                  </w:r>
                </w:p>
              </w:tc>
              <w:tc>
                <w:tcPr>
                  <w:tcW w:w="914" w:type="pct"/>
                  <w:tcBorders>
                    <w:tl2br w:val="nil"/>
                    <w:tr2bl w:val="nil"/>
                  </w:tcBorders>
                  <w:vAlign w:val="center"/>
                </w:tcPr>
                <w:p w14:paraId="32968D9E">
                  <w:pPr>
                    <w:pStyle w:val="5"/>
                    <w:bidi w:val="0"/>
                    <w:ind w:firstLine="0" w:firstLineChars="0"/>
                    <w:rPr>
                      <w:rFonts w:hint="default"/>
                      <w:highlight w:val="none"/>
                      <w:lang w:val="en-US" w:eastAsia="zh-CN"/>
                    </w:rPr>
                  </w:pPr>
                  <w:r>
                    <w:rPr>
                      <w:rFonts w:hint="eastAsia"/>
                      <w:lang w:val="en-US" w:eastAsia="zh-CN"/>
                    </w:rPr>
                    <w:t>0.2580</w:t>
                  </w:r>
                </w:p>
              </w:tc>
              <w:tc>
                <w:tcPr>
                  <w:tcW w:w="505" w:type="pct"/>
                  <w:tcBorders>
                    <w:tl2br w:val="nil"/>
                    <w:tr2bl w:val="nil"/>
                  </w:tcBorders>
                  <w:vAlign w:val="center"/>
                </w:tcPr>
                <w:p w14:paraId="214F28A9">
                  <w:pPr>
                    <w:pStyle w:val="5"/>
                    <w:bidi w:val="0"/>
                    <w:rPr>
                      <w:rFonts w:hint="eastAsia"/>
                      <w:lang w:val="en-US" w:eastAsia="zh-CN"/>
                    </w:rPr>
                  </w:pPr>
                  <w:r>
                    <w:rPr>
                      <w:rFonts w:hint="eastAsia"/>
                      <w:lang w:val="en-US" w:eastAsia="zh-CN"/>
                    </w:rPr>
                    <w:t>+0</w:t>
                  </w:r>
                </w:p>
              </w:tc>
            </w:tr>
            <w:tr w14:paraId="7C2E1DE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continue"/>
                  <w:tcBorders>
                    <w:tl2br w:val="nil"/>
                    <w:tr2bl w:val="nil"/>
                  </w:tcBorders>
                  <w:vAlign w:val="center"/>
                </w:tcPr>
                <w:p w14:paraId="40175F45">
                  <w:pPr>
                    <w:pStyle w:val="5"/>
                    <w:bidi w:val="0"/>
                    <w:rPr>
                      <w:rFonts w:hint="eastAsia"/>
                      <w:lang w:val="en-US" w:eastAsia="zh-CN"/>
                    </w:rPr>
                  </w:pPr>
                </w:p>
              </w:tc>
              <w:tc>
                <w:tcPr>
                  <w:tcW w:w="588" w:type="pct"/>
                  <w:tcBorders>
                    <w:tl2br w:val="nil"/>
                    <w:tr2bl w:val="nil"/>
                  </w:tcBorders>
                  <w:vAlign w:val="center"/>
                </w:tcPr>
                <w:p w14:paraId="1A1B277F">
                  <w:pPr>
                    <w:pStyle w:val="5"/>
                    <w:bidi w:val="0"/>
                    <w:ind w:firstLine="0" w:firstLineChars="0"/>
                    <w:rPr>
                      <w:rFonts w:hint="eastAsia"/>
                      <w:lang w:val="en-US" w:eastAsia="zh-CN"/>
                    </w:rPr>
                  </w:pPr>
                  <w:r>
                    <w:rPr>
                      <w:rFonts w:hint="eastAsia"/>
                      <w:lang w:val="en-US" w:eastAsia="zh-CN"/>
                    </w:rPr>
                    <w:t>总磷</w:t>
                  </w:r>
                </w:p>
              </w:tc>
              <w:tc>
                <w:tcPr>
                  <w:tcW w:w="586" w:type="pct"/>
                  <w:tcBorders>
                    <w:tl2br w:val="nil"/>
                    <w:tr2bl w:val="nil"/>
                  </w:tcBorders>
                  <w:shd w:val="clear" w:color="auto" w:fill="auto"/>
                  <w:vAlign w:val="center"/>
                </w:tcPr>
                <w:p w14:paraId="0F6ABEBA">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0.0026</w:t>
                  </w:r>
                </w:p>
              </w:tc>
              <w:tc>
                <w:tcPr>
                  <w:tcW w:w="631" w:type="pct"/>
                  <w:tcBorders>
                    <w:tl2br w:val="nil"/>
                    <w:tr2bl w:val="nil"/>
                  </w:tcBorders>
                  <w:vAlign w:val="center"/>
                </w:tcPr>
                <w:p w14:paraId="474DF74B">
                  <w:pPr>
                    <w:pStyle w:val="5"/>
                    <w:bidi w:val="0"/>
                    <w:ind w:firstLine="0" w:firstLineChars="0"/>
                    <w:rPr>
                      <w:rFonts w:hint="eastAsia"/>
                      <w:lang w:val="en-US" w:eastAsia="zh-CN"/>
                    </w:rPr>
                  </w:pPr>
                  <w:r>
                    <w:rPr>
                      <w:rFonts w:hint="eastAsia"/>
                      <w:lang w:val="en-US" w:eastAsia="zh-CN"/>
                    </w:rPr>
                    <w:t>/</w:t>
                  </w:r>
                </w:p>
              </w:tc>
              <w:tc>
                <w:tcPr>
                  <w:tcW w:w="663" w:type="pct"/>
                  <w:tcBorders>
                    <w:tl2br w:val="nil"/>
                    <w:tr2bl w:val="nil"/>
                  </w:tcBorders>
                  <w:vAlign w:val="center"/>
                </w:tcPr>
                <w:p w14:paraId="5E660D85">
                  <w:pPr>
                    <w:pStyle w:val="5"/>
                    <w:bidi w:val="0"/>
                    <w:ind w:firstLine="0" w:firstLineChars="0"/>
                    <w:rPr>
                      <w:rFonts w:hint="eastAsia"/>
                      <w:lang w:val="en-US" w:eastAsia="zh-CN"/>
                    </w:rPr>
                  </w:pPr>
                  <w:r>
                    <w:rPr>
                      <w:rFonts w:hint="eastAsia"/>
                      <w:lang w:val="en-US" w:eastAsia="zh-CN"/>
                    </w:rPr>
                    <w:t>0</w:t>
                  </w:r>
                </w:p>
              </w:tc>
              <w:tc>
                <w:tcPr>
                  <w:tcW w:w="549" w:type="pct"/>
                  <w:tcBorders>
                    <w:tl2br w:val="nil"/>
                    <w:tr2bl w:val="nil"/>
                  </w:tcBorders>
                  <w:vAlign w:val="center"/>
                </w:tcPr>
                <w:p w14:paraId="1BAB47F5">
                  <w:pPr>
                    <w:pStyle w:val="5"/>
                    <w:bidi w:val="0"/>
                    <w:ind w:firstLine="0" w:firstLineChars="0"/>
                    <w:rPr>
                      <w:rFonts w:hint="eastAsia"/>
                      <w:lang w:val="en-US" w:eastAsia="zh-CN"/>
                    </w:rPr>
                  </w:pPr>
                  <w:r>
                    <w:rPr>
                      <w:rFonts w:hint="eastAsia"/>
                      <w:lang w:val="en-US" w:eastAsia="zh-CN"/>
                    </w:rPr>
                    <w:t>0</w:t>
                  </w:r>
                </w:p>
              </w:tc>
              <w:tc>
                <w:tcPr>
                  <w:tcW w:w="914" w:type="pct"/>
                  <w:tcBorders>
                    <w:tl2br w:val="nil"/>
                    <w:tr2bl w:val="nil"/>
                  </w:tcBorders>
                  <w:vAlign w:val="center"/>
                </w:tcPr>
                <w:p w14:paraId="21B7F862">
                  <w:pPr>
                    <w:pStyle w:val="5"/>
                    <w:bidi w:val="0"/>
                    <w:ind w:firstLine="0" w:firstLineChars="0"/>
                    <w:rPr>
                      <w:rFonts w:hint="default"/>
                      <w:highlight w:val="none"/>
                      <w:lang w:val="en-US" w:eastAsia="zh-CN"/>
                    </w:rPr>
                  </w:pPr>
                  <w:r>
                    <w:rPr>
                      <w:rFonts w:hint="eastAsia"/>
                      <w:lang w:val="en-US" w:eastAsia="zh-CN"/>
                    </w:rPr>
                    <w:t>0.0026</w:t>
                  </w:r>
                </w:p>
              </w:tc>
              <w:tc>
                <w:tcPr>
                  <w:tcW w:w="505" w:type="pct"/>
                  <w:tcBorders>
                    <w:tl2br w:val="nil"/>
                    <w:tr2bl w:val="nil"/>
                  </w:tcBorders>
                  <w:vAlign w:val="center"/>
                </w:tcPr>
                <w:p w14:paraId="00FD7FD3">
                  <w:pPr>
                    <w:pStyle w:val="5"/>
                    <w:bidi w:val="0"/>
                    <w:rPr>
                      <w:rFonts w:hint="eastAsia"/>
                      <w:lang w:val="en-US" w:eastAsia="zh-CN"/>
                    </w:rPr>
                  </w:pPr>
                  <w:r>
                    <w:rPr>
                      <w:rFonts w:hint="eastAsia"/>
                      <w:lang w:val="en-US" w:eastAsia="zh-CN"/>
                    </w:rPr>
                    <w:t>+0</w:t>
                  </w:r>
                </w:p>
              </w:tc>
            </w:tr>
            <w:tr w14:paraId="3CB3C26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534" w:hRule="atLeast"/>
              </w:trPr>
              <w:tc>
                <w:tcPr>
                  <w:tcW w:w="561" w:type="pct"/>
                  <w:vMerge w:val="continue"/>
                  <w:tcBorders>
                    <w:tl2br w:val="nil"/>
                    <w:tr2bl w:val="nil"/>
                  </w:tcBorders>
                  <w:vAlign w:val="center"/>
                </w:tcPr>
                <w:p w14:paraId="5C971B86">
                  <w:pPr>
                    <w:pStyle w:val="5"/>
                    <w:bidi w:val="0"/>
                    <w:rPr>
                      <w:rFonts w:hint="eastAsia" w:eastAsia="宋体"/>
                      <w:lang w:eastAsia="zh-CN"/>
                    </w:rPr>
                  </w:pPr>
                </w:p>
              </w:tc>
              <w:tc>
                <w:tcPr>
                  <w:tcW w:w="588" w:type="pct"/>
                  <w:tcBorders>
                    <w:tl2br w:val="nil"/>
                    <w:tr2bl w:val="nil"/>
                  </w:tcBorders>
                  <w:vAlign w:val="center"/>
                </w:tcPr>
                <w:p w14:paraId="5BB4BA70">
                  <w:pPr>
                    <w:pStyle w:val="5"/>
                    <w:bidi w:val="0"/>
                    <w:ind w:firstLine="0" w:firstLineChars="0"/>
                    <w:jc w:val="center"/>
                    <w:rPr>
                      <w:rFonts w:hint="default"/>
                      <w:lang w:val="en-US" w:eastAsia="zh-CN"/>
                    </w:rPr>
                  </w:pPr>
                  <w:r>
                    <w:rPr>
                      <w:rFonts w:hint="eastAsia"/>
                      <w:lang w:val="en-US" w:eastAsia="zh-CN"/>
                    </w:rPr>
                    <w:t>SS</w:t>
                  </w:r>
                </w:p>
              </w:tc>
              <w:tc>
                <w:tcPr>
                  <w:tcW w:w="586" w:type="pct"/>
                  <w:tcBorders>
                    <w:tl2br w:val="nil"/>
                    <w:tr2bl w:val="nil"/>
                  </w:tcBorders>
                  <w:shd w:val="clear" w:color="auto" w:fill="auto"/>
                  <w:vAlign w:val="center"/>
                </w:tcPr>
                <w:p w14:paraId="797496A7">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0.1382</w:t>
                  </w:r>
                </w:p>
              </w:tc>
              <w:tc>
                <w:tcPr>
                  <w:tcW w:w="631" w:type="pct"/>
                  <w:tcBorders>
                    <w:tl2br w:val="nil"/>
                    <w:tr2bl w:val="nil"/>
                  </w:tcBorders>
                  <w:vAlign w:val="center"/>
                </w:tcPr>
                <w:p w14:paraId="248B67CA">
                  <w:pPr>
                    <w:pStyle w:val="5"/>
                    <w:bidi w:val="0"/>
                    <w:ind w:firstLine="0" w:firstLineChars="0"/>
                    <w:rPr>
                      <w:rFonts w:hint="eastAsia" w:eastAsia="宋体"/>
                      <w:lang w:val="en-US" w:eastAsia="zh-CN"/>
                    </w:rPr>
                  </w:pPr>
                  <w:r>
                    <w:rPr>
                      <w:rFonts w:hint="eastAsia"/>
                      <w:lang w:val="en-US" w:eastAsia="zh-CN"/>
                    </w:rPr>
                    <w:t>/</w:t>
                  </w:r>
                </w:p>
              </w:tc>
              <w:tc>
                <w:tcPr>
                  <w:tcW w:w="663" w:type="pct"/>
                  <w:tcBorders>
                    <w:tl2br w:val="nil"/>
                    <w:tr2bl w:val="nil"/>
                  </w:tcBorders>
                  <w:vAlign w:val="center"/>
                </w:tcPr>
                <w:p w14:paraId="5F7FD1F1">
                  <w:pPr>
                    <w:pStyle w:val="5"/>
                    <w:bidi w:val="0"/>
                    <w:ind w:firstLine="0" w:firstLineChars="0"/>
                    <w:rPr>
                      <w:rFonts w:hint="eastAsia" w:eastAsia="宋体"/>
                      <w:lang w:val="en-US" w:eastAsia="zh-CN"/>
                    </w:rPr>
                  </w:pPr>
                  <w:r>
                    <w:rPr>
                      <w:rFonts w:hint="eastAsia"/>
                      <w:lang w:val="en-US" w:eastAsia="zh-CN"/>
                    </w:rPr>
                    <w:t>0</w:t>
                  </w:r>
                </w:p>
              </w:tc>
              <w:tc>
                <w:tcPr>
                  <w:tcW w:w="549" w:type="pct"/>
                  <w:tcBorders>
                    <w:tl2br w:val="nil"/>
                    <w:tr2bl w:val="nil"/>
                  </w:tcBorders>
                  <w:vAlign w:val="center"/>
                </w:tcPr>
                <w:p w14:paraId="44F10410">
                  <w:pPr>
                    <w:pStyle w:val="5"/>
                    <w:bidi w:val="0"/>
                    <w:ind w:firstLine="0" w:firstLineChars="0"/>
                    <w:rPr>
                      <w:rFonts w:hint="default" w:eastAsia="宋体"/>
                      <w:lang w:val="en-US" w:eastAsia="zh-CN"/>
                    </w:rPr>
                  </w:pPr>
                  <w:r>
                    <w:rPr>
                      <w:rFonts w:hint="eastAsia"/>
                      <w:lang w:val="en-US" w:eastAsia="zh-CN"/>
                    </w:rPr>
                    <w:t>0</w:t>
                  </w:r>
                </w:p>
              </w:tc>
              <w:tc>
                <w:tcPr>
                  <w:tcW w:w="914" w:type="pct"/>
                  <w:tcBorders>
                    <w:tl2br w:val="nil"/>
                    <w:tr2bl w:val="nil"/>
                  </w:tcBorders>
                  <w:vAlign w:val="center"/>
                </w:tcPr>
                <w:p w14:paraId="7BC5FAB6">
                  <w:pPr>
                    <w:pStyle w:val="5"/>
                    <w:bidi w:val="0"/>
                    <w:ind w:firstLine="0" w:firstLineChars="0"/>
                    <w:rPr>
                      <w:rFonts w:hint="default"/>
                      <w:lang w:val="en-US" w:eastAsia="zh-CN"/>
                    </w:rPr>
                  </w:pPr>
                  <w:r>
                    <w:rPr>
                      <w:rFonts w:hint="eastAsia"/>
                      <w:lang w:val="en-US" w:eastAsia="zh-CN"/>
                    </w:rPr>
                    <w:t>0.1382</w:t>
                  </w:r>
                </w:p>
              </w:tc>
              <w:tc>
                <w:tcPr>
                  <w:tcW w:w="505" w:type="pct"/>
                  <w:tcBorders>
                    <w:tl2br w:val="nil"/>
                    <w:tr2bl w:val="nil"/>
                  </w:tcBorders>
                  <w:vAlign w:val="center"/>
                </w:tcPr>
                <w:p w14:paraId="3316723B">
                  <w:pPr>
                    <w:pStyle w:val="5"/>
                    <w:bidi w:val="0"/>
                    <w:rPr>
                      <w:rFonts w:hint="eastAsia" w:eastAsia="宋体"/>
                      <w:lang w:val="en-US" w:eastAsia="zh-CN"/>
                    </w:rPr>
                  </w:pPr>
                  <w:r>
                    <w:rPr>
                      <w:rFonts w:hint="eastAsia"/>
                      <w:lang w:val="en-US" w:eastAsia="zh-CN"/>
                    </w:rPr>
                    <w:t>+0</w:t>
                  </w:r>
                </w:p>
              </w:tc>
            </w:tr>
            <w:tr w14:paraId="12B8D67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1149" w:type="pct"/>
                  <w:gridSpan w:val="2"/>
                  <w:tcBorders>
                    <w:tl2br w:val="nil"/>
                    <w:tr2bl w:val="nil"/>
                  </w:tcBorders>
                  <w:vAlign w:val="center"/>
                </w:tcPr>
                <w:p w14:paraId="11BE60A0">
                  <w:pPr>
                    <w:pStyle w:val="5"/>
                    <w:bidi w:val="0"/>
                  </w:pPr>
                  <w:r>
                    <w:rPr>
                      <w:rFonts w:hint="eastAsia"/>
                      <w:lang w:val="en-US" w:eastAsia="zh-CN"/>
                    </w:rPr>
                    <w:t>一般工业固废</w:t>
                  </w:r>
                </w:p>
              </w:tc>
              <w:tc>
                <w:tcPr>
                  <w:tcW w:w="586" w:type="pct"/>
                  <w:tcBorders>
                    <w:tl2br w:val="nil"/>
                    <w:tr2bl w:val="nil"/>
                  </w:tcBorders>
                  <w:vAlign w:val="center"/>
                </w:tcPr>
                <w:p w14:paraId="6C664609">
                  <w:pPr>
                    <w:pStyle w:val="5"/>
                    <w:bidi w:val="0"/>
                    <w:rPr>
                      <w:rFonts w:hint="default"/>
                      <w:lang w:val="en-US" w:eastAsia="zh-CN"/>
                    </w:rPr>
                  </w:pPr>
                  <w:r>
                    <w:rPr>
                      <w:rFonts w:hint="eastAsia"/>
                      <w:lang w:val="en-US" w:eastAsia="zh-CN"/>
                    </w:rPr>
                    <w:t>1.76</w:t>
                  </w:r>
                </w:p>
              </w:tc>
              <w:tc>
                <w:tcPr>
                  <w:tcW w:w="631" w:type="pct"/>
                  <w:tcBorders>
                    <w:tl2br w:val="nil"/>
                    <w:tr2bl w:val="nil"/>
                  </w:tcBorders>
                  <w:vAlign w:val="center"/>
                </w:tcPr>
                <w:p w14:paraId="0841BA27">
                  <w:pPr>
                    <w:pStyle w:val="5"/>
                    <w:bidi w:val="0"/>
                    <w:rPr>
                      <w:rFonts w:hint="eastAsia"/>
                      <w:lang w:val="en-US" w:eastAsia="zh-CN"/>
                    </w:rPr>
                  </w:pPr>
                  <w:r>
                    <w:rPr>
                      <w:rFonts w:hint="eastAsia"/>
                      <w:lang w:val="en-US" w:eastAsia="zh-CN"/>
                    </w:rPr>
                    <w:t>/</w:t>
                  </w:r>
                </w:p>
              </w:tc>
              <w:tc>
                <w:tcPr>
                  <w:tcW w:w="663" w:type="pct"/>
                  <w:tcBorders>
                    <w:tl2br w:val="nil"/>
                    <w:tr2bl w:val="nil"/>
                  </w:tcBorders>
                  <w:vAlign w:val="center"/>
                </w:tcPr>
                <w:p w14:paraId="1C3384C7">
                  <w:pPr>
                    <w:pStyle w:val="5"/>
                    <w:bidi w:val="0"/>
                    <w:rPr>
                      <w:rFonts w:hint="eastAsia"/>
                      <w:lang w:val="en-US" w:eastAsia="zh-CN"/>
                    </w:rPr>
                  </w:pPr>
                  <w:r>
                    <w:rPr>
                      <w:rFonts w:hint="eastAsia"/>
                      <w:lang w:val="en-US" w:eastAsia="zh-CN"/>
                    </w:rPr>
                    <w:t>0</w:t>
                  </w:r>
                </w:p>
              </w:tc>
              <w:tc>
                <w:tcPr>
                  <w:tcW w:w="549" w:type="pct"/>
                  <w:tcBorders>
                    <w:tl2br w:val="nil"/>
                    <w:tr2bl w:val="nil"/>
                  </w:tcBorders>
                  <w:vAlign w:val="center"/>
                </w:tcPr>
                <w:p w14:paraId="02F42702">
                  <w:pPr>
                    <w:pStyle w:val="5"/>
                    <w:bidi w:val="0"/>
                    <w:rPr>
                      <w:rFonts w:hint="default"/>
                      <w:lang w:val="en-US" w:eastAsia="zh-CN"/>
                    </w:rPr>
                  </w:pPr>
                  <w:r>
                    <w:rPr>
                      <w:rFonts w:hint="eastAsia"/>
                      <w:lang w:val="en-US" w:eastAsia="zh-CN"/>
                    </w:rPr>
                    <w:t>+0.6</w:t>
                  </w:r>
                </w:p>
              </w:tc>
              <w:tc>
                <w:tcPr>
                  <w:tcW w:w="914" w:type="pct"/>
                  <w:tcBorders>
                    <w:tl2br w:val="nil"/>
                    <w:tr2bl w:val="nil"/>
                  </w:tcBorders>
                  <w:vAlign w:val="center"/>
                </w:tcPr>
                <w:p w14:paraId="2F629BF8">
                  <w:pPr>
                    <w:pStyle w:val="5"/>
                    <w:bidi w:val="0"/>
                    <w:rPr>
                      <w:rFonts w:hint="default"/>
                      <w:lang w:val="en-US" w:eastAsia="zh-CN"/>
                    </w:rPr>
                  </w:pPr>
                  <w:r>
                    <w:rPr>
                      <w:rFonts w:hint="eastAsia"/>
                      <w:lang w:val="en-US" w:eastAsia="zh-CN"/>
                    </w:rPr>
                    <w:t>2.36</w:t>
                  </w:r>
                </w:p>
              </w:tc>
              <w:tc>
                <w:tcPr>
                  <w:tcW w:w="505" w:type="pct"/>
                  <w:tcBorders>
                    <w:tl2br w:val="nil"/>
                    <w:tr2bl w:val="nil"/>
                  </w:tcBorders>
                  <w:vAlign w:val="center"/>
                </w:tcPr>
                <w:p w14:paraId="33F32FC6">
                  <w:pPr>
                    <w:pStyle w:val="5"/>
                    <w:bidi w:val="0"/>
                    <w:rPr>
                      <w:rFonts w:hint="default"/>
                      <w:lang w:val="en-US" w:eastAsia="zh-CN"/>
                    </w:rPr>
                  </w:pPr>
                  <w:r>
                    <w:rPr>
                      <w:rFonts w:hint="eastAsia"/>
                      <w:lang w:val="en-US" w:eastAsia="zh-CN"/>
                    </w:rPr>
                    <w:t>+0.6</w:t>
                  </w:r>
                </w:p>
              </w:tc>
            </w:tr>
            <w:tr w14:paraId="1944EFC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1149" w:type="pct"/>
                  <w:gridSpan w:val="2"/>
                  <w:tcBorders>
                    <w:tl2br w:val="nil"/>
                    <w:tr2bl w:val="nil"/>
                  </w:tcBorders>
                  <w:vAlign w:val="center"/>
                </w:tcPr>
                <w:p w14:paraId="458DF85B">
                  <w:pPr>
                    <w:pStyle w:val="5"/>
                    <w:bidi w:val="0"/>
                  </w:pPr>
                  <w:r>
                    <w:rPr>
                      <w:rFonts w:hint="eastAsia"/>
                      <w:lang w:val="en-US" w:eastAsia="zh-CN"/>
                    </w:rPr>
                    <w:t>危险废物</w:t>
                  </w:r>
                </w:p>
              </w:tc>
              <w:tc>
                <w:tcPr>
                  <w:tcW w:w="586" w:type="pct"/>
                  <w:tcBorders>
                    <w:tl2br w:val="nil"/>
                    <w:tr2bl w:val="nil"/>
                  </w:tcBorders>
                  <w:vAlign w:val="center"/>
                </w:tcPr>
                <w:p w14:paraId="0967FA8A">
                  <w:pPr>
                    <w:pStyle w:val="5"/>
                    <w:bidi w:val="0"/>
                    <w:rPr>
                      <w:rFonts w:hint="default"/>
                      <w:lang w:val="en-US" w:eastAsia="zh-CN"/>
                    </w:rPr>
                  </w:pPr>
                  <w:r>
                    <w:rPr>
                      <w:rFonts w:hint="eastAsia"/>
                      <w:lang w:val="en-US" w:eastAsia="zh-CN"/>
                    </w:rPr>
                    <w:t>0</w:t>
                  </w:r>
                </w:p>
              </w:tc>
              <w:tc>
                <w:tcPr>
                  <w:tcW w:w="631" w:type="pct"/>
                  <w:tcBorders>
                    <w:tl2br w:val="nil"/>
                    <w:tr2bl w:val="nil"/>
                  </w:tcBorders>
                  <w:vAlign w:val="center"/>
                </w:tcPr>
                <w:p w14:paraId="0E3F640A">
                  <w:pPr>
                    <w:pStyle w:val="5"/>
                    <w:bidi w:val="0"/>
                    <w:rPr>
                      <w:rFonts w:hint="eastAsia"/>
                    </w:rPr>
                  </w:pPr>
                  <w:r>
                    <w:rPr>
                      <w:rFonts w:hint="eastAsia"/>
                      <w:lang w:val="en-US" w:eastAsia="zh-CN"/>
                    </w:rPr>
                    <w:t>/</w:t>
                  </w:r>
                </w:p>
              </w:tc>
              <w:tc>
                <w:tcPr>
                  <w:tcW w:w="663" w:type="pct"/>
                  <w:tcBorders>
                    <w:tl2br w:val="nil"/>
                    <w:tr2bl w:val="nil"/>
                  </w:tcBorders>
                  <w:vAlign w:val="center"/>
                </w:tcPr>
                <w:p w14:paraId="53383C97">
                  <w:pPr>
                    <w:pStyle w:val="5"/>
                    <w:bidi w:val="0"/>
                    <w:rPr>
                      <w:rFonts w:hint="eastAsia"/>
                    </w:rPr>
                  </w:pPr>
                  <w:r>
                    <w:rPr>
                      <w:rFonts w:hint="eastAsia"/>
                      <w:lang w:val="en-US" w:eastAsia="zh-CN"/>
                    </w:rPr>
                    <w:t>0</w:t>
                  </w:r>
                </w:p>
              </w:tc>
              <w:tc>
                <w:tcPr>
                  <w:tcW w:w="549" w:type="pct"/>
                  <w:tcBorders>
                    <w:tl2br w:val="nil"/>
                    <w:tr2bl w:val="nil"/>
                  </w:tcBorders>
                  <w:vAlign w:val="center"/>
                </w:tcPr>
                <w:p w14:paraId="56A3D6C4">
                  <w:pPr>
                    <w:pStyle w:val="5"/>
                    <w:bidi w:val="0"/>
                    <w:rPr>
                      <w:rFonts w:hint="default"/>
                      <w:lang w:val="en-US" w:eastAsia="zh-CN"/>
                    </w:rPr>
                  </w:pPr>
                  <w:r>
                    <w:rPr>
                      <w:rFonts w:hint="eastAsia"/>
                      <w:lang w:val="en-US" w:eastAsia="zh-CN"/>
                    </w:rPr>
                    <w:t>1.482</w:t>
                  </w:r>
                </w:p>
              </w:tc>
              <w:tc>
                <w:tcPr>
                  <w:tcW w:w="914" w:type="pct"/>
                  <w:tcBorders>
                    <w:tl2br w:val="nil"/>
                    <w:tr2bl w:val="nil"/>
                  </w:tcBorders>
                  <w:vAlign w:val="center"/>
                </w:tcPr>
                <w:p w14:paraId="12CA9002">
                  <w:pPr>
                    <w:pStyle w:val="5"/>
                    <w:bidi w:val="0"/>
                    <w:rPr>
                      <w:rFonts w:hint="default"/>
                      <w:lang w:val="en-US" w:eastAsia="zh-CN"/>
                    </w:rPr>
                  </w:pPr>
                  <w:r>
                    <w:rPr>
                      <w:rFonts w:hint="eastAsia"/>
                      <w:lang w:val="en-US" w:eastAsia="zh-CN"/>
                    </w:rPr>
                    <w:t>1.482</w:t>
                  </w:r>
                </w:p>
              </w:tc>
              <w:tc>
                <w:tcPr>
                  <w:tcW w:w="505" w:type="pct"/>
                  <w:tcBorders>
                    <w:tl2br w:val="nil"/>
                    <w:tr2bl w:val="nil"/>
                  </w:tcBorders>
                  <w:vAlign w:val="center"/>
                </w:tcPr>
                <w:p w14:paraId="2E6CFB8E">
                  <w:pPr>
                    <w:pStyle w:val="5"/>
                    <w:bidi w:val="0"/>
                    <w:rPr>
                      <w:rFonts w:hint="default"/>
                      <w:lang w:val="en-US" w:eastAsia="zh-CN"/>
                    </w:rPr>
                  </w:pPr>
                  <w:r>
                    <w:rPr>
                      <w:rFonts w:hint="eastAsia"/>
                      <w:lang w:val="en-US" w:eastAsia="zh-CN"/>
                    </w:rPr>
                    <w:t>+1.482</w:t>
                  </w:r>
                </w:p>
              </w:tc>
            </w:tr>
            <w:tr w14:paraId="5C013D5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trPr>
              <w:tc>
                <w:tcPr>
                  <w:tcW w:w="1149" w:type="pct"/>
                  <w:gridSpan w:val="2"/>
                  <w:tcBorders>
                    <w:tl2br w:val="nil"/>
                    <w:tr2bl w:val="nil"/>
                  </w:tcBorders>
                  <w:vAlign w:val="center"/>
                </w:tcPr>
                <w:p w14:paraId="1A2DE689">
                  <w:pPr>
                    <w:pStyle w:val="5"/>
                    <w:bidi w:val="0"/>
                  </w:pPr>
                  <w:r>
                    <w:rPr>
                      <w:rFonts w:hint="eastAsia"/>
                      <w:lang w:val="en-US" w:eastAsia="zh-CN"/>
                    </w:rPr>
                    <w:t>生活垃圾</w:t>
                  </w:r>
                </w:p>
              </w:tc>
              <w:tc>
                <w:tcPr>
                  <w:tcW w:w="586" w:type="pct"/>
                  <w:tcBorders>
                    <w:tl2br w:val="nil"/>
                    <w:tr2bl w:val="nil"/>
                  </w:tcBorders>
                  <w:vAlign w:val="center"/>
                </w:tcPr>
                <w:p w14:paraId="41466BB8">
                  <w:pPr>
                    <w:pStyle w:val="5"/>
                    <w:bidi w:val="0"/>
                    <w:rPr>
                      <w:rFonts w:hint="default"/>
                      <w:lang w:val="en-US" w:eastAsia="zh-CN"/>
                    </w:rPr>
                  </w:pPr>
                  <w:r>
                    <w:rPr>
                      <w:rFonts w:hint="eastAsia"/>
                      <w:lang w:val="en-US" w:eastAsia="zh-CN"/>
                    </w:rPr>
                    <w:t>15</w:t>
                  </w:r>
                </w:p>
              </w:tc>
              <w:tc>
                <w:tcPr>
                  <w:tcW w:w="631" w:type="pct"/>
                  <w:tcBorders>
                    <w:tl2br w:val="nil"/>
                    <w:tr2bl w:val="nil"/>
                  </w:tcBorders>
                  <w:vAlign w:val="center"/>
                </w:tcPr>
                <w:p w14:paraId="62F40130">
                  <w:pPr>
                    <w:pStyle w:val="5"/>
                    <w:bidi w:val="0"/>
                    <w:rPr>
                      <w:rFonts w:hint="eastAsia"/>
                    </w:rPr>
                  </w:pPr>
                  <w:r>
                    <w:rPr>
                      <w:rFonts w:hint="eastAsia"/>
                      <w:lang w:val="en-US" w:eastAsia="zh-CN"/>
                    </w:rPr>
                    <w:t>/</w:t>
                  </w:r>
                </w:p>
              </w:tc>
              <w:tc>
                <w:tcPr>
                  <w:tcW w:w="663" w:type="pct"/>
                  <w:tcBorders>
                    <w:tl2br w:val="nil"/>
                    <w:tr2bl w:val="nil"/>
                  </w:tcBorders>
                  <w:vAlign w:val="center"/>
                </w:tcPr>
                <w:p w14:paraId="1D99FB1D">
                  <w:pPr>
                    <w:pStyle w:val="5"/>
                    <w:bidi w:val="0"/>
                    <w:rPr>
                      <w:rFonts w:hint="default"/>
                      <w:lang w:val="en-US"/>
                    </w:rPr>
                  </w:pPr>
                  <w:r>
                    <w:rPr>
                      <w:rFonts w:hint="eastAsia"/>
                      <w:lang w:val="en-US" w:eastAsia="zh-CN"/>
                    </w:rPr>
                    <w:t>0</w:t>
                  </w:r>
                </w:p>
              </w:tc>
              <w:tc>
                <w:tcPr>
                  <w:tcW w:w="549" w:type="pct"/>
                  <w:tcBorders>
                    <w:tl2br w:val="nil"/>
                    <w:tr2bl w:val="nil"/>
                  </w:tcBorders>
                  <w:vAlign w:val="center"/>
                </w:tcPr>
                <w:p w14:paraId="79EBABB7">
                  <w:pPr>
                    <w:pStyle w:val="5"/>
                    <w:bidi w:val="0"/>
                    <w:rPr>
                      <w:rFonts w:hint="eastAsia"/>
                      <w:lang w:val="en-US" w:eastAsia="zh-CN"/>
                    </w:rPr>
                  </w:pPr>
                  <w:r>
                    <w:rPr>
                      <w:rFonts w:hint="eastAsia"/>
                      <w:lang w:val="en-US" w:eastAsia="zh-CN"/>
                    </w:rPr>
                    <w:t>0</w:t>
                  </w:r>
                </w:p>
              </w:tc>
              <w:tc>
                <w:tcPr>
                  <w:tcW w:w="914" w:type="pct"/>
                  <w:tcBorders>
                    <w:tl2br w:val="nil"/>
                    <w:tr2bl w:val="nil"/>
                  </w:tcBorders>
                  <w:vAlign w:val="center"/>
                </w:tcPr>
                <w:p w14:paraId="4F5F04DD">
                  <w:pPr>
                    <w:pStyle w:val="5"/>
                    <w:bidi w:val="0"/>
                    <w:rPr>
                      <w:rFonts w:hint="default"/>
                      <w:lang w:val="en-US" w:eastAsia="zh-CN"/>
                    </w:rPr>
                  </w:pPr>
                  <w:r>
                    <w:rPr>
                      <w:rFonts w:hint="eastAsia"/>
                      <w:lang w:val="en-US" w:eastAsia="zh-CN"/>
                    </w:rPr>
                    <w:t>15</w:t>
                  </w:r>
                </w:p>
              </w:tc>
              <w:tc>
                <w:tcPr>
                  <w:tcW w:w="505" w:type="pct"/>
                  <w:tcBorders>
                    <w:tl2br w:val="nil"/>
                    <w:tr2bl w:val="nil"/>
                  </w:tcBorders>
                  <w:vAlign w:val="center"/>
                </w:tcPr>
                <w:p w14:paraId="30C30C7F">
                  <w:pPr>
                    <w:pStyle w:val="5"/>
                    <w:bidi w:val="0"/>
                    <w:rPr>
                      <w:rFonts w:hint="eastAsia"/>
                      <w:lang w:val="en-US" w:eastAsia="zh-CN"/>
                    </w:rPr>
                  </w:pPr>
                  <w:r>
                    <w:rPr>
                      <w:rFonts w:hint="eastAsia"/>
                      <w:lang w:val="en-US" w:eastAsia="zh-CN"/>
                    </w:rPr>
                    <w:t>0</w:t>
                  </w:r>
                </w:p>
              </w:tc>
            </w:tr>
          </w:tbl>
          <w:p w14:paraId="36B55018">
            <w:pPr>
              <w:widowControl w:val="0"/>
              <w:wordWrap/>
              <w:spacing w:line="360" w:lineRule="auto"/>
              <w:ind w:firstLine="482" w:firstLineChars="200"/>
              <w:jc w:val="both"/>
              <w:rPr>
                <w:rFonts w:ascii="Times New Roman" w:hAnsi="Times New Roman" w:eastAsia="宋体" w:cs="Times New Roman"/>
                <w:b/>
                <w:bCs/>
                <w:color w:val="auto"/>
                <w:kern w:val="24"/>
                <w:sz w:val="24"/>
                <w:lang w:val="en-US" w:eastAsia="zh-CN" w:bidi="ar-SA"/>
              </w:rPr>
            </w:pPr>
            <w:r>
              <w:rPr>
                <w:rFonts w:hint="eastAsia" w:ascii="Times New Roman" w:hAnsi="Times New Roman" w:eastAsia="宋体" w:cs="Times New Roman"/>
                <w:b/>
                <w:bCs/>
                <w:color w:val="auto"/>
                <w:kern w:val="24"/>
                <w:sz w:val="24"/>
                <w:lang w:val="en-US" w:eastAsia="zh-CN" w:bidi="ar-SA"/>
              </w:rPr>
              <w:t>9、环保投资估算</w:t>
            </w:r>
          </w:p>
          <w:p w14:paraId="4CCE3366">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r>
              <w:rPr>
                <w:rFonts w:ascii="Times New Roman" w:hAnsi="Times New Roman" w:eastAsia="宋体" w:cs="Times New Roman"/>
                <w:color w:val="auto"/>
                <w:kern w:val="24"/>
                <w:sz w:val="24"/>
                <w:lang w:val="en-US" w:eastAsia="zh-CN" w:bidi="ar-SA"/>
              </w:rPr>
              <w:t>本项目总投资</w:t>
            </w:r>
            <w:r>
              <w:rPr>
                <w:rFonts w:hint="eastAsia" w:cs="Times New Roman"/>
                <w:color w:val="auto"/>
                <w:kern w:val="24"/>
                <w:sz w:val="24"/>
                <w:lang w:val="en-US" w:eastAsia="zh-CN" w:bidi="ar-SA"/>
              </w:rPr>
              <w:t>875</w:t>
            </w:r>
            <w:r>
              <w:rPr>
                <w:rFonts w:ascii="Times New Roman" w:hAnsi="Times New Roman" w:eastAsia="宋体" w:cs="Times New Roman"/>
                <w:color w:val="auto"/>
                <w:kern w:val="24"/>
                <w:sz w:val="24"/>
                <w:lang w:val="en-US" w:eastAsia="zh-CN" w:bidi="ar-SA"/>
              </w:rPr>
              <w:t>万元，环保</w:t>
            </w:r>
            <w:r>
              <w:rPr>
                <w:rFonts w:hint="eastAsia" w:ascii="Times New Roman" w:hAnsi="Times New Roman" w:eastAsia="宋体" w:cs="Times New Roman"/>
                <w:color w:val="auto"/>
                <w:kern w:val="24"/>
                <w:sz w:val="24"/>
                <w:lang w:val="en-US" w:eastAsia="zh-CN" w:bidi="ar-SA"/>
              </w:rPr>
              <w:t>新增</w:t>
            </w:r>
            <w:r>
              <w:rPr>
                <w:rFonts w:ascii="Times New Roman" w:hAnsi="Times New Roman" w:eastAsia="宋体" w:cs="Times New Roman"/>
                <w:color w:val="auto"/>
                <w:kern w:val="24"/>
                <w:sz w:val="24"/>
                <w:highlight w:val="none"/>
                <w:lang w:val="en-US" w:eastAsia="zh-CN" w:bidi="ar-SA"/>
              </w:rPr>
              <w:t>投资</w:t>
            </w:r>
            <w:r>
              <w:rPr>
                <w:rFonts w:hint="eastAsia" w:cs="Times New Roman"/>
                <w:color w:val="auto"/>
                <w:kern w:val="24"/>
                <w:sz w:val="24"/>
                <w:highlight w:val="none"/>
                <w:lang w:val="en-US" w:eastAsia="zh-CN" w:bidi="ar-SA"/>
              </w:rPr>
              <w:t>35</w:t>
            </w:r>
            <w:r>
              <w:rPr>
                <w:rFonts w:ascii="Times New Roman" w:hAnsi="Times New Roman" w:eastAsia="宋体" w:cs="Times New Roman"/>
                <w:color w:val="auto"/>
                <w:kern w:val="24"/>
                <w:sz w:val="24"/>
                <w:highlight w:val="none"/>
                <w:lang w:val="en-US" w:eastAsia="zh-CN" w:bidi="ar-SA"/>
              </w:rPr>
              <w:t>万元，占总投资的</w:t>
            </w:r>
            <w:r>
              <w:rPr>
                <w:rFonts w:hint="eastAsia" w:cs="Times New Roman"/>
                <w:color w:val="auto"/>
                <w:kern w:val="24"/>
                <w:sz w:val="24"/>
                <w:highlight w:val="none"/>
                <w:lang w:val="en-US" w:eastAsia="zh-CN" w:bidi="ar-SA"/>
              </w:rPr>
              <w:t>4</w:t>
            </w:r>
            <w:r>
              <w:rPr>
                <w:rFonts w:ascii="Times New Roman" w:hAnsi="Times New Roman" w:eastAsia="宋体" w:cs="Times New Roman"/>
                <w:color w:val="auto"/>
                <w:kern w:val="24"/>
                <w:sz w:val="24"/>
                <w:highlight w:val="none"/>
                <w:lang w:val="en-US" w:eastAsia="zh-CN" w:bidi="ar-SA"/>
              </w:rPr>
              <w:t>%。环保设</w:t>
            </w:r>
            <w:r>
              <w:rPr>
                <w:rFonts w:ascii="Times New Roman" w:hAnsi="Times New Roman" w:eastAsia="宋体" w:cs="Times New Roman"/>
                <w:color w:val="auto"/>
                <w:kern w:val="24"/>
                <w:sz w:val="24"/>
                <w:lang w:val="en-US" w:eastAsia="zh-CN" w:bidi="ar-SA"/>
              </w:rPr>
              <w:t>施及投资估算见下表。</w:t>
            </w:r>
          </w:p>
          <w:p w14:paraId="249E4FD9">
            <w:pPr>
              <w:pStyle w:val="7"/>
              <w:bidi w:val="0"/>
              <w:rPr>
                <w:lang w:val="en-US" w:eastAsia="zh-CN"/>
              </w:rPr>
            </w:pPr>
            <w:r>
              <w:rPr>
                <w:lang w:val="en-US" w:eastAsia="zh-CN"/>
              </w:rPr>
              <w:t>表</w:t>
            </w:r>
            <w:r>
              <w:rPr>
                <w:rFonts w:hint="eastAsia"/>
                <w:lang w:val="en-US" w:eastAsia="zh-CN"/>
              </w:rPr>
              <w:t xml:space="preserve">4-21  </w:t>
            </w:r>
            <w:r>
              <w:rPr>
                <w:lang w:val="en-US" w:eastAsia="zh-CN"/>
              </w:rPr>
              <w:t>环保设施（措施）及投资估算一览表</w:t>
            </w:r>
            <w:r>
              <w:rPr>
                <w:rFonts w:hint="eastAsia"/>
                <w:lang w:val="en-US" w:eastAsia="zh-CN"/>
              </w:rPr>
              <w:t xml:space="preserve">     </w:t>
            </w:r>
            <w:r>
              <w:rPr>
                <w:lang w:val="en-US" w:eastAsia="zh-CN"/>
              </w:rPr>
              <w:t>单位：万元</w:t>
            </w:r>
          </w:p>
          <w:tbl>
            <w:tblPr>
              <w:tblStyle w:val="31"/>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81"/>
              <w:gridCol w:w="1503"/>
              <w:gridCol w:w="4248"/>
              <w:gridCol w:w="804"/>
              <w:gridCol w:w="938"/>
            </w:tblGrid>
            <w:tr w14:paraId="118BF5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81" w:type="pct"/>
                  <w:tcBorders>
                    <w:tl2br w:val="nil"/>
                    <w:tr2bl w:val="nil"/>
                  </w:tcBorders>
                  <w:vAlign w:val="center"/>
                </w:tcPr>
                <w:p w14:paraId="69F24E76">
                  <w:pPr>
                    <w:pStyle w:val="5"/>
                    <w:bidi w:val="0"/>
                    <w:rPr>
                      <w:b/>
                      <w:bCs/>
                      <w:lang w:val="en-US" w:eastAsia="zh-CN"/>
                    </w:rPr>
                  </w:pPr>
                  <w:r>
                    <w:rPr>
                      <w:rFonts w:hint="eastAsia"/>
                      <w:b/>
                      <w:bCs/>
                      <w:lang w:val="en-US" w:eastAsia="zh-CN"/>
                    </w:rPr>
                    <w:t>时期</w:t>
                  </w:r>
                </w:p>
              </w:tc>
              <w:tc>
                <w:tcPr>
                  <w:tcW w:w="1234" w:type="pct"/>
                  <w:gridSpan w:val="2"/>
                  <w:tcBorders>
                    <w:tl2br w:val="nil"/>
                    <w:tr2bl w:val="nil"/>
                  </w:tcBorders>
                  <w:vAlign w:val="center"/>
                </w:tcPr>
                <w:p w14:paraId="2C37DEA2">
                  <w:pPr>
                    <w:pStyle w:val="5"/>
                    <w:bidi w:val="0"/>
                    <w:rPr>
                      <w:b/>
                      <w:bCs/>
                      <w:lang w:val="en-US" w:eastAsia="zh-CN"/>
                    </w:rPr>
                  </w:pPr>
                  <w:r>
                    <w:rPr>
                      <w:rFonts w:hint="eastAsia"/>
                      <w:b/>
                      <w:bCs/>
                      <w:lang w:val="en-US" w:eastAsia="zh-CN"/>
                    </w:rPr>
                    <w:t>项目</w:t>
                  </w:r>
                </w:p>
              </w:tc>
              <w:tc>
                <w:tcPr>
                  <w:tcW w:w="2399" w:type="pct"/>
                  <w:tcBorders>
                    <w:tl2br w:val="nil"/>
                    <w:tr2bl w:val="nil"/>
                  </w:tcBorders>
                  <w:vAlign w:val="center"/>
                </w:tcPr>
                <w:p w14:paraId="24A6F931">
                  <w:pPr>
                    <w:pStyle w:val="5"/>
                    <w:bidi w:val="0"/>
                    <w:rPr>
                      <w:b/>
                      <w:bCs/>
                      <w:lang w:val="en-US" w:eastAsia="zh-CN"/>
                    </w:rPr>
                  </w:pPr>
                  <w:r>
                    <w:rPr>
                      <w:b/>
                      <w:bCs/>
                      <w:lang w:val="en-US" w:eastAsia="zh-CN"/>
                    </w:rPr>
                    <w:t>环保设施（措施）</w:t>
                  </w:r>
                </w:p>
              </w:tc>
              <w:tc>
                <w:tcPr>
                  <w:tcW w:w="454" w:type="pct"/>
                  <w:tcBorders>
                    <w:tl2br w:val="nil"/>
                    <w:tr2bl w:val="nil"/>
                  </w:tcBorders>
                  <w:vAlign w:val="center"/>
                </w:tcPr>
                <w:p w14:paraId="5853DA59">
                  <w:pPr>
                    <w:pStyle w:val="5"/>
                    <w:bidi w:val="0"/>
                    <w:rPr>
                      <w:b/>
                      <w:bCs/>
                      <w:lang w:val="en-US" w:eastAsia="zh-CN"/>
                    </w:rPr>
                  </w:pPr>
                  <w:r>
                    <w:rPr>
                      <w:rFonts w:hint="eastAsia"/>
                      <w:b/>
                      <w:bCs/>
                      <w:lang w:val="en-US" w:eastAsia="zh-CN"/>
                    </w:rPr>
                    <w:t>投资</w:t>
                  </w:r>
                </w:p>
              </w:tc>
              <w:tc>
                <w:tcPr>
                  <w:tcW w:w="530" w:type="pct"/>
                  <w:tcBorders>
                    <w:tl2br w:val="nil"/>
                    <w:tr2bl w:val="nil"/>
                  </w:tcBorders>
                  <w:vAlign w:val="center"/>
                </w:tcPr>
                <w:p w14:paraId="30E03E1E">
                  <w:pPr>
                    <w:pStyle w:val="5"/>
                    <w:bidi w:val="0"/>
                    <w:rPr>
                      <w:b/>
                      <w:bCs/>
                      <w:lang w:val="en-US" w:eastAsia="zh-CN"/>
                    </w:rPr>
                  </w:pPr>
                  <w:r>
                    <w:rPr>
                      <w:rFonts w:hint="eastAsia"/>
                      <w:b/>
                      <w:bCs/>
                      <w:lang w:val="en-US" w:eastAsia="zh-CN"/>
                    </w:rPr>
                    <w:t>备注</w:t>
                  </w:r>
                </w:p>
              </w:tc>
            </w:tr>
            <w:tr w14:paraId="18F24E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restart"/>
                  <w:tcBorders>
                    <w:tl2br w:val="nil"/>
                    <w:tr2bl w:val="nil"/>
                  </w:tcBorders>
                  <w:vAlign w:val="center"/>
                </w:tcPr>
                <w:p w14:paraId="18B8194C">
                  <w:pPr>
                    <w:pStyle w:val="5"/>
                    <w:bidi w:val="0"/>
                    <w:rPr>
                      <w:lang w:val="en-US" w:eastAsia="zh-CN"/>
                    </w:rPr>
                  </w:pPr>
                  <w:r>
                    <w:rPr>
                      <w:rFonts w:hint="eastAsia"/>
                      <w:lang w:val="en-US" w:eastAsia="zh-CN"/>
                    </w:rPr>
                    <w:t>营运期</w:t>
                  </w:r>
                </w:p>
              </w:tc>
              <w:tc>
                <w:tcPr>
                  <w:tcW w:w="385" w:type="pct"/>
                  <w:tcBorders>
                    <w:tl2br w:val="nil"/>
                    <w:tr2bl w:val="nil"/>
                  </w:tcBorders>
                  <w:vAlign w:val="center"/>
                </w:tcPr>
                <w:p w14:paraId="2F28BDFE">
                  <w:pPr>
                    <w:pStyle w:val="5"/>
                    <w:bidi w:val="0"/>
                    <w:rPr>
                      <w:lang w:val="en-US" w:eastAsia="zh-CN"/>
                    </w:rPr>
                  </w:pPr>
                  <w:r>
                    <w:rPr>
                      <w:rFonts w:hint="eastAsia"/>
                      <w:lang w:val="en-US" w:eastAsia="zh-CN"/>
                    </w:rPr>
                    <w:t>废气治理</w:t>
                  </w:r>
                </w:p>
              </w:tc>
              <w:tc>
                <w:tcPr>
                  <w:tcW w:w="849" w:type="pct"/>
                  <w:tcBorders>
                    <w:tl2br w:val="nil"/>
                    <w:tr2bl w:val="nil"/>
                  </w:tcBorders>
                  <w:vAlign w:val="center"/>
                </w:tcPr>
                <w:p w14:paraId="74328B1C">
                  <w:pPr>
                    <w:pStyle w:val="5"/>
                    <w:bidi w:val="0"/>
                    <w:rPr>
                      <w:lang w:val="en-US" w:eastAsia="zh-CN"/>
                    </w:rPr>
                  </w:pPr>
                  <w:r>
                    <w:rPr>
                      <w:rFonts w:hint="eastAsia"/>
                      <w:lang w:val="en-US" w:eastAsia="zh-CN"/>
                    </w:rPr>
                    <w:t>固化废气</w:t>
                  </w:r>
                </w:p>
              </w:tc>
              <w:tc>
                <w:tcPr>
                  <w:tcW w:w="2399" w:type="pct"/>
                  <w:tcBorders>
                    <w:tl2br w:val="nil"/>
                    <w:tr2bl w:val="nil"/>
                  </w:tcBorders>
                  <w:vAlign w:val="center"/>
                </w:tcPr>
                <w:p w14:paraId="62DEB9B3">
                  <w:pPr>
                    <w:pStyle w:val="5"/>
                    <w:bidi w:val="0"/>
                    <w:jc w:val="both"/>
                    <w:rPr>
                      <w:rFonts w:hint="default"/>
                      <w:lang w:val="en-US" w:eastAsia="zh-CN"/>
                    </w:rPr>
                  </w:pPr>
                  <w:r>
                    <w:rPr>
                      <w:rFonts w:hint="eastAsia"/>
                      <w:color w:val="auto"/>
                      <w:szCs w:val="20"/>
                    </w:rPr>
                    <w:t>新增1套</w:t>
                  </w:r>
                  <w:r>
                    <w:rPr>
                      <w:rFonts w:hint="eastAsia"/>
                      <w:color w:val="auto"/>
                      <w:szCs w:val="20"/>
                      <w:lang w:val="en-US" w:eastAsia="zh-CN"/>
                    </w:rPr>
                    <w:t>密闭管道收集装置和1套</w:t>
                  </w:r>
                  <w:r>
                    <w:rPr>
                      <w:rFonts w:hint="eastAsia"/>
                      <w:color w:val="auto"/>
                      <w:szCs w:val="20"/>
                    </w:rPr>
                    <w:t>二级活性炭装置（TA00</w:t>
                  </w:r>
                  <w:r>
                    <w:rPr>
                      <w:rFonts w:hint="eastAsia"/>
                      <w:color w:val="auto"/>
                      <w:szCs w:val="20"/>
                      <w:lang w:val="en-US" w:eastAsia="zh-CN"/>
                    </w:rPr>
                    <w:t>1</w:t>
                  </w:r>
                  <w:r>
                    <w:rPr>
                      <w:rFonts w:hint="eastAsia"/>
                      <w:color w:val="auto"/>
                      <w:szCs w:val="20"/>
                      <w:lang w:eastAsia="zh-CN"/>
                    </w:rPr>
                    <w:t>，</w:t>
                  </w:r>
                  <w:r>
                    <w:rPr>
                      <w:rFonts w:hint="eastAsia"/>
                      <w:color w:val="auto"/>
                      <w:szCs w:val="20"/>
                      <w:lang w:val="en-US" w:eastAsia="zh-CN"/>
                    </w:rPr>
                    <w:t>设计风量500</w:t>
                  </w:r>
                  <w:r>
                    <w:rPr>
                      <w:rFonts w:hint="eastAsia"/>
                      <w:color w:val="auto"/>
                    </w:rPr>
                    <w:t>m</w:t>
                  </w:r>
                  <w:r>
                    <w:rPr>
                      <w:rFonts w:hint="eastAsia"/>
                      <w:color w:val="auto"/>
                      <w:vertAlign w:val="superscript"/>
                    </w:rPr>
                    <w:t>3</w:t>
                  </w:r>
                  <w:r>
                    <w:rPr>
                      <w:rFonts w:hint="eastAsia"/>
                      <w:color w:val="auto"/>
                    </w:rPr>
                    <w:t>/h</w:t>
                  </w:r>
                  <w:r>
                    <w:rPr>
                      <w:rFonts w:hint="eastAsia"/>
                      <w:color w:val="auto"/>
                      <w:szCs w:val="20"/>
                    </w:rPr>
                    <w:t>）处理后，通过</w:t>
                  </w:r>
                  <w:r>
                    <w:rPr>
                      <w:rFonts w:hint="eastAsia"/>
                      <w:color w:val="auto"/>
                      <w:szCs w:val="20"/>
                      <w:lang w:val="en-US" w:eastAsia="zh-CN"/>
                    </w:rPr>
                    <w:t>25</w:t>
                  </w:r>
                  <w:r>
                    <w:rPr>
                      <w:rFonts w:hint="eastAsia"/>
                      <w:color w:val="auto"/>
                      <w:szCs w:val="20"/>
                    </w:rPr>
                    <w:t>m高排气筒</w:t>
                  </w:r>
                  <w:r>
                    <w:rPr>
                      <w:rFonts w:hint="eastAsia"/>
                      <w:color w:val="auto"/>
                    </w:rPr>
                    <w:t>（DA00</w:t>
                  </w:r>
                  <w:r>
                    <w:rPr>
                      <w:rFonts w:hint="eastAsia"/>
                      <w:color w:val="auto"/>
                      <w:lang w:val="en-US" w:eastAsia="zh-CN"/>
                    </w:rPr>
                    <w:t>1</w:t>
                  </w:r>
                  <w:r>
                    <w:rPr>
                      <w:rFonts w:hint="eastAsia"/>
                      <w:color w:val="auto"/>
                    </w:rPr>
                    <w:t>）</w:t>
                  </w:r>
                  <w:r>
                    <w:rPr>
                      <w:rFonts w:hint="eastAsia"/>
                      <w:color w:val="auto"/>
                      <w:szCs w:val="20"/>
                    </w:rPr>
                    <w:t>排放。</w:t>
                  </w:r>
                </w:p>
              </w:tc>
              <w:tc>
                <w:tcPr>
                  <w:tcW w:w="454" w:type="pct"/>
                  <w:tcBorders>
                    <w:tl2br w:val="nil"/>
                    <w:tr2bl w:val="nil"/>
                  </w:tcBorders>
                  <w:vAlign w:val="center"/>
                </w:tcPr>
                <w:p w14:paraId="4FF8583F">
                  <w:pPr>
                    <w:pStyle w:val="5"/>
                    <w:bidi w:val="0"/>
                    <w:rPr>
                      <w:rFonts w:hint="default"/>
                      <w:lang w:val="en-US" w:eastAsia="zh-CN"/>
                    </w:rPr>
                  </w:pPr>
                  <w:r>
                    <w:rPr>
                      <w:rFonts w:hint="eastAsia"/>
                      <w:lang w:val="en-US" w:eastAsia="zh-CN"/>
                    </w:rPr>
                    <w:t>10</w:t>
                  </w:r>
                </w:p>
              </w:tc>
              <w:tc>
                <w:tcPr>
                  <w:tcW w:w="530" w:type="pct"/>
                  <w:tcBorders>
                    <w:tl2br w:val="nil"/>
                    <w:tr2bl w:val="nil"/>
                  </w:tcBorders>
                  <w:vAlign w:val="center"/>
                </w:tcPr>
                <w:p w14:paraId="163129DB">
                  <w:pPr>
                    <w:pStyle w:val="5"/>
                    <w:bidi w:val="0"/>
                    <w:rPr>
                      <w:lang w:val="en-US" w:eastAsia="zh-CN"/>
                    </w:rPr>
                  </w:pPr>
                  <w:r>
                    <w:rPr>
                      <w:rFonts w:hint="eastAsia"/>
                      <w:lang w:val="en-US" w:eastAsia="zh-CN"/>
                    </w:rPr>
                    <w:t>新增</w:t>
                  </w:r>
                </w:p>
              </w:tc>
            </w:tr>
            <w:tr w14:paraId="2C1C48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tcBorders>
                    <w:tl2br w:val="nil"/>
                    <w:tr2bl w:val="nil"/>
                  </w:tcBorders>
                  <w:vAlign w:val="center"/>
                </w:tcPr>
                <w:p w14:paraId="4100B697">
                  <w:pPr>
                    <w:pStyle w:val="5"/>
                    <w:bidi w:val="0"/>
                    <w:rPr>
                      <w:rFonts w:hint="eastAsia"/>
                      <w:lang w:val="en-US" w:eastAsia="zh-CN"/>
                    </w:rPr>
                  </w:pPr>
                </w:p>
              </w:tc>
              <w:tc>
                <w:tcPr>
                  <w:tcW w:w="385" w:type="pct"/>
                  <w:tcBorders>
                    <w:tl2br w:val="nil"/>
                    <w:tr2bl w:val="nil"/>
                  </w:tcBorders>
                  <w:vAlign w:val="center"/>
                </w:tcPr>
                <w:p w14:paraId="740846B3">
                  <w:pPr>
                    <w:pStyle w:val="5"/>
                    <w:bidi w:val="0"/>
                    <w:rPr>
                      <w:rFonts w:hint="default"/>
                      <w:lang w:val="en-US" w:eastAsia="zh-CN"/>
                    </w:rPr>
                  </w:pPr>
                  <w:r>
                    <w:rPr>
                      <w:rFonts w:hint="eastAsia"/>
                      <w:lang w:val="en-US" w:eastAsia="zh-CN"/>
                    </w:rPr>
                    <w:t>废水治理</w:t>
                  </w:r>
                </w:p>
              </w:tc>
              <w:tc>
                <w:tcPr>
                  <w:tcW w:w="849" w:type="pct"/>
                  <w:tcBorders>
                    <w:tl2br w:val="nil"/>
                    <w:tr2bl w:val="nil"/>
                  </w:tcBorders>
                  <w:vAlign w:val="center"/>
                </w:tcPr>
                <w:p w14:paraId="3F6F08C8">
                  <w:pPr>
                    <w:pStyle w:val="5"/>
                    <w:bidi w:val="0"/>
                    <w:rPr>
                      <w:rFonts w:hint="default"/>
                      <w:lang w:val="en-US" w:eastAsia="zh-CN"/>
                    </w:rPr>
                  </w:pPr>
                  <w:r>
                    <w:rPr>
                      <w:rFonts w:hint="eastAsia"/>
                      <w:lang w:val="en-US" w:eastAsia="zh-CN"/>
                    </w:rPr>
                    <w:t>生活污水</w:t>
                  </w:r>
                </w:p>
              </w:tc>
              <w:tc>
                <w:tcPr>
                  <w:tcW w:w="2399" w:type="pct"/>
                  <w:tcBorders>
                    <w:tl2br w:val="nil"/>
                    <w:tr2bl w:val="nil"/>
                  </w:tcBorders>
                  <w:vAlign w:val="center"/>
                </w:tcPr>
                <w:p w14:paraId="46382D8F">
                  <w:pPr>
                    <w:pStyle w:val="5"/>
                    <w:bidi w:val="0"/>
                    <w:jc w:val="both"/>
                    <w:rPr>
                      <w:rFonts w:hint="eastAsia"/>
                      <w:lang w:val="en-US" w:eastAsia="zh-CN"/>
                    </w:rPr>
                  </w:pPr>
                  <w:r>
                    <w:rPr>
                      <w:rFonts w:hint="eastAsia"/>
                      <w:lang w:val="en-US" w:eastAsia="zh-CN"/>
                    </w:rPr>
                    <w:t>生活污水经园区已建的一体化处理设施处理达到《污水综合排放标准》（GB8978-1996）三级标准后，排入园区市政污水管网，输送至魏兴场镇污水处理厂处理后达《城镇污水处理厂污染物排放标准》（GB18918—2002）一级A标准后，最终排入州河。</w:t>
                  </w:r>
                </w:p>
              </w:tc>
              <w:tc>
                <w:tcPr>
                  <w:tcW w:w="454" w:type="pct"/>
                  <w:tcBorders>
                    <w:tl2br w:val="nil"/>
                    <w:tr2bl w:val="nil"/>
                  </w:tcBorders>
                  <w:vAlign w:val="center"/>
                </w:tcPr>
                <w:p w14:paraId="799E507A">
                  <w:pPr>
                    <w:pStyle w:val="5"/>
                    <w:bidi w:val="0"/>
                    <w:rPr>
                      <w:rFonts w:hint="default"/>
                      <w:lang w:val="en-US" w:eastAsia="zh-CN"/>
                    </w:rPr>
                  </w:pPr>
                  <w:r>
                    <w:rPr>
                      <w:rFonts w:hint="eastAsia"/>
                      <w:lang w:val="en-US" w:eastAsia="zh-CN"/>
                    </w:rPr>
                    <w:t>/</w:t>
                  </w:r>
                </w:p>
              </w:tc>
              <w:tc>
                <w:tcPr>
                  <w:tcW w:w="530" w:type="pct"/>
                  <w:tcBorders>
                    <w:tl2br w:val="nil"/>
                    <w:tr2bl w:val="nil"/>
                  </w:tcBorders>
                  <w:vAlign w:val="center"/>
                </w:tcPr>
                <w:p w14:paraId="58317B60">
                  <w:pPr>
                    <w:pStyle w:val="5"/>
                    <w:bidi w:val="0"/>
                    <w:rPr>
                      <w:rFonts w:hint="eastAsia"/>
                      <w:lang w:val="en-US" w:eastAsia="zh-CN"/>
                    </w:rPr>
                  </w:pPr>
                  <w:r>
                    <w:rPr>
                      <w:rFonts w:hint="eastAsia"/>
                      <w:lang w:val="en-US" w:eastAsia="zh-CN"/>
                    </w:rPr>
                    <w:t>依托</w:t>
                  </w:r>
                </w:p>
              </w:tc>
            </w:tr>
            <w:tr w14:paraId="6D744C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tcBorders>
                    <w:tl2br w:val="nil"/>
                    <w:tr2bl w:val="nil"/>
                  </w:tcBorders>
                  <w:vAlign w:val="center"/>
                </w:tcPr>
                <w:p w14:paraId="6170E3D6">
                  <w:pPr>
                    <w:pStyle w:val="5"/>
                    <w:bidi w:val="0"/>
                    <w:rPr>
                      <w:rFonts w:hint="eastAsia"/>
                      <w:lang w:val="en-US" w:eastAsia="zh-CN"/>
                    </w:rPr>
                  </w:pPr>
                </w:p>
              </w:tc>
              <w:tc>
                <w:tcPr>
                  <w:tcW w:w="385" w:type="pct"/>
                  <w:vMerge w:val="restart"/>
                  <w:tcBorders>
                    <w:tl2br w:val="nil"/>
                    <w:tr2bl w:val="nil"/>
                  </w:tcBorders>
                  <w:vAlign w:val="center"/>
                </w:tcPr>
                <w:p w14:paraId="230631F7">
                  <w:pPr>
                    <w:pStyle w:val="5"/>
                    <w:bidi w:val="0"/>
                    <w:jc w:val="center"/>
                    <w:rPr>
                      <w:rFonts w:hint="default"/>
                      <w:lang w:val="en-US" w:eastAsia="zh-CN"/>
                    </w:rPr>
                  </w:pPr>
                  <w:r>
                    <w:rPr>
                      <w:rFonts w:hint="eastAsia"/>
                      <w:lang w:val="en-US" w:eastAsia="zh-CN"/>
                    </w:rPr>
                    <w:t>固体废物</w:t>
                  </w:r>
                </w:p>
              </w:tc>
              <w:tc>
                <w:tcPr>
                  <w:tcW w:w="849" w:type="pct"/>
                  <w:tcBorders>
                    <w:tl2br w:val="nil"/>
                    <w:tr2bl w:val="nil"/>
                  </w:tcBorders>
                  <w:shd w:val="clear" w:color="auto" w:fill="auto"/>
                  <w:vAlign w:val="center"/>
                </w:tcPr>
                <w:p w14:paraId="791F1F58">
                  <w:pPr>
                    <w:pStyle w:val="5"/>
                    <w:bidi w:val="0"/>
                    <w:rPr>
                      <w:rFonts w:hint="eastAsia"/>
                      <w:lang w:val="en-US" w:eastAsia="zh-CN"/>
                    </w:rPr>
                  </w:pPr>
                  <w:r>
                    <w:rPr>
                      <w:lang w:val="en-US" w:eastAsia="zh-CN"/>
                    </w:rPr>
                    <w:t>生活垃圾</w:t>
                  </w:r>
                </w:p>
              </w:tc>
              <w:tc>
                <w:tcPr>
                  <w:tcW w:w="2399" w:type="pct"/>
                  <w:tcBorders>
                    <w:tl2br w:val="nil"/>
                    <w:tr2bl w:val="nil"/>
                  </w:tcBorders>
                  <w:shd w:val="clear" w:color="auto" w:fill="auto"/>
                  <w:vAlign w:val="center"/>
                </w:tcPr>
                <w:p w14:paraId="098EAE7C">
                  <w:pPr>
                    <w:pStyle w:val="5"/>
                    <w:bidi w:val="0"/>
                    <w:jc w:val="both"/>
                    <w:rPr>
                      <w:rFonts w:hint="eastAsia"/>
                      <w:lang w:val="en-US" w:eastAsia="zh-CN"/>
                    </w:rPr>
                  </w:pPr>
                  <w:r>
                    <w:rPr>
                      <w:rFonts w:hint="eastAsia"/>
                      <w:lang w:val="en-US" w:eastAsia="zh-CN"/>
                    </w:rPr>
                    <w:t>收集于园区垃圾收集点，交由环卫部门统一处理。</w:t>
                  </w:r>
                </w:p>
              </w:tc>
              <w:tc>
                <w:tcPr>
                  <w:tcW w:w="454" w:type="pct"/>
                  <w:tcBorders>
                    <w:tl2br w:val="nil"/>
                    <w:tr2bl w:val="nil"/>
                  </w:tcBorders>
                  <w:shd w:val="clear" w:color="auto" w:fill="auto"/>
                  <w:vAlign w:val="center"/>
                </w:tcPr>
                <w:p w14:paraId="38BA87DC">
                  <w:pPr>
                    <w:pStyle w:val="5"/>
                    <w:bidi w:val="0"/>
                    <w:rPr>
                      <w:rFonts w:hint="eastAsia"/>
                      <w:lang w:val="en-US" w:eastAsia="zh-CN"/>
                    </w:rPr>
                  </w:pPr>
                  <w:r>
                    <w:rPr>
                      <w:rFonts w:hint="eastAsia"/>
                      <w:lang w:val="en-US" w:eastAsia="zh-CN"/>
                    </w:rPr>
                    <w:t>/</w:t>
                  </w:r>
                </w:p>
              </w:tc>
              <w:tc>
                <w:tcPr>
                  <w:tcW w:w="530" w:type="pct"/>
                  <w:tcBorders>
                    <w:tl2br w:val="nil"/>
                    <w:tr2bl w:val="nil"/>
                  </w:tcBorders>
                  <w:shd w:val="clear" w:color="auto" w:fill="auto"/>
                  <w:vAlign w:val="center"/>
                </w:tcPr>
                <w:p w14:paraId="632003E8">
                  <w:pPr>
                    <w:pStyle w:val="5"/>
                    <w:bidi w:val="0"/>
                    <w:rPr>
                      <w:rFonts w:hint="eastAsia"/>
                      <w:lang w:val="en-US" w:eastAsia="zh-CN"/>
                    </w:rPr>
                  </w:pPr>
                  <w:r>
                    <w:rPr>
                      <w:rFonts w:hint="eastAsia"/>
                      <w:lang w:val="en-US" w:eastAsia="zh-CN"/>
                    </w:rPr>
                    <w:t>依托</w:t>
                  </w:r>
                </w:p>
              </w:tc>
            </w:tr>
            <w:tr w14:paraId="00AD46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tcBorders>
                    <w:tl2br w:val="nil"/>
                    <w:tr2bl w:val="nil"/>
                  </w:tcBorders>
                  <w:vAlign w:val="center"/>
                </w:tcPr>
                <w:p w14:paraId="683A070E">
                  <w:pPr>
                    <w:pStyle w:val="5"/>
                    <w:bidi w:val="0"/>
                    <w:rPr>
                      <w:rFonts w:hint="eastAsia"/>
                      <w:lang w:val="en-US" w:eastAsia="zh-CN"/>
                    </w:rPr>
                  </w:pPr>
                </w:p>
              </w:tc>
              <w:tc>
                <w:tcPr>
                  <w:tcW w:w="385" w:type="pct"/>
                  <w:vMerge w:val="continue"/>
                  <w:tcBorders>
                    <w:tl2br w:val="nil"/>
                    <w:tr2bl w:val="nil"/>
                  </w:tcBorders>
                  <w:vAlign w:val="center"/>
                </w:tcPr>
                <w:p w14:paraId="7C6603DC">
                  <w:pPr>
                    <w:pStyle w:val="5"/>
                    <w:bidi w:val="0"/>
                    <w:rPr>
                      <w:rFonts w:hint="eastAsia"/>
                      <w:lang w:val="en-US" w:eastAsia="zh-CN"/>
                    </w:rPr>
                  </w:pPr>
                </w:p>
              </w:tc>
              <w:tc>
                <w:tcPr>
                  <w:tcW w:w="849" w:type="pct"/>
                  <w:tcBorders>
                    <w:tl2br w:val="nil"/>
                    <w:tr2bl w:val="nil"/>
                  </w:tcBorders>
                  <w:shd w:val="clear" w:color="auto" w:fill="auto"/>
                  <w:vAlign w:val="center"/>
                </w:tcPr>
                <w:p w14:paraId="52094DCD">
                  <w:pPr>
                    <w:pStyle w:val="5"/>
                    <w:bidi w:val="0"/>
                    <w:rPr>
                      <w:rFonts w:hint="default"/>
                      <w:lang w:val="en-US" w:eastAsia="zh-CN"/>
                    </w:rPr>
                  </w:pPr>
                  <w:r>
                    <w:rPr>
                      <w:rFonts w:hint="eastAsia"/>
                      <w:lang w:val="en-US" w:eastAsia="zh-CN"/>
                    </w:rPr>
                    <w:t>一般固体废物</w:t>
                  </w:r>
                </w:p>
              </w:tc>
              <w:tc>
                <w:tcPr>
                  <w:tcW w:w="2399" w:type="pct"/>
                  <w:tcBorders>
                    <w:tl2br w:val="nil"/>
                    <w:tr2bl w:val="nil"/>
                  </w:tcBorders>
                  <w:shd w:val="clear" w:color="auto" w:fill="auto"/>
                  <w:vAlign w:val="center"/>
                </w:tcPr>
                <w:p w14:paraId="5A6505B2">
                  <w:pPr>
                    <w:pStyle w:val="5"/>
                    <w:bidi w:val="0"/>
                    <w:jc w:val="both"/>
                    <w:rPr>
                      <w:rFonts w:hint="eastAsia" w:eastAsia="宋体"/>
                      <w:lang w:val="en-US" w:eastAsia="zh-CN"/>
                    </w:rPr>
                  </w:pPr>
                  <w:r>
                    <w:rPr>
                      <w:rFonts w:hint="eastAsia"/>
                      <w:kern w:val="0"/>
                      <w:szCs w:val="21"/>
                      <w:lang w:bidi="ar"/>
                    </w:rPr>
                    <w:t>收集后暂存于一般固废暂存点，定期外售处置</w:t>
                  </w:r>
                  <w:r>
                    <w:rPr>
                      <w:rFonts w:hint="eastAsia"/>
                      <w:kern w:val="0"/>
                      <w:szCs w:val="21"/>
                      <w:lang w:eastAsia="zh-CN" w:bidi="ar"/>
                    </w:rPr>
                    <w:t>。</w:t>
                  </w:r>
                </w:p>
              </w:tc>
              <w:tc>
                <w:tcPr>
                  <w:tcW w:w="454" w:type="pct"/>
                  <w:tcBorders>
                    <w:tl2br w:val="nil"/>
                    <w:tr2bl w:val="nil"/>
                  </w:tcBorders>
                  <w:shd w:val="clear" w:color="auto" w:fill="auto"/>
                  <w:vAlign w:val="center"/>
                </w:tcPr>
                <w:p w14:paraId="4D8934E1">
                  <w:pPr>
                    <w:pStyle w:val="5"/>
                    <w:bidi w:val="0"/>
                    <w:rPr>
                      <w:rFonts w:hint="default"/>
                      <w:lang w:val="en-US" w:eastAsia="zh-CN"/>
                    </w:rPr>
                  </w:pPr>
                  <w:r>
                    <w:rPr>
                      <w:rFonts w:hint="eastAsia"/>
                      <w:lang w:val="en-US" w:eastAsia="zh-CN"/>
                    </w:rPr>
                    <w:t>/</w:t>
                  </w:r>
                </w:p>
              </w:tc>
              <w:tc>
                <w:tcPr>
                  <w:tcW w:w="530" w:type="pct"/>
                  <w:tcBorders>
                    <w:tl2br w:val="nil"/>
                    <w:tr2bl w:val="nil"/>
                  </w:tcBorders>
                  <w:shd w:val="clear" w:color="auto" w:fill="auto"/>
                  <w:vAlign w:val="center"/>
                </w:tcPr>
                <w:p w14:paraId="52A667B9">
                  <w:pPr>
                    <w:pStyle w:val="5"/>
                    <w:bidi w:val="0"/>
                    <w:rPr>
                      <w:rFonts w:hint="default"/>
                      <w:lang w:val="en-US" w:eastAsia="zh-CN"/>
                    </w:rPr>
                  </w:pPr>
                  <w:r>
                    <w:rPr>
                      <w:rFonts w:hint="eastAsia"/>
                      <w:lang w:val="en-US" w:eastAsia="zh-CN"/>
                    </w:rPr>
                    <w:t>依托</w:t>
                  </w:r>
                </w:p>
              </w:tc>
            </w:tr>
            <w:tr w14:paraId="5533A1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tcBorders>
                    <w:tl2br w:val="nil"/>
                    <w:tr2bl w:val="nil"/>
                  </w:tcBorders>
                  <w:vAlign w:val="center"/>
                </w:tcPr>
                <w:p w14:paraId="5A37DD71">
                  <w:pPr>
                    <w:pStyle w:val="5"/>
                    <w:bidi w:val="0"/>
                    <w:rPr>
                      <w:rFonts w:hint="eastAsia"/>
                      <w:lang w:val="en-US" w:eastAsia="zh-CN"/>
                    </w:rPr>
                  </w:pPr>
                </w:p>
              </w:tc>
              <w:tc>
                <w:tcPr>
                  <w:tcW w:w="385" w:type="pct"/>
                  <w:vMerge w:val="continue"/>
                  <w:tcBorders>
                    <w:tl2br w:val="nil"/>
                    <w:tr2bl w:val="nil"/>
                  </w:tcBorders>
                  <w:vAlign w:val="center"/>
                </w:tcPr>
                <w:p w14:paraId="44989121">
                  <w:pPr>
                    <w:pStyle w:val="5"/>
                    <w:bidi w:val="0"/>
                    <w:rPr>
                      <w:rFonts w:hint="eastAsia"/>
                      <w:lang w:val="en-US" w:eastAsia="zh-CN"/>
                    </w:rPr>
                  </w:pPr>
                </w:p>
              </w:tc>
              <w:tc>
                <w:tcPr>
                  <w:tcW w:w="849" w:type="pct"/>
                  <w:tcBorders>
                    <w:tl2br w:val="nil"/>
                    <w:tr2bl w:val="nil"/>
                  </w:tcBorders>
                  <w:shd w:val="clear" w:color="auto" w:fill="auto"/>
                  <w:vAlign w:val="center"/>
                </w:tcPr>
                <w:p w14:paraId="379209AA">
                  <w:pPr>
                    <w:pStyle w:val="5"/>
                    <w:bidi w:val="0"/>
                    <w:rPr>
                      <w:rFonts w:hint="default"/>
                      <w:lang w:val="en-US" w:eastAsia="zh-CN"/>
                    </w:rPr>
                  </w:pPr>
                  <w:r>
                    <w:rPr>
                      <w:rFonts w:hint="eastAsia"/>
                      <w:lang w:val="en-US" w:eastAsia="zh-CN"/>
                    </w:rPr>
                    <w:t>危险废物</w:t>
                  </w:r>
                </w:p>
              </w:tc>
              <w:tc>
                <w:tcPr>
                  <w:tcW w:w="2399" w:type="pct"/>
                  <w:tcBorders>
                    <w:tl2br w:val="nil"/>
                    <w:tr2bl w:val="nil"/>
                  </w:tcBorders>
                  <w:shd w:val="clear" w:color="auto" w:fill="auto"/>
                  <w:vAlign w:val="center"/>
                </w:tcPr>
                <w:p w14:paraId="4927014E">
                  <w:pPr>
                    <w:pStyle w:val="5"/>
                    <w:bidi w:val="0"/>
                    <w:jc w:val="both"/>
                    <w:rPr>
                      <w:rFonts w:hint="eastAsia" w:eastAsia="宋体"/>
                      <w:lang w:val="en-US" w:eastAsia="zh-CN"/>
                    </w:rPr>
                  </w:pPr>
                  <w:r>
                    <w:rPr>
                      <w:rFonts w:hint="eastAsia"/>
                    </w:rPr>
                    <w:t>分类</w:t>
                  </w:r>
                  <w:r>
                    <w:t>收集后暂存于危废暂存间，交由危废资质单位处理</w:t>
                  </w:r>
                  <w:r>
                    <w:rPr>
                      <w:rFonts w:hint="eastAsia"/>
                      <w:lang w:eastAsia="zh-CN"/>
                    </w:rPr>
                    <w:t>。</w:t>
                  </w:r>
                </w:p>
              </w:tc>
              <w:tc>
                <w:tcPr>
                  <w:tcW w:w="454" w:type="pct"/>
                  <w:tcBorders>
                    <w:tl2br w:val="nil"/>
                    <w:tr2bl w:val="nil"/>
                  </w:tcBorders>
                  <w:shd w:val="clear" w:color="auto" w:fill="auto"/>
                  <w:vAlign w:val="center"/>
                </w:tcPr>
                <w:p w14:paraId="149DB745">
                  <w:pPr>
                    <w:pStyle w:val="5"/>
                    <w:bidi w:val="0"/>
                    <w:rPr>
                      <w:rFonts w:hint="default"/>
                      <w:lang w:val="en-US" w:eastAsia="zh-CN"/>
                    </w:rPr>
                  </w:pPr>
                  <w:r>
                    <w:rPr>
                      <w:rFonts w:hint="eastAsia"/>
                      <w:lang w:val="en-US" w:eastAsia="zh-CN"/>
                    </w:rPr>
                    <w:t>6</w:t>
                  </w:r>
                </w:p>
              </w:tc>
              <w:tc>
                <w:tcPr>
                  <w:tcW w:w="530" w:type="pct"/>
                  <w:tcBorders>
                    <w:tl2br w:val="nil"/>
                    <w:tr2bl w:val="nil"/>
                  </w:tcBorders>
                  <w:shd w:val="clear" w:color="auto" w:fill="auto"/>
                  <w:vAlign w:val="center"/>
                </w:tcPr>
                <w:p w14:paraId="28E01DDE">
                  <w:pPr>
                    <w:pStyle w:val="5"/>
                    <w:bidi w:val="0"/>
                    <w:rPr>
                      <w:rFonts w:hint="eastAsia"/>
                      <w:lang w:val="en-US" w:eastAsia="zh-CN"/>
                    </w:rPr>
                  </w:pPr>
                  <w:r>
                    <w:rPr>
                      <w:rFonts w:hint="eastAsia"/>
                      <w:lang w:val="en-US" w:eastAsia="zh-CN"/>
                    </w:rPr>
                    <w:t>新增</w:t>
                  </w:r>
                </w:p>
              </w:tc>
            </w:tr>
            <w:tr w14:paraId="547175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tcBorders>
                    <w:tl2br w:val="nil"/>
                    <w:tr2bl w:val="nil"/>
                  </w:tcBorders>
                  <w:vAlign w:val="center"/>
                </w:tcPr>
                <w:p w14:paraId="52692FB1">
                  <w:pPr>
                    <w:pStyle w:val="5"/>
                    <w:bidi w:val="0"/>
                    <w:rPr>
                      <w:rFonts w:hint="eastAsia"/>
                      <w:lang w:val="en-US" w:eastAsia="zh-CN"/>
                    </w:rPr>
                  </w:pPr>
                </w:p>
              </w:tc>
              <w:tc>
                <w:tcPr>
                  <w:tcW w:w="1234" w:type="pct"/>
                  <w:gridSpan w:val="2"/>
                  <w:tcBorders>
                    <w:tl2br w:val="nil"/>
                    <w:tr2bl w:val="nil"/>
                  </w:tcBorders>
                  <w:shd w:val="clear" w:color="auto" w:fill="auto"/>
                  <w:vAlign w:val="center"/>
                </w:tcPr>
                <w:p w14:paraId="16214057">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噪声防治</w:t>
                  </w:r>
                </w:p>
              </w:tc>
              <w:tc>
                <w:tcPr>
                  <w:tcW w:w="2399" w:type="pct"/>
                  <w:tcBorders>
                    <w:tl2br w:val="nil"/>
                    <w:tr2bl w:val="nil"/>
                  </w:tcBorders>
                  <w:shd w:val="clear" w:color="auto" w:fill="auto"/>
                  <w:vAlign w:val="center"/>
                </w:tcPr>
                <w:p w14:paraId="1C6106CC">
                  <w:pPr>
                    <w:pStyle w:val="5"/>
                    <w:bidi w:val="0"/>
                    <w:ind w:firstLine="0" w:firstLineChars="0"/>
                    <w:jc w:val="both"/>
                    <w:rPr>
                      <w:rFonts w:hint="eastAsia" w:ascii="Times New Roman" w:hAnsi="Times New Roman" w:eastAsia="宋体" w:cs="Times New Roman"/>
                      <w:kern w:val="2"/>
                      <w:sz w:val="21"/>
                      <w:lang w:val="en-US" w:eastAsia="zh-CN" w:bidi="ar-SA"/>
                    </w:rPr>
                  </w:pPr>
                  <w:r>
                    <w:rPr>
                      <w:lang w:val="en-US" w:eastAsia="zh-CN"/>
                    </w:rPr>
                    <w:t>选用低噪声设备、采取隔声减振措施，合理布局高噪声设备</w:t>
                  </w:r>
                  <w:r>
                    <w:rPr>
                      <w:rFonts w:hint="eastAsia"/>
                      <w:lang w:val="en-US" w:eastAsia="zh-CN"/>
                    </w:rPr>
                    <w:t>。</w:t>
                  </w:r>
                </w:p>
              </w:tc>
              <w:tc>
                <w:tcPr>
                  <w:tcW w:w="454" w:type="pct"/>
                  <w:tcBorders>
                    <w:tl2br w:val="nil"/>
                    <w:tr2bl w:val="nil"/>
                  </w:tcBorders>
                  <w:shd w:val="clear" w:color="auto" w:fill="auto"/>
                  <w:vAlign w:val="center"/>
                </w:tcPr>
                <w:p w14:paraId="77383444">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530" w:type="pct"/>
                  <w:tcBorders>
                    <w:tl2br w:val="nil"/>
                    <w:tr2bl w:val="nil"/>
                  </w:tcBorders>
                  <w:shd w:val="clear" w:color="auto" w:fill="auto"/>
                  <w:vAlign w:val="center"/>
                </w:tcPr>
                <w:p w14:paraId="50D24C31">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纳入主体投资</w:t>
                  </w:r>
                </w:p>
              </w:tc>
            </w:tr>
            <w:tr w14:paraId="207599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381" w:type="pct"/>
                  <w:vMerge w:val="continue"/>
                  <w:tcBorders>
                    <w:tl2br w:val="nil"/>
                    <w:tr2bl w:val="nil"/>
                  </w:tcBorders>
                  <w:vAlign w:val="center"/>
                </w:tcPr>
                <w:p w14:paraId="2644A2B5">
                  <w:pPr>
                    <w:pStyle w:val="5"/>
                    <w:bidi w:val="0"/>
                    <w:rPr>
                      <w:rFonts w:hint="eastAsia"/>
                      <w:lang w:val="en-US" w:eastAsia="zh-CN"/>
                    </w:rPr>
                  </w:pPr>
                </w:p>
              </w:tc>
              <w:tc>
                <w:tcPr>
                  <w:tcW w:w="1234" w:type="pct"/>
                  <w:gridSpan w:val="2"/>
                  <w:tcBorders>
                    <w:tl2br w:val="nil"/>
                    <w:tr2bl w:val="nil"/>
                  </w:tcBorders>
                  <w:shd w:val="clear" w:color="auto" w:fill="auto"/>
                  <w:vAlign w:val="center"/>
                </w:tcPr>
                <w:p w14:paraId="36CE0D5E">
                  <w:pPr>
                    <w:pStyle w:val="5"/>
                    <w:bidi w:val="0"/>
                    <w:ind w:firstLine="0" w:firstLineChars="0"/>
                    <w:rPr>
                      <w:rFonts w:hint="eastAsia" w:ascii="Times New Roman" w:hAnsi="Times New Roman" w:eastAsia="宋体" w:cs="Times New Roman"/>
                      <w:kern w:val="2"/>
                      <w:sz w:val="21"/>
                      <w:lang w:val="en-US" w:eastAsia="zh-CN" w:bidi="ar-SA"/>
                    </w:rPr>
                  </w:pPr>
                  <w:r>
                    <w:rPr>
                      <w:lang w:val="en-US" w:eastAsia="zh-CN"/>
                    </w:rPr>
                    <w:t>地下水污染防治措施</w:t>
                  </w:r>
                </w:p>
              </w:tc>
              <w:tc>
                <w:tcPr>
                  <w:tcW w:w="2399" w:type="pct"/>
                  <w:tcBorders>
                    <w:tl2br w:val="nil"/>
                    <w:tr2bl w:val="nil"/>
                  </w:tcBorders>
                  <w:shd w:val="clear" w:color="auto" w:fill="auto"/>
                  <w:vAlign w:val="center"/>
                </w:tcPr>
                <w:p w14:paraId="40721C5E">
                  <w:pPr>
                    <w:pStyle w:val="5"/>
                    <w:adjustRightInd w:val="0"/>
                    <w:snapToGrid w:val="0"/>
                    <w:ind w:firstLine="0" w:firstLineChars="0"/>
                    <w:jc w:val="both"/>
                    <w:rPr>
                      <w:rFonts w:hint="eastAsia" w:ascii="Times New Roman" w:hAnsi="Times New Roman" w:eastAsia="宋体" w:cs="Times New Roman"/>
                      <w:b w:val="0"/>
                      <w:bCs w:val="0"/>
                      <w:kern w:val="2"/>
                      <w:sz w:val="21"/>
                      <w:lang w:val="en-US" w:eastAsia="zh-CN" w:bidi="ar-SA"/>
                    </w:rPr>
                  </w:pPr>
                  <w:r>
                    <w:rPr>
                      <w:rFonts w:hint="eastAsia"/>
                      <w:lang w:val="en-US" w:eastAsia="zh-CN"/>
                    </w:rPr>
                    <w:t>重点防渗措施：原厂房对车间实行了</w:t>
                  </w:r>
                  <w:r>
                    <w:rPr>
                      <w:rFonts w:hint="default" w:ascii="Times New Roman" w:hAnsi="Times New Roman" w:eastAsia="宋体" w:cs="Times New Roman"/>
                      <w:color w:val="auto"/>
                      <w:highlight w:val="none"/>
                    </w:rPr>
                    <w:t>混凝土硬化</w:t>
                  </w:r>
                  <w:r>
                    <w:rPr>
                      <w:rFonts w:hint="eastAsia" w:cs="Times New Roman"/>
                      <w:color w:val="auto"/>
                      <w:highlight w:val="none"/>
                      <w:lang w:val="en-US" w:eastAsia="zh-CN"/>
                    </w:rPr>
                    <w:t>加</w:t>
                  </w:r>
                  <w:r>
                    <w:rPr>
                      <w:rFonts w:hint="eastAsia" w:eastAsia="宋体" w:cs="Times New Roman"/>
                      <w:color w:val="auto"/>
                      <w:highlight w:val="none"/>
                      <w:lang w:val="en-US" w:eastAsia="zh-CN"/>
                    </w:rPr>
                    <w:t>涂刷</w:t>
                  </w:r>
                  <w:r>
                    <w:rPr>
                      <w:rFonts w:hint="eastAsia" w:cs="Times New Roman"/>
                      <w:color w:val="auto"/>
                      <w:highlight w:val="none"/>
                      <w:lang w:val="en-US" w:eastAsia="zh-CN"/>
                    </w:rPr>
                    <w:t>2mm环氧树脂</w:t>
                  </w:r>
                  <w:r>
                    <w:rPr>
                      <w:rFonts w:hint="eastAsia" w:eastAsia="宋体" w:cs="Times New Roman"/>
                      <w:color w:val="auto"/>
                      <w:highlight w:val="none"/>
                      <w:lang w:val="en-US" w:eastAsia="zh-CN"/>
                    </w:rPr>
                    <w:t>地坪漆的防渗措施</w:t>
                  </w:r>
                  <w:r>
                    <w:rPr>
                      <w:rFonts w:hint="eastAsia" w:cs="Times New Roman"/>
                      <w:color w:val="auto"/>
                      <w:highlight w:val="none"/>
                      <w:lang w:val="en-US" w:eastAsia="zh-CN"/>
                    </w:rPr>
                    <w:t>。</w:t>
                  </w:r>
                </w:p>
              </w:tc>
              <w:tc>
                <w:tcPr>
                  <w:tcW w:w="454" w:type="pct"/>
                  <w:tcBorders>
                    <w:tl2br w:val="nil"/>
                    <w:tr2bl w:val="nil"/>
                  </w:tcBorders>
                  <w:shd w:val="clear" w:color="auto" w:fill="auto"/>
                  <w:vAlign w:val="center"/>
                </w:tcPr>
                <w:p w14:paraId="6DB96B86">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530" w:type="pct"/>
                  <w:tcBorders>
                    <w:tl2br w:val="nil"/>
                    <w:tr2bl w:val="nil"/>
                  </w:tcBorders>
                  <w:shd w:val="clear" w:color="auto" w:fill="auto"/>
                  <w:vAlign w:val="center"/>
                </w:tcPr>
                <w:p w14:paraId="3594A53E">
                  <w:pPr>
                    <w:pStyle w:val="5"/>
                    <w:bidi w:val="0"/>
                    <w:ind w:firstLine="0" w:firstLineChars="0"/>
                    <w:rPr>
                      <w:rFonts w:hint="eastAsia"/>
                      <w:lang w:val="en-US" w:eastAsia="zh-CN"/>
                    </w:rPr>
                  </w:pPr>
                  <w:r>
                    <w:rPr>
                      <w:rFonts w:hint="eastAsia"/>
                      <w:lang w:val="en-US" w:eastAsia="zh-CN"/>
                    </w:rPr>
                    <w:t>依托</w:t>
                  </w:r>
                </w:p>
              </w:tc>
            </w:tr>
            <w:tr w14:paraId="030CFC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5" w:type="pct"/>
                  <w:gridSpan w:val="3"/>
                  <w:tcBorders>
                    <w:tl2br w:val="nil"/>
                    <w:tr2bl w:val="nil"/>
                  </w:tcBorders>
                  <w:vAlign w:val="center"/>
                </w:tcPr>
                <w:p w14:paraId="1F4DD56C">
                  <w:pPr>
                    <w:pStyle w:val="5"/>
                    <w:bidi w:val="0"/>
                    <w:rPr>
                      <w:lang w:val="en-US" w:eastAsia="zh-CN"/>
                    </w:rPr>
                  </w:pPr>
                  <w:r>
                    <w:rPr>
                      <w:rFonts w:hint="eastAsia"/>
                    </w:rPr>
                    <w:t>环境风险防范措施</w:t>
                  </w:r>
                </w:p>
              </w:tc>
              <w:tc>
                <w:tcPr>
                  <w:tcW w:w="2399" w:type="pct"/>
                  <w:tcBorders>
                    <w:tl2br w:val="nil"/>
                    <w:tr2bl w:val="nil"/>
                  </w:tcBorders>
                  <w:shd w:val="clear" w:color="auto" w:fill="auto"/>
                  <w:vAlign w:val="center"/>
                </w:tcPr>
                <w:p w14:paraId="0587ED69">
                  <w:pPr>
                    <w:pStyle w:val="5"/>
                    <w:bidi w:val="0"/>
                    <w:jc w:val="both"/>
                    <w:rPr>
                      <w:rFonts w:hint="eastAsia"/>
                      <w:lang w:val="en-US" w:eastAsia="zh-CN"/>
                    </w:rPr>
                  </w:pPr>
                  <w:r>
                    <w:t>对工作员工进行上岗培训与</w:t>
                  </w:r>
                  <w:r>
                    <w:rPr>
                      <w:rFonts w:hint="eastAsia"/>
                    </w:rPr>
                    <w:t>环境应急</w:t>
                  </w:r>
                  <w:r>
                    <w:t>培训</w:t>
                  </w:r>
                  <w:r>
                    <w:rPr>
                      <w:rFonts w:hint="eastAsia"/>
                    </w:rPr>
                    <w:t>，</w:t>
                  </w:r>
                  <w:r>
                    <w:t>并定期进行演练</w:t>
                  </w:r>
                  <w:r>
                    <w:rPr>
                      <w:rFonts w:hint="eastAsia"/>
                      <w:lang w:eastAsia="zh-CN"/>
                    </w:rPr>
                    <w:t>；</w:t>
                  </w:r>
                  <w:r>
                    <w:rPr>
                      <w:rFonts w:hint="eastAsia"/>
                      <w:kern w:val="0"/>
                      <w:szCs w:val="21"/>
                      <w:lang w:bidi="ar"/>
                    </w:rPr>
                    <w:t>应急管理措施建设</w:t>
                  </w:r>
                  <w:r>
                    <w:rPr>
                      <w:rFonts w:hint="eastAsia"/>
                      <w:kern w:val="0"/>
                      <w:szCs w:val="21"/>
                      <w:lang w:eastAsia="zh-CN" w:bidi="ar"/>
                    </w:rPr>
                    <w:t>；</w:t>
                  </w:r>
                  <w:r>
                    <w:rPr>
                      <w:rFonts w:hint="eastAsia"/>
                      <w:kern w:val="0"/>
                      <w:szCs w:val="21"/>
                      <w:lang w:val="en-US" w:eastAsia="zh-CN" w:bidi="ar"/>
                    </w:rPr>
                    <w:t>编制应急预案</w:t>
                  </w:r>
                  <w:r>
                    <w:rPr>
                      <w:rFonts w:hint="eastAsia"/>
                    </w:rPr>
                    <w:t>等</w:t>
                  </w:r>
                  <w:r>
                    <w:rPr>
                      <w:rFonts w:hint="eastAsia"/>
                      <w:lang w:eastAsia="zh-CN"/>
                    </w:rPr>
                    <w:t>。</w:t>
                  </w:r>
                </w:p>
              </w:tc>
              <w:tc>
                <w:tcPr>
                  <w:tcW w:w="454" w:type="pct"/>
                  <w:tcBorders>
                    <w:tl2br w:val="nil"/>
                    <w:tr2bl w:val="nil"/>
                  </w:tcBorders>
                  <w:shd w:val="clear" w:color="auto" w:fill="auto"/>
                  <w:vAlign w:val="center"/>
                </w:tcPr>
                <w:p w14:paraId="6BEE9634">
                  <w:pPr>
                    <w:pStyle w:val="5"/>
                    <w:bidi w:val="0"/>
                    <w:rPr>
                      <w:rFonts w:hint="default" w:eastAsia="宋体"/>
                      <w:lang w:val="en-US" w:eastAsia="zh-CN"/>
                    </w:rPr>
                  </w:pPr>
                  <w:r>
                    <w:rPr>
                      <w:rFonts w:hint="eastAsia"/>
                      <w:lang w:val="en-US" w:eastAsia="zh-CN"/>
                    </w:rPr>
                    <w:t>15</w:t>
                  </w:r>
                </w:p>
              </w:tc>
              <w:tc>
                <w:tcPr>
                  <w:tcW w:w="530" w:type="pct"/>
                  <w:tcBorders>
                    <w:tl2br w:val="nil"/>
                    <w:tr2bl w:val="nil"/>
                  </w:tcBorders>
                  <w:shd w:val="clear" w:color="auto" w:fill="auto"/>
                  <w:vAlign w:val="center"/>
                </w:tcPr>
                <w:p w14:paraId="4027F995">
                  <w:pPr>
                    <w:pStyle w:val="5"/>
                    <w:bidi w:val="0"/>
                    <w:rPr>
                      <w:rFonts w:hint="eastAsia"/>
                      <w:lang w:val="en-US" w:eastAsia="zh-CN"/>
                    </w:rPr>
                  </w:pPr>
                  <w:r>
                    <w:rPr>
                      <w:rFonts w:hint="eastAsia"/>
                    </w:rPr>
                    <w:t>/</w:t>
                  </w:r>
                </w:p>
              </w:tc>
            </w:tr>
            <w:tr w14:paraId="66FD51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5" w:type="pct"/>
                  <w:gridSpan w:val="3"/>
                  <w:tcBorders>
                    <w:tl2br w:val="nil"/>
                    <w:tr2bl w:val="nil"/>
                  </w:tcBorders>
                  <w:vAlign w:val="center"/>
                </w:tcPr>
                <w:p w14:paraId="24376123">
                  <w:pPr>
                    <w:pStyle w:val="5"/>
                    <w:bidi w:val="0"/>
                    <w:rPr>
                      <w:lang w:val="en-US" w:eastAsia="zh-CN"/>
                    </w:rPr>
                  </w:pPr>
                  <w:r>
                    <w:rPr>
                      <w:rFonts w:hint="eastAsia"/>
                    </w:rPr>
                    <w:t>环境监测</w:t>
                  </w:r>
                </w:p>
              </w:tc>
              <w:tc>
                <w:tcPr>
                  <w:tcW w:w="2399" w:type="pct"/>
                  <w:tcBorders>
                    <w:tl2br w:val="nil"/>
                    <w:tr2bl w:val="nil"/>
                  </w:tcBorders>
                  <w:shd w:val="clear" w:color="auto" w:fill="auto"/>
                  <w:vAlign w:val="center"/>
                </w:tcPr>
                <w:p w14:paraId="65BCBB09">
                  <w:pPr>
                    <w:pStyle w:val="5"/>
                    <w:bidi w:val="0"/>
                    <w:jc w:val="both"/>
                    <w:rPr>
                      <w:rFonts w:hint="eastAsia"/>
                      <w:lang w:val="en-US" w:eastAsia="zh-CN"/>
                    </w:rPr>
                  </w:pPr>
                  <w:r>
                    <w:t>根据监测计划对废气、废水、噪声进行监测</w:t>
                  </w:r>
                  <w:r>
                    <w:rPr>
                      <w:rFonts w:hint="eastAsia"/>
                      <w:lang w:eastAsia="zh-CN"/>
                    </w:rPr>
                    <w:t>。</w:t>
                  </w:r>
                </w:p>
              </w:tc>
              <w:tc>
                <w:tcPr>
                  <w:tcW w:w="454" w:type="pct"/>
                  <w:tcBorders>
                    <w:tl2br w:val="nil"/>
                    <w:tr2bl w:val="nil"/>
                  </w:tcBorders>
                  <w:shd w:val="clear" w:color="auto" w:fill="auto"/>
                  <w:vAlign w:val="center"/>
                </w:tcPr>
                <w:p w14:paraId="3076E5EE">
                  <w:pPr>
                    <w:pStyle w:val="5"/>
                    <w:bidi w:val="0"/>
                    <w:rPr>
                      <w:rFonts w:hint="default" w:eastAsia="宋体"/>
                      <w:lang w:val="en-US" w:eastAsia="zh-CN"/>
                    </w:rPr>
                  </w:pPr>
                  <w:r>
                    <w:rPr>
                      <w:rFonts w:hint="eastAsia"/>
                      <w:lang w:val="en-US" w:eastAsia="zh-CN"/>
                    </w:rPr>
                    <w:t>4</w:t>
                  </w:r>
                </w:p>
              </w:tc>
              <w:tc>
                <w:tcPr>
                  <w:tcW w:w="530" w:type="pct"/>
                  <w:tcBorders>
                    <w:tl2br w:val="nil"/>
                    <w:tr2bl w:val="nil"/>
                  </w:tcBorders>
                  <w:shd w:val="clear" w:color="auto" w:fill="auto"/>
                  <w:vAlign w:val="center"/>
                </w:tcPr>
                <w:p w14:paraId="224B2C14">
                  <w:pPr>
                    <w:pStyle w:val="5"/>
                    <w:bidi w:val="0"/>
                    <w:rPr>
                      <w:rFonts w:hint="eastAsia"/>
                      <w:lang w:val="en-US" w:eastAsia="zh-CN"/>
                    </w:rPr>
                  </w:pPr>
                  <w:r>
                    <w:rPr>
                      <w:rFonts w:hint="eastAsia"/>
                    </w:rPr>
                    <w:t>/</w:t>
                  </w:r>
                </w:p>
              </w:tc>
            </w:tr>
            <w:tr w14:paraId="4FA695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5" w:type="pct"/>
                  <w:gridSpan w:val="4"/>
                  <w:tcBorders>
                    <w:tl2br w:val="nil"/>
                    <w:tr2bl w:val="nil"/>
                  </w:tcBorders>
                  <w:vAlign w:val="center"/>
                </w:tcPr>
                <w:p w14:paraId="0A5068C4">
                  <w:pPr>
                    <w:pStyle w:val="5"/>
                    <w:bidi w:val="0"/>
                    <w:rPr>
                      <w:lang w:val="en-US" w:eastAsia="zh-CN"/>
                    </w:rPr>
                  </w:pPr>
                  <w:r>
                    <w:rPr>
                      <w:rFonts w:hint="eastAsia"/>
                    </w:rPr>
                    <w:t>合计</w:t>
                  </w:r>
                </w:p>
              </w:tc>
              <w:tc>
                <w:tcPr>
                  <w:tcW w:w="454" w:type="pct"/>
                  <w:tcBorders>
                    <w:tl2br w:val="nil"/>
                    <w:tr2bl w:val="nil"/>
                  </w:tcBorders>
                  <w:shd w:val="clear" w:color="auto" w:fill="auto"/>
                  <w:vAlign w:val="center"/>
                </w:tcPr>
                <w:p w14:paraId="4AAA8B22">
                  <w:pPr>
                    <w:pStyle w:val="5"/>
                    <w:bidi w:val="0"/>
                    <w:rPr>
                      <w:rFonts w:hint="default" w:eastAsia="宋体"/>
                      <w:lang w:val="en-US" w:eastAsia="zh-CN"/>
                    </w:rPr>
                  </w:pPr>
                  <w:r>
                    <w:rPr>
                      <w:rFonts w:hint="eastAsia"/>
                      <w:lang w:val="en-US" w:eastAsia="zh-CN"/>
                    </w:rPr>
                    <w:t>35</w:t>
                  </w:r>
                </w:p>
              </w:tc>
              <w:tc>
                <w:tcPr>
                  <w:tcW w:w="530" w:type="pct"/>
                  <w:tcBorders>
                    <w:tl2br w:val="nil"/>
                    <w:tr2bl w:val="nil"/>
                  </w:tcBorders>
                  <w:shd w:val="clear" w:color="auto" w:fill="auto"/>
                  <w:vAlign w:val="center"/>
                </w:tcPr>
                <w:p w14:paraId="7D0E46F1">
                  <w:pPr>
                    <w:pStyle w:val="5"/>
                    <w:bidi w:val="0"/>
                    <w:ind w:firstLine="0" w:firstLineChars="0"/>
                    <w:rPr>
                      <w:rFonts w:hint="eastAsia"/>
                      <w:lang w:val="en-US" w:eastAsia="zh-CN"/>
                    </w:rPr>
                  </w:pPr>
                </w:p>
              </w:tc>
            </w:tr>
          </w:tbl>
          <w:p w14:paraId="33B74406">
            <w:pPr>
              <w:widowControl w:val="0"/>
              <w:wordWrap/>
              <w:spacing w:line="360" w:lineRule="auto"/>
              <w:ind w:firstLine="480" w:firstLineChars="200"/>
              <w:jc w:val="both"/>
              <w:rPr>
                <w:rFonts w:ascii="Times New Roman" w:hAnsi="Times New Roman" w:eastAsia="宋体" w:cs="Times New Roman"/>
                <w:color w:val="auto"/>
                <w:kern w:val="24"/>
                <w:sz w:val="24"/>
                <w:lang w:val="en-US" w:eastAsia="zh-CN" w:bidi="ar-SA"/>
              </w:rPr>
            </w:pPr>
          </w:p>
          <w:p w14:paraId="286EF2DA">
            <w:pPr>
              <w:bidi w:val="0"/>
              <w:rPr>
                <w:rFonts w:hint="eastAsia"/>
              </w:rPr>
            </w:pPr>
          </w:p>
        </w:tc>
      </w:tr>
    </w:tbl>
    <w:p w14:paraId="475BA656">
      <w:pPr>
        <w:pStyle w:val="3"/>
        <w:bidi w:val="0"/>
        <w:jc w:val="center"/>
      </w:pPr>
      <w:bookmarkStart w:id="35" w:name="_Toc7120"/>
      <w:bookmarkStart w:id="36" w:name="_Toc22386"/>
      <w:bookmarkStart w:id="37" w:name="_Toc11626"/>
      <w:bookmarkStart w:id="38" w:name="_Toc18510"/>
      <w:bookmarkStart w:id="39" w:name="_Toc2161"/>
      <w:bookmarkStart w:id="40" w:name="_Toc898"/>
      <w:r>
        <w:rPr>
          <w:rFonts w:hint="eastAsia"/>
        </w:rPr>
        <w:t>五、环境保护措施监督检查清单</w:t>
      </w:r>
      <w:bookmarkEnd w:id="35"/>
      <w:bookmarkEnd w:id="36"/>
      <w:bookmarkEnd w:id="37"/>
      <w:bookmarkEnd w:id="38"/>
      <w:bookmarkEnd w:id="39"/>
      <w:bookmarkEnd w:id="40"/>
    </w:p>
    <w:tbl>
      <w:tblPr>
        <w:tblStyle w:val="30"/>
        <w:tblW w:w="94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95"/>
        <w:gridCol w:w="1159"/>
        <w:gridCol w:w="3150"/>
        <w:gridCol w:w="2763"/>
      </w:tblGrid>
      <w:tr w14:paraId="6FE7D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29" w:type="dxa"/>
            <w:tcBorders>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20907C9">
            <w:pPr>
              <w:pStyle w:val="5"/>
              <w:bidi w:val="0"/>
              <w:rPr>
                <w:b/>
                <w:bCs/>
              </w:rPr>
            </w:pPr>
          </w:p>
          <w:p w14:paraId="2B12D816">
            <w:pPr>
              <w:pStyle w:val="5"/>
              <w:bidi w:val="0"/>
              <w:snapToGrid w:val="0"/>
              <w:rPr>
                <w:b/>
                <w:bCs/>
              </w:rPr>
            </w:pPr>
          </w:p>
          <w:p w14:paraId="4F7C7BFE">
            <w:pPr>
              <w:pStyle w:val="5"/>
              <w:bidi w:val="0"/>
              <w:snapToGrid w:val="0"/>
              <w:jc w:val="both"/>
              <mc:AlternateContent>
                <mc:Choice Requires="wpsCustomData">
                  <wpsCustomData:diagonalParaType/>
                </mc:Choice>
              </mc:AlternateContent>
              <w:rPr>
                <w:b/>
                <w:bCs/>
              </w:rPr>
            </w:pPr>
            <w:r>
              <w:rPr>
                <w:b/>
                <w:bCs/>
              </w:rPr>
              <w:t>要素</w:t>
            </w:r>
          </w:p>
          <w:p w14:paraId="471DCB49">
            <w:pPr>
              <w:pStyle w:val="5"/>
              <w:bidi w:val="0"/>
              <w:jc w:val="both"/>
              <w:rPr>
                <w:rFonts w:hint="eastAsia" w:eastAsia="宋体"/>
                <w:b/>
                <w:bCs/>
                <w:lang w:val="en-US" w:eastAsia="zh-CN"/>
              </w:rPr>
            </w:pPr>
            <w:r>
              <w:rPr>
                <w:rFonts w:hint="eastAsia"/>
                <w:b/>
                <w:bCs/>
                <w:lang w:val="en-US" w:eastAsia="zh-CN"/>
              </w:rPr>
              <w:t>内容</w:t>
            </w:r>
          </w:p>
        </w:tc>
        <w:tc>
          <w:tcPr>
            <w:tcW w:w="1295" w:type="dxa"/>
            <w:vAlign w:val="center"/>
          </w:tcPr>
          <w:p w14:paraId="1E341217">
            <w:pPr>
              <w:pStyle w:val="5"/>
              <w:bidi w:val="0"/>
              <w:rPr>
                <w:b/>
                <w:bCs/>
              </w:rPr>
            </w:pPr>
            <w:r>
              <w:rPr>
                <w:b/>
                <w:bCs/>
              </w:rPr>
              <w:t>排放口</w:t>
            </w:r>
            <w:r>
              <w:rPr>
                <w:rFonts w:hint="eastAsia"/>
                <w:b/>
                <w:bCs/>
              </w:rPr>
              <w:t>（</w:t>
            </w:r>
            <w:r>
              <w:rPr>
                <w:b/>
                <w:bCs/>
              </w:rPr>
              <w:t>编号、名称</w:t>
            </w:r>
            <w:r>
              <w:rPr>
                <w:rFonts w:hint="eastAsia"/>
                <w:b/>
                <w:bCs/>
              </w:rPr>
              <w:t>）</w:t>
            </w:r>
            <w:r>
              <w:rPr>
                <w:b/>
                <w:bCs/>
              </w:rPr>
              <w:t>/污染源</w:t>
            </w:r>
          </w:p>
        </w:tc>
        <w:tc>
          <w:tcPr>
            <w:tcW w:w="1159" w:type="dxa"/>
            <w:vAlign w:val="center"/>
          </w:tcPr>
          <w:p w14:paraId="4EA6C99B">
            <w:pPr>
              <w:pStyle w:val="5"/>
              <w:bidi w:val="0"/>
              <w:rPr>
                <w:b/>
                <w:bCs/>
              </w:rPr>
            </w:pPr>
            <w:r>
              <w:rPr>
                <w:b/>
                <w:bCs/>
              </w:rPr>
              <w:t>污染物项目</w:t>
            </w:r>
          </w:p>
        </w:tc>
        <w:tc>
          <w:tcPr>
            <w:tcW w:w="3150" w:type="dxa"/>
            <w:vAlign w:val="center"/>
          </w:tcPr>
          <w:p w14:paraId="6F91238F">
            <w:pPr>
              <w:pStyle w:val="5"/>
              <w:bidi w:val="0"/>
              <w:rPr>
                <w:b/>
                <w:bCs/>
              </w:rPr>
            </w:pPr>
            <w:r>
              <w:rPr>
                <w:b/>
                <w:bCs/>
              </w:rPr>
              <w:t>环境保护措施</w:t>
            </w:r>
          </w:p>
        </w:tc>
        <w:tc>
          <w:tcPr>
            <w:tcW w:w="2763" w:type="dxa"/>
            <w:vAlign w:val="center"/>
          </w:tcPr>
          <w:p w14:paraId="2E0E2680">
            <w:pPr>
              <w:pStyle w:val="5"/>
              <w:bidi w:val="0"/>
              <w:rPr>
                <w:b/>
                <w:bCs/>
              </w:rPr>
            </w:pPr>
            <w:r>
              <w:rPr>
                <w:b/>
                <w:bCs/>
              </w:rPr>
              <w:t>执行标准</w:t>
            </w:r>
          </w:p>
        </w:tc>
      </w:tr>
      <w:tr w14:paraId="796FD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29" w:type="dxa"/>
            <w:vMerge w:val="restart"/>
            <w:vAlign w:val="center"/>
          </w:tcPr>
          <w:p w14:paraId="2C6CD566">
            <w:pPr>
              <w:pStyle w:val="5"/>
              <w:bidi w:val="0"/>
            </w:pPr>
            <w:r>
              <w:t>大气环境</w:t>
            </w:r>
          </w:p>
        </w:tc>
        <w:tc>
          <w:tcPr>
            <w:tcW w:w="1295" w:type="dxa"/>
            <w:tcBorders>
              <w:bottom w:val="single" w:color="000000" w:sz="4" w:space="0"/>
            </w:tcBorders>
            <w:vAlign w:val="center"/>
          </w:tcPr>
          <w:p w14:paraId="66437AE6">
            <w:pPr>
              <w:pStyle w:val="5"/>
              <w:bidi w:val="0"/>
            </w:pPr>
            <w:r>
              <w:rPr>
                <w:rFonts w:hint="eastAsia"/>
              </w:rPr>
              <w:t>DA001</w:t>
            </w:r>
          </w:p>
        </w:tc>
        <w:tc>
          <w:tcPr>
            <w:tcW w:w="1159" w:type="dxa"/>
            <w:tcBorders>
              <w:bottom w:val="single" w:color="000000" w:sz="4" w:space="0"/>
            </w:tcBorders>
            <w:vAlign w:val="center"/>
          </w:tcPr>
          <w:p w14:paraId="40DF710B">
            <w:pPr>
              <w:pStyle w:val="5"/>
              <w:bidi w:val="0"/>
            </w:pPr>
            <w:r>
              <w:t>VOCs</w:t>
            </w:r>
          </w:p>
        </w:tc>
        <w:tc>
          <w:tcPr>
            <w:tcW w:w="3150" w:type="dxa"/>
            <w:tcBorders>
              <w:bottom w:val="single" w:color="000000" w:sz="4" w:space="0"/>
            </w:tcBorders>
            <w:vAlign w:val="center"/>
          </w:tcPr>
          <w:p w14:paraId="308B5B6F">
            <w:pPr>
              <w:pStyle w:val="5"/>
              <w:bidi w:val="0"/>
              <w:rPr>
                <w:rFonts w:hint="eastAsia"/>
                <w:lang w:eastAsia="zh-CN"/>
              </w:rPr>
            </w:pPr>
            <w:r>
              <w:rPr>
                <w:rFonts w:hint="eastAsia"/>
              </w:rPr>
              <w:t>有机废气经集气罩收集至二级活性炭吸附装置处理后</w:t>
            </w:r>
            <w:r>
              <w:rPr>
                <w:rFonts w:hint="eastAsia"/>
                <w:lang w:val="en-US" w:eastAsia="zh-CN"/>
              </w:rPr>
              <w:t>通过25m高的排气筒排放</w:t>
            </w:r>
            <w:r>
              <w:rPr>
                <w:rFonts w:hint="eastAsia"/>
              </w:rPr>
              <w:t>（</w:t>
            </w:r>
            <w:r>
              <w:rPr>
                <w:rFonts w:hint="eastAsia"/>
                <w:lang w:val="en-US" w:eastAsia="zh-CN"/>
              </w:rPr>
              <w:t>25</w:t>
            </w:r>
            <w:r>
              <w:t>m</w:t>
            </w:r>
            <w:r>
              <w:rPr>
                <w:rFonts w:hint="eastAsia"/>
              </w:rPr>
              <w:t>，DA</w:t>
            </w:r>
            <w:r>
              <w:t>001</w:t>
            </w:r>
            <w:r>
              <w:rPr>
                <w:rFonts w:hint="eastAsia"/>
              </w:rPr>
              <w:t>）</w:t>
            </w:r>
            <w:r>
              <w:rPr>
                <w:rFonts w:hint="eastAsia"/>
                <w:lang w:eastAsia="zh-CN"/>
              </w:rPr>
              <w:t>。</w:t>
            </w:r>
          </w:p>
        </w:tc>
        <w:tc>
          <w:tcPr>
            <w:tcW w:w="2763" w:type="dxa"/>
            <w:vAlign w:val="center"/>
          </w:tcPr>
          <w:p w14:paraId="133F2B61">
            <w:pPr>
              <w:pStyle w:val="5"/>
              <w:bidi w:val="0"/>
              <w:jc w:val="both"/>
            </w:pPr>
            <w:r>
              <w:rPr>
                <w:rFonts w:hint="eastAsia"/>
                <w:lang w:eastAsia="zh-CN"/>
              </w:rPr>
              <w:t>《</w:t>
            </w:r>
            <w:r>
              <w:t>四川省固定污染源大气挥发性有机物排放标准》</w:t>
            </w:r>
            <w:r>
              <w:rPr>
                <w:rFonts w:hint="eastAsia"/>
              </w:rPr>
              <w:t>（</w:t>
            </w:r>
            <w:r>
              <w:t>DB51/2377-2017</w:t>
            </w:r>
            <w:r>
              <w:rPr>
                <w:rFonts w:hint="eastAsia"/>
              </w:rPr>
              <w:t>）表3</w:t>
            </w:r>
            <w:r>
              <w:rPr>
                <w:rFonts w:hint="eastAsia"/>
                <w:lang w:val="en-US" w:eastAsia="zh-CN"/>
              </w:rPr>
              <w:t>中“</w:t>
            </w:r>
            <w:r>
              <w:rPr>
                <w:rFonts w:hint="eastAsia"/>
              </w:rPr>
              <w:t>涉及有机溶剂生产和使用的其它行业</w:t>
            </w:r>
            <w:r>
              <w:rPr>
                <w:rFonts w:hint="eastAsia"/>
                <w:lang w:val="en-US" w:eastAsia="zh-CN"/>
              </w:rPr>
              <w:t>”</w:t>
            </w:r>
            <w:r>
              <w:rPr>
                <w:rFonts w:hint="eastAsia"/>
              </w:rPr>
              <w:t>限值要求</w:t>
            </w:r>
            <w:r>
              <w:rPr>
                <w:rFonts w:hint="eastAsia"/>
                <w:lang w:eastAsia="zh-CN"/>
              </w:rPr>
              <w:t>。</w:t>
            </w:r>
          </w:p>
        </w:tc>
      </w:tr>
      <w:tr w14:paraId="11130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29" w:type="dxa"/>
            <w:vMerge w:val="continue"/>
            <w:vAlign w:val="center"/>
          </w:tcPr>
          <w:p w14:paraId="4F0F8402">
            <w:pPr>
              <w:pStyle w:val="5"/>
              <w:bidi w:val="0"/>
            </w:pPr>
          </w:p>
        </w:tc>
        <w:tc>
          <w:tcPr>
            <w:tcW w:w="1295" w:type="dxa"/>
            <w:tcBorders>
              <w:bottom w:val="single" w:color="000000" w:sz="4" w:space="0"/>
            </w:tcBorders>
            <w:shd w:val="clear" w:color="auto" w:fill="auto"/>
            <w:vAlign w:val="center"/>
          </w:tcPr>
          <w:p w14:paraId="463ADCCB">
            <w:pPr>
              <w:pStyle w:val="5"/>
              <w:bidi w:val="0"/>
              <w:rPr>
                <w:rFonts w:hint="eastAsia"/>
                <w:lang w:val="en-US" w:eastAsia="zh-CN"/>
              </w:rPr>
            </w:pPr>
            <w:r>
              <w:t>无组织</w:t>
            </w:r>
          </w:p>
        </w:tc>
        <w:tc>
          <w:tcPr>
            <w:tcW w:w="1159" w:type="dxa"/>
            <w:tcBorders>
              <w:bottom w:val="single" w:color="000000" w:sz="4" w:space="0"/>
            </w:tcBorders>
            <w:shd w:val="clear" w:color="auto" w:fill="auto"/>
            <w:vAlign w:val="center"/>
          </w:tcPr>
          <w:p w14:paraId="110DE85C">
            <w:pPr>
              <w:pStyle w:val="5"/>
              <w:bidi w:val="0"/>
              <w:rPr>
                <w:lang w:val="en-US" w:eastAsia="zh-CN"/>
              </w:rPr>
            </w:pPr>
            <w:r>
              <w:t>VOCs</w:t>
            </w:r>
          </w:p>
        </w:tc>
        <w:tc>
          <w:tcPr>
            <w:tcW w:w="3150" w:type="dxa"/>
            <w:tcBorders>
              <w:bottom w:val="single" w:color="000000" w:sz="4" w:space="0"/>
            </w:tcBorders>
            <w:shd w:val="clear" w:color="auto" w:fill="auto"/>
            <w:vAlign w:val="center"/>
          </w:tcPr>
          <w:p w14:paraId="6A18E700">
            <w:pPr>
              <w:pStyle w:val="5"/>
              <w:bidi w:val="0"/>
              <w:rPr>
                <w:rFonts w:hint="eastAsia" w:eastAsia="宋体"/>
                <w:lang w:val="en-US" w:eastAsia="zh-CN"/>
              </w:rPr>
            </w:pPr>
            <w:r>
              <w:rPr>
                <w:rFonts w:hint="eastAsia"/>
              </w:rPr>
              <w:t>自然通风换气排放</w:t>
            </w:r>
            <w:r>
              <w:rPr>
                <w:rFonts w:hint="eastAsia"/>
                <w:lang w:eastAsia="zh-CN"/>
              </w:rPr>
              <w:t>。</w:t>
            </w:r>
          </w:p>
        </w:tc>
        <w:tc>
          <w:tcPr>
            <w:tcW w:w="2763" w:type="dxa"/>
            <w:shd w:val="clear" w:color="auto" w:fill="auto"/>
            <w:vAlign w:val="center"/>
          </w:tcPr>
          <w:p w14:paraId="021FC29C">
            <w:pPr>
              <w:pStyle w:val="5"/>
              <w:bidi w:val="0"/>
              <w:rPr>
                <w:rFonts w:hint="eastAsia"/>
                <w:lang w:val="en-US" w:eastAsia="zh-CN"/>
              </w:rPr>
            </w:pPr>
            <w:r>
              <w:t>《四川省固定污染源大气挥发性有机物排放标准》</w:t>
            </w:r>
            <w:r>
              <w:rPr>
                <w:rFonts w:hint="eastAsia"/>
              </w:rPr>
              <w:t>（</w:t>
            </w:r>
            <w:r>
              <w:t>DB51/2377-2017</w:t>
            </w:r>
            <w:r>
              <w:rPr>
                <w:rFonts w:hint="eastAsia"/>
              </w:rPr>
              <w:t>）</w:t>
            </w:r>
            <w:r>
              <w:t>表</w:t>
            </w:r>
            <w:r>
              <w:rPr>
                <w:rFonts w:hint="eastAsia"/>
                <w:lang w:val="en-US" w:eastAsia="zh-CN"/>
              </w:rPr>
              <w:t>5</w:t>
            </w:r>
            <w:r>
              <w:t>无组织排放监控浓度限值、《挥发性有机物无组织排放控制标准》（GB37822-2019）</w:t>
            </w:r>
          </w:p>
        </w:tc>
      </w:tr>
      <w:tr w14:paraId="33B39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129" w:type="dxa"/>
            <w:vAlign w:val="center"/>
          </w:tcPr>
          <w:p w14:paraId="1D3CB38C">
            <w:pPr>
              <w:pStyle w:val="5"/>
              <w:bidi w:val="0"/>
            </w:pPr>
            <w:r>
              <w:t>地表水环境</w:t>
            </w:r>
          </w:p>
        </w:tc>
        <w:tc>
          <w:tcPr>
            <w:tcW w:w="1295" w:type="dxa"/>
            <w:vAlign w:val="center"/>
          </w:tcPr>
          <w:p w14:paraId="3CC0CE10">
            <w:pPr>
              <w:pStyle w:val="5"/>
              <w:bidi w:val="0"/>
            </w:pPr>
            <w:r>
              <w:t>生活污水</w:t>
            </w:r>
          </w:p>
        </w:tc>
        <w:tc>
          <w:tcPr>
            <w:tcW w:w="1159" w:type="dxa"/>
            <w:vAlign w:val="center"/>
          </w:tcPr>
          <w:p w14:paraId="4BAE0B3C">
            <w:pPr>
              <w:pStyle w:val="5"/>
              <w:bidi w:val="0"/>
              <w:rPr>
                <w:rFonts w:hint="default"/>
                <w:lang w:val="en-US" w:eastAsia="zh-CN"/>
              </w:rPr>
            </w:pPr>
            <w:r>
              <w:t>COD</w:t>
            </w:r>
            <w:r>
              <w:rPr>
                <w:vertAlign w:val="subscript"/>
              </w:rPr>
              <w:t>Cr</w:t>
            </w:r>
            <w:r>
              <w:t>、BOD</w:t>
            </w:r>
            <w:r>
              <w:rPr>
                <w:vertAlign w:val="subscript"/>
              </w:rPr>
              <w:t>5</w:t>
            </w:r>
            <w:r>
              <w:t>、SS、NH</w:t>
            </w:r>
            <w:r>
              <w:rPr>
                <w:vertAlign w:val="subscript"/>
              </w:rPr>
              <w:t>3</w:t>
            </w:r>
            <w:r>
              <w:t>-N</w:t>
            </w:r>
            <w:r>
              <w:rPr>
                <w:rFonts w:hint="eastAsia"/>
                <w:lang w:eastAsia="zh-CN"/>
              </w:rPr>
              <w:t>、</w:t>
            </w:r>
            <w:r>
              <w:rPr>
                <w:rFonts w:hint="eastAsia"/>
                <w:lang w:val="en-US" w:eastAsia="zh-CN"/>
              </w:rPr>
              <w:t>动植物油类</w:t>
            </w:r>
          </w:p>
        </w:tc>
        <w:tc>
          <w:tcPr>
            <w:tcW w:w="3150" w:type="dxa"/>
            <w:vAlign w:val="center"/>
          </w:tcPr>
          <w:p w14:paraId="7F7CB020">
            <w:pPr>
              <w:pStyle w:val="5"/>
              <w:bidi w:val="0"/>
              <w:jc w:val="both"/>
            </w:pPr>
            <w:r>
              <w:rPr>
                <w:rFonts w:hint="eastAsia"/>
              </w:rPr>
              <w:t>生活污水</w:t>
            </w:r>
            <w:r>
              <w:rPr>
                <w:rFonts w:hint="eastAsia"/>
                <w:lang w:val="en-US" w:eastAsia="zh-CN"/>
              </w:rPr>
              <w:t>经园区已建的一体化污水处理设施处理，</w:t>
            </w:r>
            <w:r>
              <w:t>达到《污水综合排放标准》（GB8978-1996）三级标准</w:t>
            </w:r>
            <w:r>
              <w:rPr>
                <w:rFonts w:hint="eastAsia"/>
                <w:lang w:val="en-US" w:eastAsia="zh-CN"/>
              </w:rPr>
              <w:t>后，排入</w:t>
            </w:r>
            <w:r>
              <w:rPr>
                <w:rFonts w:hint="eastAsia"/>
              </w:rPr>
              <w:t>园区</w:t>
            </w:r>
            <w:r>
              <w:rPr>
                <w:rFonts w:hint="eastAsia"/>
                <w:lang w:val="en-US" w:eastAsia="zh-CN"/>
              </w:rPr>
              <w:t>市政污水管网，输送至魏兴场镇污水处理厂处理后达《城镇污水处理厂污染物排放标准》（GB18918—2002）一级A标准后，排入州河。</w:t>
            </w:r>
          </w:p>
        </w:tc>
        <w:tc>
          <w:tcPr>
            <w:tcW w:w="2763" w:type="dxa"/>
            <w:vAlign w:val="center"/>
          </w:tcPr>
          <w:p w14:paraId="51DD5931">
            <w:pPr>
              <w:pStyle w:val="5"/>
              <w:bidi w:val="0"/>
              <w:jc w:val="both"/>
            </w:pPr>
            <w:r>
              <w:t>执行《污水综合排放标准》（GB8978-1996）三级标准；</w:t>
            </w:r>
            <w:r>
              <w:rPr>
                <w:rFonts w:hint="eastAsia"/>
                <w:lang w:val="en-US" w:eastAsia="zh-CN"/>
              </w:rPr>
              <w:t>魏兴场镇污水处理厂执行《城镇污水处理厂污染物排放标准》（GB18918—2002）一级A标准</w:t>
            </w:r>
          </w:p>
        </w:tc>
      </w:tr>
      <w:tr w14:paraId="67FDF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vAlign w:val="center"/>
          </w:tcPr>
          <w:p w14:paraId="2EFDB767">
            <w:pPr>
              <w:pStyle w:val="5"/>
              <w:bidi w:val="0"/>
            </w:pPr>
            <w:r>
              <w:t>声环境</w:t>
            </w:r>
          </w:p>
        </w:tc>
        <w:tc>
          <w:tcPr>
            <w:tcW w:w="2454" w:type="dxa"/>
            <w:gridSpan w:val="2"/>
            <w:vAlign w:val="center"/>
          </w:tcPr>
          <w:p w14:paraId="5671ADDA">
            <w:pPr>
              <w:pStyle w:val="5"/>
              <w:bidi w:val="0"/>
            </w:pPr>
            <w:r>
              <w:t>噪声</w:t>
            </w:r>
          </w:p>
        </w:tc>
        <w:tc>
          <w:tcPr>
            <w:tcW w:w="3150" w:type="dxa"/>
            <w:vAlign w:val="center"/>
          </w:tcPr>
          <w:p w14:paraId="62277051">
            <w:pPr>
              <w:pStyle w:val="5"/>
              <w:bidi w:val="0"/>
            </w:pPr>
            <w:r>
              <w:rPr>
                <w:rFonts w:hint="eastAsia"/>
              </w:rPr>
              <w:t>采取</w:t>
            </w:r>
            <w:r>
              <w:t>减振、隔声等降噪措施</w:t>
            </w:r>
          </w:p>
        </w:tc>
        <w:tc>
          <w:tcPr>
            <w:tcW w:w="2763" w:type="dxa"/>
            <w:vAlign w:val="center"/>
          </w:tcPr>
          <w:p w14:paraId="1E0CB163">
            <w:pPr>
              <w:pStyle w:val="5"/>
              <w:bidi w:val="0"/>
              <w:jc w:val="both"/>
            </w:pPr>
            <w:r>
              <w:t>《工业企业厂界环境噪声排放标准》（GB12348-2008）中3类标准</w:t>
            </w:r>
          </w:p>
        </w:tc>
      </w:tr>
      <w:tr w14:paraId="60D08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vAlign w:val="center"/>
          </w:tcPr>
          <w:p w14:paraId="14908B41">
            <w:pPr>
              <w:pStyle w:val="5"/>
              <w:bidi w:val="0"/>
            </w:pPr>
            <w:r>
              <w:t>电磁辐射</w:t>
            </w:r>
          </w:p>
        </w:tc>
        <w:tc>
          <w:tcPr>
            <w:tcW w:w="1295" w:type="dxa"/>
            <w:vAlign w:val="center"/>
          </w:tcPr>
          <w:p w14:paraId="083AF916">
            <w:pPr>
              <w:pStyle w:val="5"/>
              <w:bidi w:val="0"/>
            </w:pPr>
            <w:r>
              <w:t>/</w:t>
            </w:r>
          </w:p>
        </w:tc>
        <w:tc>
          <w:tcPr>
            <w:tcW w:w="1159" w:type="dxa"/>
            <w:vAlign w:val="center"/>
          </w:tcPr>
          <w:p w14:paraId="59726482">
            <w:pPr>
              <w:pStyle w:val="5"/>
              <w:bidi w:val="0"/>
            </w:pPr>
            <w:r>
              <w:t>/</w:t>
            </w:r>
          </w:p>
        </w:tc>
        <w:tc>
          <w:tcPr>
            <w:tcW w:w="3150" w:type="dxa"/>
            <w:vAlign w:val="center"/>
          </w:tcPr>
          <w:p w14:paraId="1486ACD1">
            <w:pPr>
              <w:pStyle w:val="5"/>
              <w:bidi w:val="0"/>
            </w:pPr>
            <w:r>
              <w:t>/</w:t>
            </w:r>
          </w:p>
        </w:tc>
        <w:tc>
          <w:tcPr>
            <w:tcW w:w="2763" w:type="dxa"/>
            <w:vAlign w:val="center"/>
          </w:tcPr>
          <w:p w14:paraId="0DA07C62">
            <w:pPr>
              <w:pStyle w:val="5"/>
              <w:bidi w:val="0"/>
            </w:pPr>
            <w:r>
              <w:t>/</w:t>
            </w:r>
          </w:p>
        </w:tc>
      </w:tr>
      <w:tr w14:paraId="01B81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129" w:type="dxa"/>
            <w:vAlign w:val="center"/>
          </w:tcPr>
          <w:p w14:paraId="3ACE7B12">
            <w:pPr>
              <w:pStyle w:val="5"/>
              <w:bidi w:val="0"/>
            </w:pPr>
            <w:r>
              <w:t>固体废物</w:t>
            </w:r>
          </w:p>
        </w:tc>
        <w:tc>
          <w:tcPr>
            <w:tcW w:w="8367" w:type="dxa"/>
            <w:gridSpan w:val="4"/>
            <w:vAlign w:val="center"/>
          </w:tcPr>
          <w:p w14:paraId="7B6A3DAF">
            <w:pPr>
              <w:pStyle w:val="5"/>
              <w:bidi w:val="0"/>
              <w:jc w:val="both"/>
            </w:pPr>
            <w:r>
              <w:rPr>
                <w:rFonts w:hint="eastAsia"/>
              </w:rPr>
              <w:t>生活垃圾分类收集，由环卫部门集中处理。</w:t>
            </w:r>
          </w:p>
          <w:p w14:paraId="20B60711">
            <w:pPr>
              <w:pStyle w:val="5"/>
              <w:bidi w:val="0"/>
              <w:jc w:val="both"/>
            </w:pPr>
            <w:r>
              <w:rPr>
                <w:rFonts w:hint="eastAsia"/>
                <w:lang w:val="en-US" w:eastAsia="zh-CN"/>
              </w:rPr>
              <w:t>边角料、废包装袋</w:t>
            </w:r>
            <w:r>
              <w:rPr>
                <w:rFonts w:hint="eastAsia"/>
              </w:rPr>
              <w:t>定期外售废品收购站处置</w:t>
            </w:r>
            <w:r>
              <w:rPr>
                <w:rFonts w:hint="eastAsia"/>
                <w:lang w:eastAsia="zh-CN"/>
              </w:rPr>
              <w:t>；</w:t>
            </w:r>
          </w:p>
          <w:p w14:paraId="0239E2A2">
            <w:pPr>
              <w:pStyle w:val="5"/>
              <w:bidi w:val="0"/>
              <w:jc w:val="both"/>
            </w:pPr>
            <w:r>
              <w:rPr>
                <w:rFonts w:hint="eastAsia"/>
                <w:lang w:val="en-US" w:eastAsia="zh-CN"/>
              </w:rPr>
              <w:t>新增废活性炭和废胶粘剂瓶</w:t>
            </w:r>
            <w:r>
              <w:rPr>
                <w:rFonts w:hint="eastAsia"/>
              </w:rPr>
              <w:t>：</w:t>
            </w:r>
            <w:r>
              <w:t>分类收集后</w:t>
            </w:r>
            <w:r>
              <w:rPr>
                <w:rFonts w:hint="eastAsia"/>
              </w:rPr>
              <w:t>暂</w:t>
            </w:r>
            <w:r>
              <w:t>存于危废暂存间，定期交由资质的公司处置</w:t>
            </w:r>
            <w:r>
              <w:rPr>
                <w:rFonts w:hint="eastAsia"/>
              </w:rPr>
              <w:t>。</w:t>
            </w:r>
          </w:p>
        </w:tc>
      </w:tr>
      <w:tr w14:paraId="17AA8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29" w:type="dxa"/>
            <w:vAlign w:val="center"/>
          </w:tcPr>
          <w:p w14:paraId="0D6F5203">
            <w:pPr>
              <w:pStyle w:val="5"/>
              <w:bidi w:val="0"/>
            </w:pPr>
            <w:r>
              <w:t>土壤及地下水污染防治措施</w:t>
            </w:r>
          </w:p>
        </w:tc>
        <w:tc>
          <w:tcPr>
            <w:tcW w:w="8367" w:type="dxa"/>
            <w:gridSpan w:val="4"/>
            <w:vAlign w:val="center"/>
          </w:tcPr>
          <w:p w14:paraId="7AF57842">
            <w:pPr>
              <w:pStyle w:val="5"/>
              <w:bidi w:val="0"/>
              <w:jc w:val="both"/>
              <w:rPr>
                <w:rFonts w:hint="eastAsia"/>
              </w:rPr>
            </w:pPr>
            <w:r>
              <w:rPr>
                <w:rFonts w:hint="eastAsia"/>
              </w:rPr>
              <w:t>（1）源头控制措施</w:t>
            </w:r>
          </w:p>
          <w:p w14:paraId="6FBA51DC">
            <w:pPr>
              <w:pStyle w:val="5"/>
              <w:bidi w:val="0"/>
              <w:jc w:val="both"/>
              <w:rPr>
                <w:rFonts w:hint="eastAsia"/>
              </w:rPr>
            </w:pPr>
            <w:r>
              <w:rPr>
                <w:rFonts w:hint="eastAsia"/>
              </w:rPr>
              <w:t>①积极推行实施清洁生产，实现各类废物循环利用，减少污染物的排放量。</w:t>
            </w:r>
          </w:p>
          <w:p w14:paraId="3250001C">
            <w:pPr>
              <w:pStyle w:val="5"/>
              <w:bidi w:val="0"/>
              <w:jc w:val="both"/>
              <w:rPr>
                <w:rFonts w:hint="eastAsia"/>
              </w:rPr>
            </w:pPr>
            <w:r>
              <w:rPr>
                <w:rFonts w:hint="eastAsia"/>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18FA8A16">
            <w:pPr>
              <w:pStyle w:val="5"/>
              <w:bidi w:val="0"/>
              <w:jc w:val="both"/>
              <w:rPr>
                <w:rFonts w:hint="eastAsia"/>
              </w:rPr>
            </w:pPr>
            <w:r>
              <w:rPr>
                <w:rFonts w:hint="eastAsia"/>
              </w:rPr>
              <w:t>（2）分区防治措施</w:t>
            </w:r>
          </w:p>
          <w:p w14:paraId="43EB2659">
            <w:pPr>
              <w:pStyle w:val="5"/>
              <w:bidi w:val="0"/>
              <w:jc w:val="both"/>
            </w:pPr>
            <w:r>
              <w:rPr>
                <w:rFonts w:hint="default" w:ascii="Times New Roman" w:hAnsi="Times New Roman" w:eastAsia="宋体" w:cs="Times New Roman"/>
                <w:lang w:val="en-US" w:eastAsia="zh-CN"/>
              </w:rPr>
              <w:t>目前，厂房现有生产车间已采取防渗措施为</w:t>
            </w:r>
            <w:r>
              <w:rPr>
                <w:rFonts w:hint="eastAsia" w:ascii="Times New Roman" w:hAnsi="Times New Roman" w:eastAsia="宋体" w:cs="Times New Roman"/>
              </w:rPr>
              <w:t>混凝土地面硬化</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加涂刷</w:t>
            </w:r>
            <w:r>
              <w:rPr>
                <w:rFonts w:hint="eastAsia" w:ascii="Times New Roman" w:hAnsi="Times New Roman" w:eastAsia="宋体" w:cs="Times New Roman"/>
              </w:rPr>
              <w:t>2mm厚</w:t>
            </w:r>
            <w:r>
              <w:rPr>
                <w:rFonts w:hint="default" w:ascii="Times New Roman" w:hAnsi="Times New Roman" w:eastAsia="宋体" w:cs="Times New Roman"/>
                <w:lang w:val="en-US" w:eastAsia="zh-CN"/>
              </w:rPr>
              <w:t>环氧树脂地坪漆，渗透系数≤10</w:t>
            </w:r>
            <w:r>
              <w:rPr>
                <w:rFonts w:hint="default" w:ascii="Times New Roman" w:hAnsi="Times New Roman" w:eastAsia="宋体" w:cs="Times New Roman"/>
                <w:vertAlign w:val="superscript"/>
                <w:lang w:val="en-US" w:eastAsia="zh-CN"/>
              </w:rPr>
              <w:t>-10</w:t>
            </w:r>
            <w:r>
              <w:rPr>
                <w:rFonts w:hint="default" w:ascii="Times New Roman" w:hAnsi="Times New Roman" w:eastAsia="宋体" w:cs="Times New Roman"/>
                <w:lang w:val="en-US" w:eastAsia="zh-CN"/>
              </w:rPr>
              <w:t>cm/s，满足重点防渗要求。</w:t>
            </w:r>
            <w:r>
              <w:rPr>
                <w:rFonts w:hint="eastAsia" w:ascii="Times New Roman" w:hAnsi="Times New Roman" w:eastAsia="宋体" w:cs="Times New Roman"/>
              </w:rPr>
              <w:t>本项目</w:t>
            </w:r>
            <w:r>
              <w:rPr>
                <w:rFonts w:hint="default" w:ascii="Times New Roman" w:hAnsi="Times New Roman" w:eastAsia="宋体" w:cs="Times New Roman"/>
                <w:lang w:val="en-US" w:eastAsia="zh-CN"/>
              </w:rPr>
              <w:t>技改前无危废暂存间。本次新增危险固体废物，因此需设置危废暂存间</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厂房现有</w:t>
            </w:r>
            <w:r>
              <w:rPr>
                <w:rFonts w:hint="default" w:ascii="Times New Roman" w:hAnsi="Times New Roman" w:eastAsia="宋体" w:cs="Times New Roman"/>
                <w:lang w:eastAsia="zh-CN"/>
              </w:rPr>
              <w:t>地表防渗等级满足要求，</w:t>
            </w:r>
            <w:r>
              <w:rPr>
                <w:rFonts w:hint="eastAsia" w:ascii="Times New Roman" w:hAnsi="Times New Roman" w:eastAsia="宋体" w:cs="Times New Roman"/>
              </w:rPr>
              <w:t>标识标牌</w:t>
            </w:r>
            <w:r>
              <w:rPr>
                <w:rFonts w:hint="default" w:ascii="Times New Roman" w:hAnsi="Times New Roman" w:eastAsia="宋体" w:cs="Times New Roman"/>
                <w:lang w:val="en-US" w:eastAsia="zh-CN"/>
              </w:rPr>
              <w:t>等应按照</w:t>
            </w:r>
            <w:r>
              <w:rPr>
                <w:rFonts w:hint="eastAsia" w:ascii="Times New Roman" w:hAnsi="Times New Roman" w:eastAsia="宋体" w:cs="Times New Roman"/>
              </w:rPr>
              <w:t>《危险废物贮存污染控制标准》（GB18597-2023）的规定进行配备</w:t>
            </w:r>
            <w:r>
              <w:rPr>
                <w:rFonts w:hint="default" w:ascii="Times New Roman" w:hAnsi="Times New Roman" w:eastAsia="宋体" w:cs="Times New Roman"/>
                <w:lang w:val="en-US" w:eastAsia="zh-CN"/>
              </w:rPr>
              <w:t>和管理。</w:t>
            </w:r>
          </w:p>
        </w:tc>
      </w:tr>
      <w:tr w14:paraId="32434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29" w:type="dxa"/>
            <w:vAlign w:val="center"/>
          </w:tcPr>
          <w:p w14:paraId="05100B69">
            <w:pPr>
              <w:pStyle w:val="5"/>
              <w:bidi w:val="0"/>
            </w:pPr>
            <w:r>
              <w:t>生态保护措施</w:t>
            </w:r>
          </w:p>
        </w:tc>
        <w:tc>
          <w:tcPr>
            <w:tcW w:w="8367" w:type="dxa"/>
            <w:gridSpan w:val="4"/>
            <w:vAlign w:val="center"/>
          </w:tcPr>
          <w:p w14:paraId="53926541">
            <w:pPr>
              <w:pStyle w:val="5"/>
              <w:bidi w:val="0"/>
              <w:jc w:val="both"/>
            </w:pPr>
            <w:r>
              <w:t>本项目</w:t>
            </w:r>
            <w:r>
              <w:rPr>
                <w:rFonts w:hint="eastAsia"/>
              </w:rPr>
              <w:t>不涉及</w:t>
            </w:r>
            <w:r>
              <w:t>新增用地，</w:t>
            </w:r>
            <w:r>
              <w:rPr>
                <w:rFonts w:hint="eastAsia"/>
              </w:rPr>
              <w:t>项目</w:t>
            </w:r>
            <w:r>
              <w:t>用地现状为已建厂房，不涉及生态破坏及生态保护措施。</w:t>
            </w:r>
          </w:p>
        </w:tc>
      </w:tr>
      <w:tr w14:paraId="7A4C7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9" w:type="dxa"/>
            <w:vAlign w:val="center"/>
          </w:tcPr>
          <w:p w14:paraId="633F735C">
            <w:pPr>
              <w:pStyle w:val="5"/>
              <w:bidi w:val="0"/>
            </w:pPr>
            <w:r>
              <w:t>环境风险防范措施</w:t>
            </w:r>
          </w:p>
        </w:tc>
        <w:tc>
          <w:tcPr>
            <w:tcW w:w="8367" w:type="dxa"/>
            <w:gridSpan w:val="4"/>
            <w:vAlign w:val="center"/>
          </w:tcPr>
          <w:p w14:paraId="14396E63">
            <w:pPr>
              <w:pStyle w:val="5"/>
              <w:bidi w:val="0"/>
              <w:jc w:val="both"/>
            </w:pPr>
            <w:r>
              <w:rPr>
                <w:rFonts w:hint="eastAsia"/>
              </w:rPr>
              <w:t>对外购原辅料进行收货检验，确保包装完好无损</w:t>
            </w:r>
            <w:r>
              <w:rPr>
                <w:rFonts w:hint="eastAsia"/>
                <w:lang w:eastAsia="zh-CN"/>
              </w:rPr>
              <w:t>，对</w:t>
            </w:r>
            <w:r>
              <w:rPr>
                <w:rFonts w:hint="eastAsia"/>
              </w:rPr>
              <w:t>危废暂存间进行重点防渗处置，危废暂存间内严禁使用明火，定期更换活性炭，定期对风机、活性炭进行检查及维护，并做好维护记录，制定</w:t>
            </w:r>
            <w:r>
              <w:rPr>
                <w:rFonts w:hint="eastAsia"/>
                <w:lang w:val="en-US" w:eastAsia="zh-CN"/>
              </w:rPr>
              <w:t>培训计划</w:t>
            </w:r>
            <w:r>
              <w:rPr>
                <w:rFonts w:hint="eastAsia"/>
              </w:rPr>
              <w:t>对工作员工进行上岗培训与环境应急培训，并定期进行演练，完善厂区应急预案及管理措施建设。</w:t>
            </w:r>
          </w:p>
        </w:tc>
      </w:tr>
      <w:tr w14:paraId="20363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29" w:type="dxa"/>
            <w:vAlign w:val="center"/>
          </w:tcPr>
          <w:p w14:paraId="627A3277">
            <w:pPr>
              <w:pStyle w:val="5"/>
              <w:bidi w:val="0"/>
            </w:pPr>
            <w:r>
              <w:t>其他环境</w:t>
            </w:r>
          </w:p>
          <w:p w14:paraId="04EEE211">
            <w:pPr>
              <w:pStyle w:val="5"/>
              <w:bidi w:val="0"/>
            </w:pPr>
            <w:r>
              <w:t>管理要求</w:t>
            </w:r>
          </w:p>
        </w:tc>
        <w:tc>
          <w:tcPr>
            <w:tcW w:w="8367" w:type="dxa"/>
            <w:gridSpan w:val="4"/>
            <w:vAlign w:val="center"/>
          </w:tcPr>
          <w:p w14:paraId="69936D39">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该建设项目竣工后，建设单位应当按照国务院生态环境行政主管部门规定的标准和程序，对配套建设的环境保护设施进行验收，编制验收报告；建设单位在环境保护设施验收过程中，应当如实查验、监测、记载建设项目环境保护设施的建设和调试情况，不得弄虚作假；同时应当依法向社会公开验收报告；其配套建设的环境保护设施经验收合格，方可投入生产或者使用；未经验收或者验收不合格的，不得投入生产或者使用。</w:t>
            </w:r>
          </w:p>
          <w:p w14:paraId="1F57BB5E">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（2）建成后根据国家相关规定，及时</w:t>
            </w:r>
            <w:r>
              <w:rPr>
                <w:rFonts w:hint="eastAsia" w:ascii="Times New Roman" w:hAnsi="Times New Roman" w:cs="Times New Roman"/>
                <w:color w:val="auto"/>
                <w:sz w:val="21"/>
                <w:lang w:val="en-US" w:eastAsia="zh-CN"/>
              </w:rPr>
              <w:t>申请</w:t>
            </w:r>
            <w:r>
              <w:rPr>
                <w:rFonts w:hint="eastAsia" w:ascii="Times New Roman" w:hAnsi="Times New Roman" w:eastAsia="宋体" w:cs="Times New Roman"/>
                <w:color w:val="auto"/>
                <w:sz w:val="21"/>
              </w:rPr>
              <w:t>排污许可证。</w:t>
            </w:r>
          </w:p>
          <w:p w14:paraId="567C65B8">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（3）依据《排污口规范化整治技术要求（试行）》（环监〔1996〕470号）文件要求对排污口进行规范化管理；应按照《污染源监测技术规范》要求，设置排放污染物的采样点。</w:t>
            </w:r>
          </w:p>
          <w:p w14:paraId="7D08470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标识标牌分别按《环境保护图形标志排放口（源）》（GB15562.1-1995）和《环境保护图形标志固体废物贮存（处置）场》（GB15562.2-1995）执行。污染物排放口的环保图形标志牌，应设置在靠近采样点的醒目处，标志牌设置高度为其上缘距地面2m。</w:t>
            </w:r>
          </w:p>
          <w:p w14:paraId="673E5684">
            <w:pPr>
              <w:keepNext w:val="0"/>
              <w:keepLines w:val="0"/>
              <w:wordWrap/>
              <w:bidi w:val="0"/>
              <w:adjustRightInd w:val="0"/>
              <w:snapToGrid w:val="0"/>
              <w:spacing w:line="360" w:lineRule="exact"/>
              <w:ind w:firstLine="420" w:firstLineChars="200"/>
              <w:rPr>
                <w:rFonts w:hint="default"/>
                <w:lang w:val="en-US" w:eastAsia="zh-CN"/>
              </w:rPr>
            </w:pPr>
            <w:r>
              <w:rPr>
                <w:rFonts w:hint="eastAsia" w:ascii="Times New Roman" w:hAnsi="Times New Roman" w:eastAsia="宋体" w:cs="Times New Roman"/>
                <w:color w:val="auto"/>
                <w:sz w:val="21"/>
              </w:rPr>
              <w:t>（5）根据《排污单位自行监测技术指南 总则》（HJ819-2017）等要求落实</w:t>
            </w:r>
            <w:r>
              <w:rPr>
                <w:rFonts w:hint="eastAsia" w:ascii="Times New Roman" w:hAnsi="Times New Roman" w:eastAsia="宋体" w:cs="Times New Roman"/>
                <w:color w:val="auto"/>
                <w:sz w:val="21"/>
                <w:lang w:val="en-US" w:eastAsia="zh-CN"/>
              </w:rPr>
              <w:t>本项目提出的</w:t>
            </w:r>
            <w:r>
              <w:rPr>
                <w:rFonts w:hint="eastAsia" w:ascii="Times New Roman" w:hAnsi="Times New Roman" w:eastAsia="宋体" w:cs="Times New Roman"/>
                <w:color w:val="auto"/>
                <w:sz w:val="21"/>
              </w:rPr>
              <w:t>环境监测计划。</w:t>
            </w:r>
          </w:p>
        </w:tc>
      </w:tr>
    </w:tbl>
    <w:p w14:paraId="7C14477D">
      <w:r>
        <w:br w:type="page"/>
      </w:r>
    </w:p>
    <w:p w14:paraId="7AA7D4E8">
      <w:pPr>
        <w:pStyle w:val="3"/>
        <w:rPr>
          <w:color w:val="auto"/>
        </w:rPr>
      </w:pPr>
      <w:bookmarkStart w:id="41" w:name="_Toc8936"/>
      <w:bookmarkStart w:id="42" w:name="_Toc21891"/>
      <w:bookmarkStart w:id="43" w:name="_Toc22797"/>
      <w:bookmarkStart w:id="44" w:name="_Toc24568"/>
      <w:bookmarkStart w:id="45" w:name="_Toc6854"/>
      <w:bookmarkStart w:id="46" w:name="_Toc7274"/>
      <w:r>
        <w:rPr>
          <w:rFonts w:hint="eastAsia"/>
          <w:color w:val="auto"/>
        </w:rPr>
        <w:t>六、结论</w:t>
      </w:r>
      <w:bookmarkEnd w:id="41"/>
      <w:bookmarkEnd w:id="42"/>
      <w:bookmarkEnd w:id="43"/>
      <w:bookmarkEnd w:id="44"/>
      <w:bookmarkEnd w:id="45"/>
      <w:bookmarkEnd w:id="46"/>
    </w:p>
    <w:tbl>
      <w:tblPr>
        <w:tblStyle w:val="3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B9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6" w:hRule="atLeast"/>
          <w:jc w:val="center"/>
        </w:trPr>
        <w:tc>
          <w:tcPr>
            <w:tcW w:w="9071" w:type="dxa"/>
          </w:tcPr>
          <w:p w14:paraId="139FBF6C">
            <w:pPr>
              <w:pStyle w:val="38"/>
              <w:ind w:firstLine="480"/>
              <w:rPr>
                <w:color w:val="auto"/>
              </w:rPr>
            </w:pPr>
            <w:r>
              <w:rPr>
                <w:rFonts w:hint="eastAsia"/>
                <w:color w:val="auto"/>
              </w:rPr>
              <w:t>根据前文分析，评价认为：本项目符合国家产业政策，选址符合当地规划要求，周边无大的环境制约因素。采取相应环保措施实施后可使外排污染物达标排放。因此，本项目只要全面严格落实环境影响报告表提出的环保措施，严格执行环保“三同时”制度，确保项目产生的污染物稳定达标排放，并严格按照环评要求进行环境风险防范，从环保角度而言，本项目的建设是可行的。</w:t>
            </w:r>
          </w:p>
          <w:p w14:paraId="727F3E84">
            <w:pPr>
              <w:pStyle w:val="38"/>
              <w:ind w:firstLine="480"/>
              <w:rPr>
                <w:color w:val="auto"/>
              </w:rPr>
            </w:pPr>
          </w:p>
          <w:p w14:paraId="168E3535">
            <w:pPr>
              <w:pStyle w:val="38"/>
              <w:ind w:firstLine="480"/>
              <w:rPr>
                <w:color w:val="auto"/>
              </w:rPr>
            </w:pPr>
          </w:p>
          <w:p w14:paraId="689BF16B">
            <w:pPr>
              <w:pStyle w:val="38"/>
              <w:ind w:firstLine="480"/>
              <w:rPr>
                <w:color w:val="auto"/>
              </w:rPr>
            </w:pPr>
          </w:p>
          <w:p w14:paraId="4189746E">
            <w:pPr>
              <w:pStyle w:val="38"/>
              <w:ind w:firstLine="480"/>
              <w:rPr>
                <w:color w:val="auto"/>
              </w:rPr>
            </w:pPr>
          </w:p>
          <w:p w14:paraId="514482A4">
            <w:pPr>
              <w:pStyle w:val="38"/>
              <w:ind w:firstLine="480"/>
              <w:rPr>
                <w:color w:val="auto"/>
              </w:rPr>
            </w:pPr>
          </w:p>
          <w:p w14:paraId="4C54AFE2">
            <w:pPr>
              <w:pStyle w:val="38"/>
              <w:ind w:firstLine="480"/>
              <w:rPr>
                <w:color w:val="auto"/>
              </w:rPr>
            </w:pPr>
          </w:p>
          <w:p w14:paraId="67EC56ED">
            <w:pPr>
              <w:pStyle w:val="38"/>
              <w:ind w:firstLine="480"/>
              <w:rPr>
                <w:color w:val="auto"/>
              </w:rPr>
            </w:pPr>
          </w:p>
          <w:p w14:paraId="70CFBC87">
            <w:pPr>
              <w:pStyle w:val="38"/>
              <w:ind w:firstLine="480"/>
              <w:rPr>
                <w:color w:val="auto"/>
              </w:rPr>
            </w:pPr>
          </w:p>
          <w:p w14:paraId="6C807F9A">
            <w:pPr>
              <w:pStyle w:val="38"/>
              <w:ind w:firstLine="480"/>
              <w:rPr>
                <w:color w:val="auto"/>
              </w:rPr>
            </w:pPr>
          </w:p>
          <w:p w14:paraId="18AC1AD4">
            <w:pPr>
              <w:pStyle w:val="38"/>
              <w:ind w:firstLine="480"/>
              <w:rPr>
                <w:color w:val="auto"/>
              </w:rPr>
            </w:pPr>
          </w:p>
          <w:p w14:paraId="1D8DEF70">
            <w:pPr>
              <w:pStyle w:val="38"/>
              <w:ind w:firstLine="480"/>
              <w:rPr>
                <w:color w:val="auto"/>
              </w:rPr>
            </w:pPr>
          </w:p>
          <w:p w14:paraId="69276CE8">
            <w:pPr>
              <w:pStyle w:val="38"/>
              <w:ind w:firstLine="480"/>
              <w:rPr>
                <w:color w:val="auto"/>
              </w:rPr>
            </w:pPr>
          </w:p>
          <w:p w14:paraId="2889FC97">
            <w:pPr>
              <w:pStyle w:val="38"/>
              <w:ind w:firstLine="480"/>
              <w:rPr>
                <w:color w:val="auto"/>
              </w:rPr>
            </w:pPr>
          </w:p>
          <w:p w14:paraId="50ABED71">
            <w:pPr>
              <w:pStyle w:val="38"/>
              <w:ind w:firstLine="480"/>
              <w:rPr>
                <w:color w:val="auto"/>
              </w:rPr>
            </w:pPr>
          </w:p>
          <w:p w14:paraId="6EC0F7EB">
            <w:pPr>
              <w:pStyle w:val="38"/>
              <w:ind w:firstLine="480"/>
              <w:rPr>
                <w:color w:val="auto"/>
              </w:rPr>
            </w:pPr>
          </w:p>
          <w:p w14:paraId="7BF3D37A">
            <w:pPr>
              <w:pStyle w:val="38"/>
              <w:ind w:firstLine="480"/>
              <w:rPr>
                <w:color w:val="auto"/>
              </w:rPr>
            </w:pPr>
          </w:p>
          <w:p w14:paraId="5404D8BE">
            <w:pPr>
              <w:pStyle w:val="38"/>
              <w:ind w:firstLine="480"/>
              <w:rPr>
                <w:color w:val="auto"/>
              </w:rPr>
            </w:pPr>
          </w:p>
          <w:p w14:paraId="58FBE0BE">
            <w:pPr>
              <w:pStyle w:val="38"/>
              <w:ind w:firstLine="480"/>
              <w:rPr>
                <w:color w:val="auto"/>
              </w:rPr>
            </w:pPr>
          </w:p>
          <w:p w14:paraId="51E9AC31">
            <w:pPr>
              <w:pStyle w:val="38"/>
              <w:ind w:firstLine="480"/>
              <w:rPr>
                <w:color w:val="auto"/>
              </w:rPr>
            </w:pPr>
          </w:p>
          <w:p w14:paraId="0C7FC578">
            <w:pPr>
              <w:pStyle w:val="38"/>
              <w:ind w:firstLine="480"/>
              <w:rPr>
                <w:color w:val="auto"/>
              </w:rPr>
            </w:pPr>
          </w:p>
          <w:p w14:paraId="3B4B6049">
            <w:pPr>
              <w:pStyle w:val="38"/>
              <w:ind w:left="0" w:leftChars="0" w:firstLine="0" w:firstLineChars="0"/>
              <w:rPr>
                <w:color w:val="auto"/>
              </w:rPr>
            </w:pPr>
          </w:p>
        </w:tc>
      </w:tr>
    </w:tbl>
    <w:p w14:paraId="1891AC3D">
      <w:pPr>
        <w:spacing w:line="240" w:lineRule="auto"/>
        <w:ind w:left="0" w:leftChars="0" w:firstLine="0" w:firstLineChars="0"/>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A77D569">
      <w:pPr>
        <w:pStyle w:val="3"/>
        <w:rPr>
          <w:color w:val="auto"/>
        </w:rPr>
      </w:pPr>
      <w:bookmarkStart w:id="47" w:name="_Toc13252"/>
      <w:bookmarkStart w:id="48" w:name="_Toc18137"/>
      <w:bookmarkStart w:id="49" w:name="_Toc11492"/>
      <w:bookmarkStart w:id="50" w:name="_Toc28435"/>
      <w:bookmarkStart w:id="51" w:name="_Toc1351"/>
      <w:bookmarkStart w:id="52" w:name="_Toc7671"/>
      <w:r>
        <w:rPr>
          <w:color w:val="auto"/>
        </w:rPr>
        <w:t>建设项目污染物排放量汇总表</w:t>
      </w:r>
      <w:bookmarkEnd w:id="47"/>
      <w:bookmarkEnd w:id="48"/>
      <w:bookmarkEnd w:id="49"/>
      <w:bookmarkEnd w:id="50"/>
      <w:bookmarkEnd w:id="51"/>
      <w:bookmarkEnd w:id="52"/>
    </w:p>
    <w:tbl>
      <w:tblPr>
        <w:tblStyle w:val="43"/>
        <w:tblW w:w="14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875"/>
        <w:gridCol w:w="1517"/>
        <w:gridCol w:w="1215"/>
        <w:gridCol w:w="1635"/>
        <w:gridCol w:w="1620"/>
        <w:gridCol w:w="1965"/>
        <w:gridCol w:w="2235"/>
        <w:gridCol w:w="1811"/>
      </w:tblGrid>
      <w:tr w14:paraId="174A1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106" w:type="dxa"/>
            <w:tcBorders>
              <w:tl2br w:val="nil"/>
              <w:tr2bl w:val="nil"/>
            </w:tcBorders>
            <w:vAlign w:val="center"/>
          </w:tcPr>
          <w:p w14:paraId="128992D8">
            <w:pPr>
              <w:pStyle w:val="5"/>
              <w:bidi w:val="0"/>
              <w:rPr>
                <w:b/>
                <w:bCs/>
              </w:rPr>
            </w:pPr>
            <w:r>
              <w:rPr>
                <w:b/>
                <w:bCs/>
              </w:rPr>
              <w:t>分类</w:t>
            </w:r>
          </w:p>
          <w:p w14:paraId="42D3125B">
            <w:pPr>
              <w:pStyle w:val="5"/>
              <w:bidi w:val="0"/>
              <w:rPr>
                <w:b/>
                <w:bCs/>
              </w:rPr>
            </w:pPr>
            <w:r>
              <w:rPr>
                <w:b/>
                <w:bCs/>
              </w:rPr>
              <w:t>项目</w:t>
            </w:r>
          </w:p>
        </w:tc>
        <w:tc>
          <w:tcPr>
            <w:tcW w:w="1875" w:type="dxa"/>
            <w:tcBorders>
              <w:tl2br w:val="nil"/>
              <w:tr2bl w:val="nil"/>
            </w:tcBorders>
            <w:vAlign w:val="center"/>
          </w:tcPr>
          <w:p w14:paraId="3673F524">
            <w:pPr>
              <w:pStyle w:val="5"/>
              <w:bidi w:val="0"/>
              <w:rPr>
                <w:b/>
                <w:bCs/>
              </w:rPr>
            </w:pPr>
            <w:r>
              <w:rPr>
                <w:b/>
                <w:bCs/>
              </w:rPr>
              <w:t>污染物名称</w:t>
            </w:r>
          </w:p>
        </w:tc>
        <w:tc>
          <w:tcPr>
            <w:tcW w:w="1517" w:type="dxa"/>
            <w:tcBorders>
              <w:tl2br w:val="nil"/>
              <w:tr2bl w:val="nil"/>
            </w:tcBorders>
            <w:vAlign w:val="center"/>
          </w:tcPr>
          <w:p w14:paraId="199035E1">
            <w:pPr>
              <w:pStyle w:val="5"/>
              <w:bidi w:val="0"/>
              <w:rPr>
                <w:b/>
                <w:bCs/>
              </w:rPr>
            </w:pPr>
            <w:r>
              <w:rPr>
                <w:b/>
                <w:bCs/>
              </w:rPr>
              <w:t>现有工程排放量</w:t>
            </w:r>
          </w:p>
          <w:p w14:paraId="4C6FBD5F">
            <w:pPr>
              <w:pStyle w:val="5"/>
              <w:bidi w:val="0"/>
              <w:rPr>
                <w:b/>
                <w:bCs/>
              </w:rPr>
            </w:pPr>
            <w:r>
              <w:rPr>
                <w:b/>
                <w:bCs/>
              </w:rPr>
              <w:t>（固体废物产生量）①</w:t>
            </w:r>
          </w:p>
        </w:tc>
        <w:tc>
          <w:tcPr>
            <w:tcW w:w="1215" w:type="dxa"/>
            <w:tcBorders>
              <w:tl2br w:val="nil"/>
              <w:tr2bl w:val="nil"/>
            </w:tcBorders>
            <w:vAlign w:val="center"/>
          </w:tcPr>
          <w:p w14:paraId="75C0CE09">
            <w:pPr>
              <w:pStyle w:val="5"/>
              <w:bidi w:val="0"/>
              <w:rPr>
                <w:b/>
                <w:bCs/>
              </w:rPr>
            </w:pPr>
            <w:r>
              <w:rPr>
                <w:b/>
                <w:bCs/>
              </w:rPr>
              <w:t>现有工程许可排放量②</w:t>
            </w:r>
          </w:p>
        </w:tc>
        <w:tc>
          <w:tcPr>
            <w:tcW w:w="1635" w:type="dxa"/>
            <w:tcBorders>
              <w:tl2br w:val="nil"/>
              <w:tr2bl w:val="nil"/>
            </w:tcBorders>
            <w:vAlign w:val="center"/>
          </w:tcPr>
          <w:p w14:paraId="00AD1806">
            <w:pPr>
              <w:pStyle w:val="5"/>
              <w:bidi w:val="0"/>
              <w:rPr>
                <w:b/>
                <w:bCs/>
              </w:rPr>
            </w:pPr>
            <w:r>
              <w:rPr>
                <w:b/>
                <w:bCs/>
              </w:rPr>
              <w:t>在建工程排放量</w:t>
            </w:r>
          </w:p>
          <w:p w14:paraId="0B7F4F43">
            <w:pPr>
              <w:pStyle w:val="5"/>
              <w:bidi w:val="0"/>
              <w:rPr>
                <w:b/>
                <w:bCs/>
              </w:rPr>
            </w:pPr>
            <w:r>
              <w:rPr>
                <w:b/>
                <w:bCs/>
              </w:rPr>
              <w:t>（固体废物产生量）③</w:t>
            </w:r>
          </w:p>
        </w:tc>
        <w:tc>
          <w:tcPr>
            <w:tcW w:w="1620" w:type="dxa"/>
            <w:tcBorders>
              <w:tl2br w:val="nil"/>
              <w:tr2bl w:val="nil"/>
            </w:tcBorders>
            <w:vAlign w:val="center"/>
          </w:tcPr>
          <w:p w14:paraId="2E106FD8">
            <w:pPr>
              <w:pStyle w:val="5"/>
              <w:bidi w:val="0"/>
              <w:rPr>
                <w:b/>
                <w:bCs/>
              </w:rPr>
            </w:pPr>
            <w:r>
              <w:rPr>
                <w:b/>
                <w:bCs/>
              </w:rPr>
              <w:t>本项目排放量</w:t>
            </w:r>
          </w:p>
          <w:p w14:paraId="479F80C8">
            <w:pPr>
              <w:pStyle w:val="5"/>
              <w:bidi w:val="0"/>
              <w:rPr>
                <w:b/>
                <w:bCs/>
              </w:rPr>
            </w:pPr>
            <w:r>
              <w:rPr>
                <w:b/>
                <w:bCs/>
              </w:rPr>
              <w:t>（固体废物产生量）④</w:t>
            </w:r>
          </w:p>
        </w:tc>
        <w:tc>
          <w:tcPr>
            <w:tcW w:w="1965" w:type="dxa"/>
            <w:tcBorders>
              <w:tl2br w:val="nil"/>
              <w:tr2bl w:val="nil"/>
            </w:tcBorders>
            <w:vAlign w:val="center"/>
          </w:tcPr>
          <w:p w14:paraId="4D1C498A">
            <w:pPr>
              <w:pStyle w:val="5"/>
              <w:bidi w:val="0"/>
              <w:rPr>
                <w:b/>
                <w:bCs/>
              </w:rPr>
            </w:pPr>
            <w:r>
              <w:rPr>
                <w:b/>
                <w:bCs/>
              </w:rPr>
              <w:t>以新带老削减量</w:t>
            </w:r>
          </w:p>
          <w:p w14:paraId="513E233A">
            <w:pPr>
              <w:pStyle w:val="5"/>
              <w:bidi w:val="0"/>
              <w:rPr>
                <w:b/>
                <w:bCs/>
              </w:rPr>
            </w:pPr>
            <w:r>
              <w:rPr>
                <w:b/>
                <w:bCs/>
              </w:rPr>
              <w:t>（新建项目不填）⑤</w:t>
            </w:r>
          </w:p>
        </w:tc>
        <w:tc>
          <w:tcPr>
            <w:tcW w:w="2235" w:type="dxa"/>
            <w:tcBorders>
              <w:tl2br w:val="nil"/>
              <w:tr2bl w:val="nil"/>
            </w:tcBorders>
            <w:vAlign w:val="center"/>
          </w:tcPr>
          <w:p w14:paraId="57DA37B8">
            <w:pPr>
              <w:pStyle w:val="5"/>
              <w:bidi w:val="0"/>
              <w:rPr>
                <w:b/>
                <w:bCs/>
              </w:rPr>
            </w:pPr>
            <w:r>
              <w:rPr>
                <w:b/>
                <w:bCs/>
              </w:rPr>
              <w:t>本项目建成后全厂排放量（固体废物产生量）⑥</w:t>
            </w:r>
          </w:p>
        </w:tc>
        <w:tc>
          <w:tcPr>
            <w:tcW w:w="1811" w:type="dxa"/>
            <w:tcBorders>
              <w:tl2br w:val="nil"/>
              <w:tr2bl w:val="nil"/>
            </w:tcBorders>
            <w:vAlign w:val="center"/>
          </w:tcPr>
          <w:p w14:paraId="69986AE7">
            <w:pPr>
              <w:pStyle w:val="5"/>
              <w:bidi w:val="0"/>
              <w:rPr>
                <w:b/>
                <w:bCs/>
              </w:rPr>
            </w:pPr>
            <w:r>
              <w:rPr>
                <w:b/>
                <w:bCs/>
              </w:rPr>
              <w:t>变化量⑦</w:t>
            </w:r>
          </w:p>
        </w:tc>
      </w:tr>
      <w:tr w14:paraId="3F048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tcBorders>
              <w:tl2br w:val="nil"/>
              <w:tr2bl w:val="nil"/>
            </w:tcBorders>
            <w:vAlign w:val="center"/>
          </w:tcPr>
          <w:p w14:paraId="0F6EF194">
            <w:pPr>
              <w:pStyle w:val="5"/>
              <w:bidi w:val="0"/>
            </w:pPr>
            <w:r>
              <w:t>废气</w:t>
            </w:r>
          </w:p>
        </w:tc>
        <w:tc>
          <w:tcPr>
            <w:tcW w:w="1875" w:type="dxa"/>
            <w:tcBorders>
              <w:tl2br w:val="nil"/>
              <w:tr2bl w:val="nil"/>
            </w:tcBorders>
            <w:vAlign w:val="center"/>
          </w:tcPr>
          <w:p w14:paraId="2E3672BD">
            <w:pPr>
              <w:pStyle w:val="5"/>
              <w:bidi w:val="0"/>
            </w:pPr>
            <w:r>
              <w:t>VOCs</w:t>
            </w:r>
            <w:r>
              <w:rPr>
                <w:color w:val="auto"/>
                <w:szCs w:val="21"/>
              </w:rPr>
              <w:t>（t/a）</w:t>
            </w:r>
          </w:p>
        </w:tc>
        <w:tc>
          <w:tcPr>
            <w:tcW w:w="1517" w:type="dxa"/>
            <w:tcBorders>
              <w:tl2br w:val="nil"/>
              <w:tr2bl w:val="nil"/>
            </w:tcBorders>
            <w:shd w:val="clear" w:color="auto" w:fill="auto"/>
            <w:vAlign w:val="center"/>
          </w:tcPr>
          <w:p w14:paraId="79DC8A6F">
            <w:pPr>
              <w:pStyle w:val="5"/>
              <w:bidi w:val="0"/>
              <w:rPr>
                <w:rFonts w:hint="eastAsia" w:eastAsia="宋体"/>
                <w:lang w:eastAsia="zh-CN"/>
              </w:rPr>
            </w:pPr>
            <w:r>
              <w:rPr>
                <w:rFonts w:hint="eastAsia"/>
                <w:lang w:val="en-US" w:eastAsia="zh-CN"/>
              </w:rPr>
              <w:t>0</w:t>
            </w:r>
          </w:p>
        </w:tc>
        <w:tc>
          <w:tcPr>
            <w:tcW w:w="1215" w:type="dxa"/>
            <w:tcBorders>
              <w:tl2br w:val="nil"/>
              <w:tr2bl w:val="nil"/>
            </w:tcBorders>
            <w:shd w:val="clear" w:color="auto" w:fill="auto"/>
            <w:vAlign w:val="center"/>
          </w:tcPr>
          <w:p w14:paraId="1CB7B2FF">
            <w:pPr>
              <w:pStyle w:val="5"/>
              <w:bidi w:val="0"/>
            </w:pPr>
            <w:r>
              <w:rPr>
                <w:rFonts w:hint="eastAsia"/>
              </w:rPr>
              <w:t>/</w:t>
            </w:r>
          </w:p>
        </w:tc>
        <w:tc>
          <w:tcPr>
            <w:tcW w:w="1635" w:type="dxa"/>
            <w:tcBorders>
              <w:tl2br w:val="nil"/>
              <w:tr2bl w:val="nil"/>
            </w:tcBorders>
            <w:vAlign w:val="center"/>
          </w:tcPr>
          <w:p w14:paraId="4E5A9F0D">
            <w:pPr>
              <w:pStyle w:val="5"/>
              <w:bidi w:val="0"/>
            </w:pPr>
            <w:r>
              <w:rPr>
                <w:rFonts w:hint="eastAsia"/>
              </w:rPr>
              <w:t>/</w:t>
            </w:r>
          </w:p>
        </w:tc>
        <w:tc>
          <w:tcPr>
            <w:tcW w:w="1620" w:type="dxa"/>
            <w:tcBorders>
              <w:tl2br w:val="nil"/>
              <w:tr2bl w:val="nil"/>
            </w:tcBorders>
            <w:vAlign w:val="center"/>
          </w:tcPr>
          <w:p w14:paraId="05949B54">
            <w:pPr>
              <w:pStyle w:val="5"/>
              <w:bidi w:val="0"/>
              <w:rPr>
                <w:rFonts w:hint="default" w:eastAsia="宋体"/>
                <w:lang w:val="en-US" w:eastAsia="zh-CN"/>
              </w:rPr>
            </w:pPr>
            <w:r>
              <w:rPr>
                <w:rFonts w:hint="eastAsia"/>
                <w:lang w:val="en-US" w:eastAsia="zh-CN"/>
              </w:rPr>
              <w:t>0.0298</w:t>
            </w:r>
          </w:p>
        </w:tc>
        <w:tc>
          <w:tcPr>
            <w:tcW w:w="1965" w:type="dxa"/>
            <w:tcBorders>
              <w:tl2br w:val="nil"/>
              <w:tr2bl w:val="nil"/>
            </w:tcBorders>
            <w:shd w:val="clear" w:color="auto" w:fill="auto"/>
            <w:vAlign w:val="center"/>
          </w:tcPr>
          <w:p w14:paraId="3117A4AE">
            <w:pPr>
              <w:pStyle w:val="5"/>
              <w:bidi w:val="0"/>
            </w:pPr>
            <w:r>
              <w:rPr>
                <w:rFonts w:hint="eastAsia"/>
              </w:rPr>
              <w:t>/</w:t>
            </w:r>
          </w:p>
        </w:tc>
        <w:tc>
          <w:tcPr>
            <w:tcW w:w="2235" w:type="dxa"/>
            <w:tcBorders>
              <w:tl2br w:val="nil"/>
              <w:tr2bl w:val="nil"/>
            </w:tcBorders>
            <w:shd w:val="clear" w:color="auto" w:fill="auto"/>
            <w:vAlign w:val="center"/>
          </w:tcPr>
          <w:p w14:paraId="731585C5">
            <w:pPr>
              <w:pStyle w:val="5"/>
              <w:bidi w:val="0"/>
              <w:rPr>
                <w:rFonts w:hint="default"/>
                <w:lang w:val="en-US" w:eastAsia="zh-CN"/>
              </w:rPr>
            </w:pPr>
            <w:r>
              <w:rPr>
                <w:rFonts w:hint="eastAsia"/>
                <w:lang w:val="en-US" w:eastAsia="zh-CN"/>
              </w:rPr>
              <w:t>0.0298</w:t>
            </w:r>
          </w:p>
        </w:tc>
        <w:tc>
          <w:tcPr>
            <w:tcW w:w="1811" w:type="dxa"/>
            <w:tcBorders>
              <w:tl2br w:val="nil"/>
              <w:tr2bl w:val="nil"/>
            </w:tcBorders>
            <w:shd w:val="clear" w:color="auto" w:fill="auto"/>
            <w:vAlign w:val="center"/>
          </w:tcPr>
          <w:p w14:paraId="1BB9B940">
            <w:pPr>
              <w:pStyle w:val="5"/>
              <w:bidi w:val="0"/>
              <w:rPr>
                <w:rFonts w:hint="default"/>
                <w:lang w:val="en-US" w:eastAsia="zh-CN"/>
              </w:rPr>
            </w:pPr>
            <w:r>
              <w:rPr>
                <w:rFonts w:hint="eastAsia"/>
                <w:lang w:val="en-US" w:eastAsia="zh-CN"/>
              </w:rPr>
              <w:t>+0.0298</w:t>
            </w:r>
          </w:p>
        </w:tc>
      </w:tr>
      <w:tr w14:paraId="72DD9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restart"/>
            <w:tcBorders>
              <w:tl2br w:val="nil"/>
              <w:tr2bl w:val="nil"/>
            </w:tcBorders>
            <w:vAlign w:val="center"/>
          </w:tcPr>
          <w:p w14:paraId="39306508">
            <w:pPr>
              <w:pStyle w:val="5"/>
              <w:bidi w:val="0"/>
            </w:pPr>
            <w:r>
              <w:t>废水</w:t>
            </w:r>
          </w:p>
        </w:tc>
        <w:tc>
          <w:tcPr>
            <w:tcW w:w="1875" w:type="dxa"/>
            <w:tcBorders>
              <w:tl2br w:val="nil"/>
              <w:tr2bl w:val="nil"/>
            </w:tcBorders>
            <w:vAlign w:val="center"/>
          </w:tcPr>
          <w:p w14:paraId="577CDA00">
            <w:pPr>
              <w:pStyle w:val="5"/>
              <w:bidi w:val="0"/>
              <w:ind w:firstLine="0" w:firstLineChars="0"/>
              <w:rPr>
                <w:rFonts w:hint="default"/>
                <w:lang w:val="en-US" w:eastAsia="zh-CN"/>
              </w:rPr>
            </w:pPr>
            <w:r>
              <w:rPr>
                <w:rFonts w:hint="eastAsia"/>
                <w:lang w:val="en-US" w:eastAsia="zh-CN"/>
              </w:rPr>
              <w:t>废水量</w:t>
            </w:r>
            <w:r>
              <w:rPr>
                <w:color w:val="auto"/>
                <w:szCs w:val="21"/>
              </w:rPr>
              <w:t>（t/a）</w:t>
            </w:r>
          </w:p>
        </w:tc>
        <w:tc>
          <w:tcPr>
            <w:tcW w:w="1517" w:type="dxa"/>
            <w:tcBorders>
              <w:tl2br w:val="nil"/>
              <w:tr2bl w:val="nil"/>
            </w:tcBorders>
            <w:shd w:val="clear" w:color="auto" w:fill="auto"/>
            <w:vAlign w:val="center"/>
          </w:tcPr>
          <w:p w14:paraId="22A9740D">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921.6</w:t>
            </w:r>
          </w:p>
        </w:tc>
        <w:tc>
          <w:tcPr>
            <w:tcW w:w="1215" w:type="dxa"/>
            <w:tcBorders>
              <w:tl2br w:val="nil"/>
              <w:tr2bl w:val="nil"/>
            </w:tcBorders>
            <w:shd w:val="clear" w:color="auto" w:fill="auto"/>
            <w:vAlign w:val="center"/>
          </w:tcPr>
          <w:p w14:paraId="48AAC749">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414096A2">
            <w:pPr>
              <w:pStyle w:val="5"/>
              <w:bidi w:val="0"/>
              <w:ind w:firstLine="0" w:firstLineChars="0"/>
              <w:rPr>
                <w:rFonts w:hint="eastAsia" w:ascii="Times New Roman" w:hAnsi="Times New Roman" w:eastAsia="宋体" w:cs="Times New Roman"/>
                <w:kern w:val="2"/>
                <w:sz w:val="21"/>
                <w:lang w:val="en-US" w:eastAsia="zh-CN" w:bidi="ar-SA"/>
              </w:rPr>
            </w:pPr>
          </w:p>
        </w:tc>
        <w:tc>
          <w:tcPr>
            <w:tcW w:w="1620" w:type="dxa"/>
            <w:tcBorders>
              <w:tl2br w:val="nil"/>
              <w:tr2bl w:val="nil"/>
            </w:tcBorders>
            <w:shd w:val="clear" w:color="auto" w:fill="auto"/>
            <w:vAlign w:val="center"/>
          </w:tcPr>
          <w:p w14:paraId="137054B7">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7CBBE6C6">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2235" w:type="dxa"/>
            <w:tcBorders>
              <w:tl2br w:val="nil"/>
              <w:tr2bl w:val="nil"/>
            </w:tcBorders>
            <w:shd w:val="clear" w:color="auto" w:fill="auto"/>
            <w:vAlign w:val="center"/>
          </w:tcPr>
          <w:p w14:paraId="574D1C76">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921.6</w:t>
            </w:r>
          </w:p>
        </w:tc>
        <w:tc>
          <w:tcPr>
            <w:tcW w:w="1811" w:type="dxa"/>
            <w:tcBorders>
              <w:tl2br w:val="nil"/>
              <w:tr2bl w:val="nil"/>
            </w:tcBorders>
            <w:shd w:val="clear" w:color="auto" w:fill="auto"/>
            <w:vAlign w:val="center"/>
          </w:tcPr>
          <w:p w14:paraId="6D581596">
            <w:pPr>
              <w:pStyle w:val="5"/>
              <w:bidi w:val="0"/>
              <w:ind w:firstLine="0" w:firstLineChars="0"/>
              <w:rPr>
                <w:rFonts w:hint="eastAsia"/>
                <w:highlight w:val="none"/>
                <w:lang w:val="en-US" w:eastAsia="zh-CN"/>
              </w:rPr>
            </w:pPr>
            <w:r>
              <w:rPr>
                <w:rFonts w:hint="eastAsia"/>
                <w:highlight w:val="none"/>
                <w:lang w:val="en-US" w:eastAsia="zh-CN"/>
              </w:rPr>
              <w:t>+0</w:t>
            </w:r>
          </w:p>
        </w:tc>
      </w:tr>
      <w:tr w14:paraId="22EF9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5CE5974B">
            <w:pPr>
              <w:pStyle w:val="5"/>
              <w:bidi w:val="0"/>
            </w:pPr>
          </w:p>
        </w:tc>
        <w:tc>
          <w:tcPr>
            <w:tcW w:w="1875" w:type="dxa"/>
            <w:tcBorders>
              <w:tl2br w:val="nil"/>
              <w:tr2bl w:val="nil"/>
            </w:tcBorders>
            <w:vAlign w:val="center"/>
          </w:tcPr>
          <w:p w14:paraId="5FB846F7">
            <w:pPr>
              <w:pStyle w:val="5"/>
              <w:bidi w:val="0"/>
              <w:ind w:firstLine="0" w:firstLineChars="0"/>
              <w:rPr>
                <w:rFonts w:hint="default" w:eastAsia="宋体"/>
                <w:lang w:val="en-US" w:eastAsia="zh-CN"/>
              </w:rPr>
            </w:pPr>
            <w:r>
              <w:rPr>
                <w:rFonts w:hint="eastAsia"/>
                <w:lang w:val="en-US" w:eastAsia="zh-CN"/>
              </w:rPr>
              <w:t>COD</w:t>
            </w:r>
            <w:r>
              <w:rPr>
                <w:color w:val="auto"/>
                <w:szCs w:val="21"/>
              </w:rPr>
              <w:t>（t/a）</w:t>
            </w:r>
          </w:p>
        </w:tc>
        <w:tc>
          <w:tcPr>
            <w:tcW w:w="1517" w:type="dxa"/>
            <w:tcBorders>
              <w:tl2br w:val="nil"/>
              <w:tr2bl w:val="nil"/>
            </w:tcBorders>
            <w:shd w:val="clear" w:color="auto" w:fill="auto"/>
            <w:vAlign w:val="center"/>
          </w:tcPr>
          <w:p w14:paraId="1FA5AB6B">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0.2120</w:t>
            </w:r>
          </w:p>
        </w:tc>
        <w:tc>
          <w:tcPr>
            <w:tcW w:w="1215" w:type="dxa"/>
            <w:tcBorders>
              <w:tl2br w:val="nil"/>
              <w:tr2bl w:val="nil"/>
            </w:tcBorders>
            <w:shd w:val="clear" w:color="auto" w:fill="auto"/>
            <w:vAlign w:val="center"/>
          </w:tcPr>
          <w:p w14:paraId="31ADDF65">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765FF004">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1620" w:type="dxa"/>
            <w:tcBorders>
              <w:tl2br w:val="nil"/>
              <w:tr2bl w:val="nil"/>
            </w:tcBorders>
            <w:shd w:val="clear" w:color="auto" w:fill="auto"/>
            <w:vAlign w:val="center"/>
          </w:tcPr>
          <w:p w14:paraId="5987D0D9">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4A63F75D">
            <w:pPr>
              <w:pStyle w:val="5"/>
              <w:bidi w:val="0"/>
              <w:ind w:firstLine="0" w:firstLineChars="0"/>
              <w:rPr>
                <w:rFonts w:hint="default" w:ascii="Times New Roman" w:hAnsi="Times New Roman" w:eastAsia="宋体" w:cs="Times New Roman"/>
                <w:kern w:val="2"/>
                <w:sz w:val="21"/>
                <w:lang w:val="en-US" w:eastAsia="zh-CN" w:bidi="ar-SA"/>
              </w:rPr>
            </w:pPr>
            <w:r>
              <w:rPr>
                <w:rFonts w:hint="eastAsia"/>
              </w:rPr>
              <w:t>/</w:t>
            </w:r>
          </w:p>
        </w:tc>
        <w:tc>
          <w:tcPr>
            <w:tcW w:w="2235" w:type="dxa"/>
            <w:tcBorders>
              <w:tl2br w:val="nil"/>
              <w:tr2bl w:val="nil"/>
            </w:tcBorders>
            <w:shd w:val="clear" w:color="auto" w:fill="auto"/>
            <w:vAlign w:val="center"/>
          </w:tcPr>
          <w:p w14:paraId="78157F27">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0.2120</w:t>
            </w:r>
          </w:p>
        </w:tc>
        <w:tc>
          <w:tcPr>
            <w:tcW w:w="1811" w:type="dxa"/>
            <w:tcBorders>
              <w:tl2br w:val="nil"/>
              <w:tr2bl w:val="nil"/>
            </w:tcBorders>
            <w:shd w:val="clear" w:color="auto" w:fill="auto"/>
            <w:vAlign w:val="center"/>
          </w:tcPr>
          <w:p w14:paraId="6BBBE93C">
            <w:pPr>
              <w:pStyle w:val="5"/>
              <w:bidi w:val="0"/>
              <w:ind w:firstLine="0" w:firstLineChars="0"/>
              <w:rPr>
                <w:rFonts w:hint="eastAsia" w:eastAsia="宋体"/>
                <w:lang w:val="en-US" w:eastAsia="zh-CN"/>
              </w:rPr>
            </w:pPr>
            <w:r>
              <w:rPr>
                <w:rFonts w:hint="eastAsia"/>
                <w:highlight w:val="none"/>
                <w:lang w:val="en-US" w:eastAsia="zh-CN"/>
              </w:rPr>
              <w:t>+0</w:t>
            </w:r>
          </w:p>
        </w:tc>
      </w:tr>
      <w:tr w14:paraId="7CEB6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441D65BF">
            <w:pPr>
              <w:pStyle w:val="5"/>
              <w:bidi w:val="0"/>
            </w:pPr>
          </w:p>
        </w:tc>
        <w:tc>
          <w:tcPr>
            <w:tcW w:w="1875" w:type="dxa"/>
            <w:tcBorders>
              <w:tl2br w:val="nil"/>
              <w:tr2bl w:val="nil"/>
            </w:tcBorders>
            <w:vAlign w:val="center"/>
          </w:tcPr>
          <w:p w14:paraId="66F7045B">
            <w:pPr>
              <w:pStyle w:val="5"/>
              <w:bidi w:val="0"/>
              <w:ind w:firstLine="0" w:firstLineChars="0"/>
              <w:rPr>
                <w:rFonts w:hint="default"/>
                <w:lang w:val="en-US" w:eastAsia="zh-CN"/>
              </w:rPr>
            </w:pPr>
            <w:r>
              <w:rPr>
                <w:rFonts w:hint="eastAsia" w:cs="Times New Roman"/>
                <w:kern w:val="2"/>
                <w:sz w:val="21"/>
                <w:lang w:val="en-US" w:eastAsia="zh-CN" w:bidi="ar-SA"/>
              </w:rPr>
              <w:t>BOD</w:t>
            </w:r>
            <w:r>
              <w:rPr>
                <w:color w:val="auto"/>
                <w:szCs w:val="21"/>
              </w:rPr>
              <w:t>（t/a）</w:t>
            </w:r>
          </w:p>
        </w:tc>
        <w:tc>
          <w:tcPr>
            <w:tcW w:w="1517" w:type="dxa"/>
            <w:tcBorders>
              <w:tl2br w:val="nil"/>
              <w:tr2bl w:val="nil"/>
            </w:tcBorders>
            <w:shd w:val="clear" w:color="auto" w:fill="auto"/>
            <w:vAlign w:val="center"/>
          </w:tcPr>
          <w:p w14:paraId="3EE1A191">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0.1659</w:t>
            </w:r>
          </w:p>
        </w:tc>
        <w:tc>
          <w:tcPr>
            <w:tcW w:w="1215" w:type="dxa"/>
            <w:tcBorders>
              <w:tl2br w:val="nil"/>
              <w:tr2bl w:val="nil"/>
            </w:tcBorders>
            <w:shd w:val="clear" w:color="auto" w:fill="auto"/>
            <w:vAlign w:val="center"/>
          </w:tcPr>
          <w:p w14:paraId="225B47A6">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0E843505">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1620" w:type="dxa"/>
            <w:tcBorders>
              <w:tl2br w:val="nil"/>
              <w:tr2bl w:val="nil"/>
            </w:tcBorders>
            <w:shd w:val="clear" w:color="auto" w:fill="auto"/>
            <w:vAlign w:val="center"/>
          </w:tcPr>
          <w:p w14:paraId="757F2911">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7EE830BA">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2235" w:type="dxa"/>
            <w:tcBorders>
              <w:tl2br w:val="nil"/>
              <w:tr2bl w:val="nil"/>
            </w:tcBorders>
            <w:shd w:val="clear" w:color="auto" w:fill="auto"/>
            <w:vAlign w:val="center"/>
          </w:tcPr>
          <w:p w14:paraId="74354347">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0.1659</w:t>
            </w:r>
          </w:p>
        </w:tc>
        <w:tc>
          <w:tcPr>
            <w:tcW w:w="1811" w:type="dxa"/>
            <w:tcBorders>
              <w:tl2br w:val="nil"/>
              <w:tr2bl w:val="nil"/>
            </w:tcBorders>
            <w:shd w:val="clear" w:color="auto" w:fill="auto"/>
            <w:vAlign w:val="center"/>
          </w:tcPr>
          <w:p w14:paraId="7D5D1952">
            <w:pPr>
              <w:pStyle w:val="5"/>
              <w:bidi w:val="0"/>
              <w:ind w:firstLine="0" w:firstLineChars="0"/>
              <w:rPr>
                <w:rFonts w:hint="default"/>
                <w:lang w:val="en-US" w:eastAsia="zh-CN"/>
              </w:rPr>
            </w:pPr>
            <w:r>
              <w:rPr>
                <w:rFonts w:hint="eastAsia"/>
                <w:highlight w:val="none"/>
                <w:lang w:val="en-US" w:eastAsia="zh-CN"/>
              </w:rPr>
              <w:t>+0</w:t>
            </w:r>
          </w:p>
        </w:tc>
      </w:tr>
      <w:tr w14:paraId="0D6D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11E7BEBC">
            <w:pPr>
              <w:pStyle w:val="5"/>
              <w:bidi w:val="0"/>
            </w:pPr>
          </w:p>
        </w:tc>
        <w:tc>
          <w:tcPr>
            <w:tcW w:w="1875" w:type="dxa"/>
            <w:tcBorders>
              <w:tl2br w:val="nil"/>
              <w:tr2bl w:val="nil"/>
            </w:tcBorders>
            <w:vAlign w:val="center"/>
          </w:tcPr>
          <w:p w14:paraId="081E3E92">
            <w:pPr>
              <w:pStyle w:val="5"/>
              <w:bidi w:val="0"/>
              <w:ind w:firstLine="0" w:firstLineChars="0"/>
              <w:rPr>
                <w:rFonts w:hint="eastAsia"/>
                <w:lang w:val="en-US" w:eastAsia="zh-CN"/>
              </w:rPr>
            </w:pPr>
            <w:r>
              <w:rPr>
                <w:rFonts w:hint="eastAsia"/>
                <w:color w:val="auto"/>
              </w:rPr>
              <w:t>NH</w:t>
            </w:r>
            <w:r>
              <w:rPr>
                <w:rFonts w:hint="eastAsia"/>
                <w:color w:val="auto"/>
                <w:vertAlign w:val="subscript"/>
              </w:rPr>
              <w:t>3</w:t>
            </w:r>
            <w:r>
              <w:rPr>
                <w:rFonts w:hint="eastAsia"/>
                <w:color w:val="auto"/>
              </w:rPr>
              <w:t>-N</w:t>
            </w:r>
            <w:r>
              <w:rPr>
                <w:color w:val="auto"/>
                <w:szCs w:val="21"/>
              </w:rPr>
              <w:t>（t/a）</w:t>
            </w:r>
          </w:p>
        </w:tc>
        <w:tc>
          <w:tcPr>
            <w:tcW w:w="1517" w:type="dxa"/>
            <w:tcBorders>
              <w:tl2br w:val="nil"/>
              <w:tr2bl w:val="nil"/>
            </w:tcBorders>
            <w:shd w:val="clear" w:color="auto" w:fill="auto"/>
            <w:vAlign w:val="center"/>
          </w:tcPr>
          <w:p w14:paraId="1ABC8BE5">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0.2580</w:t>
            </w:r>
          </w:p>
        </w:tc>
        <w:tc>
          <w:tcPr>
            <w:tcW w:w="1215" w:type="dxa"/>
            <w:tcBorders>
              <w:tl2br w:val="nil"/>
              <w:tr2bl w:val="nil"/>
            </w:tcBorders>
            <w:shd w:val="clear" w:color="auto" w:fill="auto"/>
            <w:vAlign w:val="center"/>
          </w:tcPr>
          <w:p w14:paraId="5BD9C964">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27579E1F">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1620" w:type="dxa"/>
            <w:tcBorders>
              <w:tl2br w:val="nil"/>
              <w:tr2bl w:val="nil"/>
            </w:tcBorders>
            <w:shd w:val="clear" w:color="auto" w:fill="auto"/>
            <w:vAlign w:val="center"/>
          </w:tcPr>
          <w:p w14:paraId="793F78D9">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54D41CEB">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eastAsia"/>
              </w:rPr>
              <w:t>/</w:t>
            </w:r>
          </w:p>
        </w:tc>
        <w:tc>
          <w:tcPr>
            <w:tcW w:w="2235" w:type="dxa"/>
            <w:tcBorders>
              <w:tl2br w:val="nil"/>
              <w:tr2bl w:val="nil"/>
            </w:tcBorders>
            <w:shd w:val="clear" w:color="auto" w:fill="auto"/>
            <w:vAlign w:val="center"/>
          </w:tcPr>
          <w:p w14:paraId="45A0B8DE">
            <w:pPr>
              <w:pStyle w:val="5"/>
              <w:bidi w:val="0"/>
              <w:ind w:firstLine="0" w:firstLineChars="0"/>
              <w:rPr>
                <w:rFonts w:hint="default" w:ascii="Times New Roman" w:hAnsi="Times New Roman" w:eastAsia="宋体" w:cs="Times New Roman"/>
                <w:kern w:val="2"/>
                <w:sz w:val="21"/>
                <w:highlight w:val="none"/>
                <w:lang w:val="en-US" w:eastAsia="zh-CN" w:bidi="ar-SA"/>
              </w:rPr>
            </w:pPr>
            <w:r>
              <w:rPr>
                <w:rFonts w:hint="eastAsia"/>
                <w:lang w:val="en-US" w:eastAsia="zh-CN"/>
              </w:rPr>
              <w:t>0.2580</w:t>
            </w:r>
          </w:p>
        </w:tc>
        <w:tc>
          <w:tcPr>
            <w:tcW w:w="1811" w:type="dxa"/>
            <w:tcBorders>
              <w:tl2br w:val="nil"/>
              <w:tr2bl w:val="nil"/>
            </w:tcBorders>
            <w:shd w:val="clear" w:color="auto" w:fill="auto"/>
            <w:vAlign w:val="center"/>
          </w:tcPr>
          <w:p w14:paraId="7BA5D080">
            <w:pPr>
              <w:pStyle w:val="5"/>
              <w:bidi w:val="0"/>
              <w:ind w:firstLine="0" w:firstLineChars="0"/>
              <w:rPr>
                <w:rFonts w:hint="eastAsia"/>
                <w:highlight w:val="none"/>
                <w:lang w:val="en-US" w:eastAsia="zh-CN"/>
              </w:rPr>
            </w:pPr>
            <w:r>
              <w:rPr>
                <w:rFonts w:hint="eastAsia"/>
                <w:highlight w:val="none"/>
                <w:lang w:val="en-US" w:eastAsia="zh-CN"/>
              </w:rPr>
              <w:t>+0</w:t>
            </w:r>
          </w:p>
        </w:tc>
      </w:tr>
      <w:tr w14:paraId="719CA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496BD093">
            <w:pPr>
              <w:pStyle w:val="5"/>
              <w:bidi w:val="0"/>
            </w:pPr>
          </w:p>
        </w:tc>
        <w:tc>
          <w:tcPr>
            <w:tcW w:w="1875" w:type="dxa"/>
            <w:tcBorders>
              <w:tl2br w:val="nil"/>
              <w:tr2bl w:val="nil"/>
            </w:tcBorders>
            <w:vAlign w:val="center"/>
          </w:tcPr>
          <w:p w14:paraId="5C431517">
            <w:pPr>
              <w:pStyle w:val="5"/>
              <w:bidi w:val="0"/>
              <w:ind w:firstLine="0" w:firstLineChars="0"/>
              <w:rPr>
                <w:rFonts w:hint="eastAsia"/>
                <w:lang w:val="en-US" w:eastAsia="zh-CN"/>
              </w:rPr>
            </w:pPr>
            <w:r>
              <w:rPr>
                <w:rFonts w:hint="eastAsia"/>
                <w:lang w:val="en-US" w:eastAsia="zh-CN"/>
              </w:rPr>
              <w:t>总磷</w:t>
            </w:r>
            <w:r>
              <w:rPr>
                <w:color w:val="auto"/>
                <w:szCs w:val="21"/>
              </w:rPr>
              <w:t>（t/a）</w:t>
            </w:r>
          </w:p>
        </w:tc>
        <w:tc>
          <w:tcPr>
            <w:tcW w:w="1517" w:type="dxa"/>
            <w:tcBorders>
              <w:tl2br w:val="nil"/>
              <w:tr2bl w:val="nil"/>
            </w:tcBorders>
            <w:shd w:val="clear" w:color="auto" w:fill="auto"/>
            <w:vAlign w:val="center"/>
          </w:tcPr>
          <w:p w14:paraId="7B364EEB">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0.0026</w:t>
            </w:r>
          </w:p>
        </w:tc>
        <w:tc>
          <w:tcPr>
            <w:tcW w:w="1215" w:type="dxa"/>
            <w:tcBorders>
              <w:tl2br w:val="nil"/>
              <w:tr2bl w:val="nil"/>
            </w:tcBorders>
            <w:shd w:val="clear" w:color="auto" w:fill="auto"/>
            <w:vAlign w:val="center"/>
          </w:tcPr>
          <w:p w14:paraId="219D66F4">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15B7F19D">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1620" w:type="dxa"/>
            <w:tcBorders>
              <w:tl2br w:val="nil"/>
              <w:tr2bl w:val="nil"/>
            </w:tcBorders>
            <w:shd w:val="clear" w:color="auto" w:fill="auto"/>
            <w:vAlign w:val="center"/>
          </w:tcPr>
          <w:p w14:paraId="1FF26E2A">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2C9710EE">
            <w:pPr>
              <w:pStyle w:val="5"/>
              <w:bidi w:val="0"/>
              <w:ind w:firstLine="0" w:firstLineChars="0"/>
              <w:rPr>
                <w:rFonts w:hint="eastAsia" w:ascii="Times New Roman" w:hAnsi="Times New Roman" w:eastAsia="宋体" w:cs="Times New Roman"/>
                <w:kern w:val="2"/>
                <w:sz w:val="21"/>
                <w:highlight w:val="none"/>
                <w:lang w:val="en-US" w:eastAsia="zh-CN" w:bidi="ar-SA"/>
              </w:rPr>
            </w:pPr>
            <w:r>
              <w:rPr>
                <w:rFonts w:hint="eastAsia"/>
              </w:rPr>
              <w:t>/</w:t>
            </w:r>
          </w:p>
        </w:tc>
        <w:tc>
          <w:tcPr>
            <w:tcW w:w="2235" w:type="dxa"/>
            <w:tcBorders>
              <w:tl2br w:val="nil"/>
              <w:tr2bl w:val="nil"/>
            </w:tcBorders>
            <w:shd w:val="clear" w:color="auto" w:fill="auto"/>
            <w:vAlign w:val="center"/>
          </w:tcPr>
          <w:p w14:paraId="5AB108A8">
            <w:pPr>
              <w:pStyle w:val="5"/>
              <w:bidi w:val="0"/>
              <w:ind w:firstLine="0" w:firstLineChars="0"/>
              <w:rPr>
                <w:rFonts w:hint="default" w:ascii="Times New Roman" w:hAnsi="Times New Roman" w:eastAsia="宋体" w:cs="Times New Roman"/>
                <w:kern w:val="2"/>
                <w:sz w:val="21"/>
                <w:highlight w:val="none"/>
                <w:lang w:val="en-US" w:eastAsia="zh-CN" w:bidi="ar-SA"/>
              </w:rPr>
            </w:pPr>
            <w:r>
              <w:rPr>
                <w:rFonts w:hint="eastAsia"/>
                <w:lang w:val="en-US" w:eastAsia="zh-CN"/>
              </w:rPr>
              <w:t>0.0026</w:t>
            </w:r>
          </w:p>
        </w:tc>
        <w:tc>
          <w:tcPr>
            <w:tcW w:w="1811" w:type="dxa"/>
            <w:tcBorders>
              <w:tl2br w:val="nil"/>
              <w:tr2bl w:val="nil"/>
            </w:tcBorders>
            <w:shd w:val="clear" w:color="auto" w:fill="auto"/>
            <w:vAlign w:val="center"/>
          </w:tcPr>
          <w:p w14:paraId="48FACAFF">
            <w:pPr>
              <w:pStyle w:val="5"/>
              <w:bidi w:val="0"/>
              <w:ind w:firstLine="0" w:firstLineChars="0"/>
              <w:rPr>
                <w:rFonts w:hint="eastAsia"/>
                <w:highlight w:val="none"/>
                <w:lang w:val="en-US" w:eastAsia="zh-CN"/>
              </w:rPr>
            </w:pPr>
            <w:r>
              <w:rPr>
                <w:rFonts w:hint="eastAsia"/>
                <w:highlight w:val="none"/>
                <w:lang w:val="en-US" w:eastAsia="zh-CN"/>
              </w:rPr>
              <w:t>+0</w:t>
            </w:r>
          </w:p>
        </w:tc>
      </w:tr>
      <w:tr w14:paraId="0DEC6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5DA29901">
            <w:pPr>
              <w:pStyle w:val="5"/>
              <w:bidi w:val="0"/>
            </w:pPr>
          </w:p>
        </w:tc>
        <w:tc>
          <w:tcPr>
            <w:tcW w:w="1875" w:type="dxa"/>
            <w:tcBorders>
              <w:tl2br w:val="nil"/>
              <w:tr2bl w:val="nil"/>
            </w:tcBorders>
            <w:vAlign w:val="center"/>
          </w:tcPr>
          <w:p w14:paraId="2DCF0E64">
            <w:pPr>
              <w:pStyle w:val="5"/>
              <w:bidi w:val="0"/>
              <w:ind w:firstLine="0" w:firstLineChars="0"/>
              <w:jc w:val="center"/>
              <w:rPr>
                <w:rFonts w:hint="eastAsia"/>
                <w:lang w:val="en-US" w:eastAsia="zh-CN"/>
              </w:rPr>
            </w:pPr>
            <w:r>
              <w:rPr>
                <w:rFonts w:hint="eastAsia"/>
                <w:lang w:val="en-US" w:eastAsia="zh-CN"/>
              </w:rPr>
              <w:t>SS</w:t>
            </w:r>
            <w:r>
              <w:rPr>
                <w:color w:val="auto"/>
                <w:szCs w:val="21"/>
              </w:rPr>
              <w:t>（t/a）</w:t>
            </w:r>
          </w:p>
        </w:tc>
        <w:tc>
          <w:tcPr>
            <w:tcW w:w="1517" w:type="dxa"/>
            <w:tcBorders>
              <w:tl2br w:val="nil"/>
              <w:tr2bl w:val="nil"/>
            </w:tcBorders>
            <w:shd w:val="clear" w:color="auto" w:fill="auto"/>
            <w:vAlign w:val="center"/>
          </w:tcPr>
          <w:p w14:paraId="57330499">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0.1382</w:t>
            </w:r>
          </w:p>
        </w:tc>
        <w:tc>
          <w:tcPr>
            <w:tcW w:w="1215" w:type="dxa"/>
            <w:tcBorders>
              <w:tl2br w:val="nil"/>
              <w:tr2bl w:val="nil"/>
            </w:tcBorders>
            <w:shd w:val="clear" w:color="auto" w:fill="auto"/>
            <w:vAlign w:val="center"/>
          </w:tcPr>
          <w:p w14:paraId="6CFECAF3">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w:t>
            </w:r>
          </w:p>
        </w:tc>
        <w:tc>
          <w:tcPr>
            <w:tcW w:w="1635" w:type="dxa"/>
            <w:tcBorders>
              <w:tl2br w:val="nil"/>
              <w:tr2bl w:val="nil"/>
            </w:tcBorders>
            <w:shd w:val="clear" w:color="auto" w:fill="auto"/>
            <w:vAlign w:val="center"/>
          </w:tcPr>
          <w:p w14:paraId="40AFA751">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1620" w:type="dxa"/>
            <w:tcBorders>
              <w:tl2br w:val="nil"/>
              <w:tr2bl w:val="nil"/>
            </w:tcBorders>
            <w:shd w:val="clear" w:color="auto" w:fill="auto"/>
            <w:vAlign w:val="center"/>
          </w:tcPr>
          <w:p w14:paraId="7F7D305D">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w:t>
            </w:r>
          </w:p>
        </w:tc>
        <w:tc>
          <w:tcPr>
            <w:tcW w:w="1965" w:type="dxa"/>
            <w:tcBorders>
              <w:tl2br w:val="nil"/>
              <w:tr2bl w:val="nil"/>
            </w:tcBorders>
            <w:shd w:val="clear" w:color="auto" w:fill="auto"/>
            <w:vAlign w:val="center"/>
          </w:tcPr>
          <w:p w14:paraId="7F740487">
            <w:pPr>
              <w:pStyle w:val="5"/>
              <w:bidi w:val="0"/>
              <w:ind w:firstLine="0" w:firstLineChars="0"/>
              <w:rPr>
                <w:rFonts w:hint="eastAsia" w:ascii="Times New Roman" w:hAnsi="Times New Roman" w:eastAsia="宋体" w:cs="Times New Roman"/>
                <w:kern w:val="2"/>
                <w:sz w:val="21"/>
                <w:lang w:val="en-US" w:eastAsia="zh-CN" w:bidi="ar-SA"/>
              </w:rPr>
            </w:pPr>
            <w:r>
              <w:rPr>
                <w:rFonts w:hint="eastAsia"/>
              </w:rPr>
              <w:t>/</w:t>
            </w:r>
          </w:p>
        </w:tc>
        <w:tc>
          <w:tcPr>
            <w:tcW w:w="2235" w:type="dxa"/>
            <w:tcBorders>
              <w:tl2br w:val="nil"/>
              <w:tr2bl w:val="nil"/>
            </w:tcBorders>
            <w:shd w:val="clear" w:color="auto" w:fill="auto"/>
            <w:vAlign w:val="center"/>
          </w:tcPr>
          <w:p w14:paraId="7C8924F1">
            <w:pPr>
              <w:pStyle w:val="5"/>
              <w:bidi w:val="0"/>
              <w:ind w:firstLine="0" w:firstLineChars="0"/>
              <w:rPr>
                <w:rFonts w:hint="default" w:ascii="Times New Roman" w:hAnsi="Times New Roman" w:eastAsia="宋体" w:cs="Times New Roman"/>
                <w:kern w:val="2"/>
                <w:sz w:val="21"/>
                <w:lang w:val="en-US" w:eastAsia="zh-CN" w:bidi="ar-SA"/>
              </w:rPr>
            </w:pPr>
            <w:r>
              <w:rPr>
                <w:rFonts w:hint="eastAsia"/>
                <w:lang w:val="en-US" w:eastAsia="zh-CN"/>
              </w:rPr>
              <w:t>0.1382</w:t>
            </w:r>
          </w:p>
        </w:tc>
        <w:tc>
          <w:tcPr>
            <w:tcW w:w="1811" w:type="dxa"/>
            <w:tcBorders>
              <w:tl2br w:val="nil"/>
              <w:tr2bl w:val="nil"/>
            </w:tcBorders>
            <w:shd w:val="clear" w:color="auto" w:fill="auto"/>
            <w:vAlign w:val="center"/>
          </w:tcPr>
          <w:p w14:paraId="5888465B">
            <w:pPr>
              <w:pStyle w:val="5"/>
              <w:bidi w:val="0"/>
              <w:ind w:firstLine="0" w:firstLineChars="0"/>
              <w:rPr>
                <w:rFonts w:hint="eastAsia"/>
                <w:highlight w:val="none"/>
                <w:lang w:val="en-US" w:eastAsia="zh-CN"/>
              </w:rPr>
            </w:pPr>
            <w:r>
              <w:rPr>
                <w:rFonts w:hint="eastAsia"/>
                <w:highlight w:val="none"/>
                <w:lang w:val="en-US" w:eastAsia="zh-CN"/>
              </w:rPr>
              <w:t>+0</w:t>
            </w:r>
          </w:p>
        </w:tc>
      </w:tr>
      <w:tr w14:paraId="3A7A9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restart"/>
            <w:tcBorders>
              <w:tl2br w:val="nil"/>
              <w:tr2bl w:val="nil"/>
            </w:tcBorders>
            <w:vAlign w:val="center"/>
          </w:tcPr>
          <w:p w14:paraId="0257BDDB">
            <w:pPr>
              <w:pStyle w:val="5"/>
              <w:bidi w:val="0"/>
            </w:pPr>
            <w:r>
              <w:t>一般工业固体废物</w:t>
            </w:r>
          </w:p>
        </w:tc>
        <w:tc>
          <w:tcPr>
            <w:tcW w:w="1875" w:type="dxa"/>
            <w:tcBorders>
              <w:tl2br w:val="nil"/>
              <w:tr2bl w:val="nil"/>
            </w:tcBorders>
            <w:shd w:val="clear" w:color="auto" w:fill="auto"/>
            <w:vAlign w:val="center"/>
          </w:tcPr>
          <w:p w14:paraId="7B1B3CCB">
            <w:pPr>
              <w:pStyle w:val="5"/>
              <w:bidi w:val="0"/>
              <w:rPr>
                <w:rFonts w:hint="eastAsia"/>
              </w:rPr>
            </w:pPr>
            <w:r>
              <w:rPr>
                <w:rFonts w:hint="eastAsia"/>
                <w:lang w:val="en-US" w:eastAsia="zh-CN"/>
              </w:rPr>
              <w:t>废边角料</w:t>
            </w:r>
            <w:r>
              <w:rPr>
                <w:color w:val="auto"/>
                <w:szCs w:val="21"/>
              </w:rPr>
              <w:t>（t/a）</w:t>
            </w:r>
          </w:p>
        </w:tc>
        <w:tc>
          <w:tcPr>
            <w:tcW w:w="1517" w:type="dxa"/>
            <w:tcBorders>
              <w:tl2br w:val="nil"/>
              <w:tr2bl w:val="nil"/>
            </w:tcBorders>
            <w:vAlign w:val="center"/>
          </w:tcPr>
          <w:p w14:paraId="5EF82777">
            <w:pPr>
              <w:pStyle w:val="5"/>
              <w:bidi w:val="0"/>
              <w:rPr>
                <w:rFonts w:hint="default" w:eastAsia="宋体"/>
                <w:lang w:val="en-US" w:eastAsia="zh-CN"/>
              </w:rPr>
            </w:pPr>
            <w:r>
              <w:rPr>
                <w:rFonts w:hint="eastAsia"/>
                <w:lang w:val="en-US" w:eastAsia="zh-CN"/>
              </w:rPr>
              <w:t>0.56</w:t>
            </w:r>
          </w:p>
        </w:tc>
        <w:tc>
          <w:tcPr>
            <w:tcW w:w="1215" w:type="dxa"/>
            <w:tcBorders>
              <w:tl2br w:val="nil"/>
              <w:tr2bl w:val="nil"/>
            </w:tcBorders>
            <w:vAlign w:val="center"/>
          </w:tcPr>
          <w:p w14:paraId="710EEA67">
            <w:pPr>
              <w:pStyle w:val="5"/>
              <w:bidi w:val="0"/>
            </w:pPr>
            <w:r>
              <w:rPr>
                <w:rFonts w:hint="eastAsia"/>
              </w:rPr>
              <w:t>/</w:t>
            </w:r>
          </w:p>
        </w:tc>
        <w:tc>
          <w:tcPr>
            <w:tcW w:w="1635" w:type="dxa"/>
            <w:tcBorders>
              <w:tl2br w:val="nil"/>
              <w:tr2bl w:val="nil"/>
            </w:tcBorders>
            <w:vAlign w:val="center"/>
          </w:tcPr>
          <w:p w14:paraId="64435A04">
            <w:pPr>
              <w:pStyle w:val="5"/>
              <w:bidi w:val="0"/>
            </w:pPr>
            <w:r>
              <w:rPr>
                <w:rFonts w:hint="eastAsia"/>
              </w:rPr>
              <w:t>/</w:t>
            </w:r>
          </w:p>
        </w:tc>
        <w:tc>
          <w:tcPr>
            <w:tcW w:w="1620" w:type="dxa"/>
            <w:tcBorders>
              <w:tl2br w:val="nil"/>
              <w:tr2bl w:val="nil"/>
            </w:tcBorders>
            <w:shd w:val="clear" w:color="auto" w:fill="auto"/>
            <w:vAlign w:val="center"/>
          </w:tcPr>
          <w:p w14:paraId="06E13B2D">
            <w:pPr>
              <w:pStyle w:val="5"/>
              <w:bidi w:val="0"/>
              <w:rPr>
                <w:rFonts w:hint="eastAsia" w:eastAsia="宋体"/>
                <w:lang w:eastAsia="zh-CN"/>
              </w:rPr>
            </w:pPr>
            <w:r>
              <w:rPr>
                <w:rFonts w:hint="eastAsia"/>
                <w:lang w:val="en-US" w:eastAsia="zh-CN"/>
              </w:rPr>
              <w:t>0</w:t>
            </w:r>
          </w:p>
        </w:tc>
        <w:tc>
          <w:tcPr>
            <w:tcW w:w="1965" w:type="dxa"/>
            <w:tcBorders>
              <w:tl2br w:val="nil"/>
              <w:tr2bl w:val="nil"/>
            </w:tcBorders>
            <w:shd w:val="clear" w:color="auto" w:fill="auto"/>
            <w:vAlign w:val="center"/>
          </w:tcPr>
          <w:p w14:paraId="09A7DA29">
            <w:pPr>
              <w:pStyle w:val="5"/>
              <w:bidi w:val="0"/>
            </w:pPr>
            <w:r>
              <w:rPr>
                <w:rFonts w:hint="eastAsia"/>
              </w:rPr>
              <w:t>/</w:t>
            </w:r>
          </w:p>
        </w:tc>
        <w:tc>
          <w:tcPr>
            <w:tcW w:w="2235" w:type="dxa"/>
            <w:tcBorders>
              <w:tl2br w:val="nil"/>
              <w:tr2bl w:val="nil"/>
            </w:tcBorders>
            <w:shd w:val="clear" w:color="auto" w:fill="auto"/>
            <w:vAlign w:val="center"/>
          </w:tcPr>
          <w:p w14:paraId="0768FBD7">
            <w:pPr>
              <w:pStyle w:val="5"/>
              <w:bidi w:val="0"/>
              <w:rPr>
                <w:rFonts w:hint="default" w:eastAsia="宋体"/>
                <w:lang w:val="en-US" w:eastAsia="zh-CN"/>
              </w:rPr>
            </w:pPr>
            <w:r>
              <w:rPr>
                <w:rFonts w:hint="eastAsia"/>
                <w:lang w:val="en-US" w:eastAsia="zh-CN"/>
              </w:rPr>
              <w:t>0.56</w:t>
            </w:r>
          </w:p>
        </w:tc>
        <w:tc>
          <w:tcPr>
            <w:tcW w:w="1811" w:type="dxa"/>
            <w:tcBorders>
              <w:tl2br w:val="nil"/>
              <w:tr2bl w:val="nil"/>
            </w:tcBorders>
            <w:shd w:val="clear" w:color="auto" w:fill="auto"/>
            <w:vAlign w:val="center"/>
          </w:tcPr>
          <w:p w14:paraId="61920945">
            <w:pPr>
              <w:pStyle w:val="5"/>
              <w:bidi w:val="0"/>
              <w:rPr>
                <w:rFonts w:hint="eastAsia" w:eastAsia="宋体"/>
                <w:lang w:val="en-US" w:eastAsia="zh-CN"/>
              </w:rPr>
            </w:pPr>
            <w:r>
              <w:rPr>
                <w:rFonts w:hint="eastAsia"/>
                <w:highlight w:val="none"/>
                <w:lang w:val="en-US" w:eastAsia="zh-CN"/>
              </w:rPr>
              <w:t>+</w:t>
            </w:r>
            <w:r>
              <w:rPr>
                <w:rFonts w:hint="eastAsia"/>
                <w:lang w:val="en-US" w:eastAsia="zh-CN"/>
              </w:rPr>
              <w:t>0</w:t>
            </w:r>
          </w:p>
        </w:tc>
      </w:tr>
      <w:tr w14:paraId="1D3D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3A033806">
            <w:pPr>
              <w:pStyle w:val="5"/>
              <w:bidi w:val="0"/>
            </w:pPr>
          </w:p>
        </w:tc>
        <w:tc>
          <w:tcPr>
            <w:tcW w:w="1875" w:type="dxa"/>
            <w:tcBorders>
              <w:tl2br w:val="nil"/>
              <w:tr2bl w:val="nil"/>
            </w:tcBorders>
            <w:shd w:val="clear" w:color="auto" w:fill="auto"/>
            <w:vAlign w:val="center"/>
          </w:tcPr>
          <w:p w14:paraId="288923EF">
            <w:pPr>
              <w:pStyle w:val="5"/>
              <w:bidi w:val="0"/>
              <w:rPr>
                <w:rFonts w:hint="eastAsia"/>
              </w:rPr>
            </w:pPr>
            <w:r>
              <w:rPr>
                <w:rFonts w:hint="eastAsia"/>
              </w:rPr>
              <w:t>废包装材料</w:t>
            </w:r>
            <w:r>
              <w:rPr>
                <w:color w:val="auto"/>
                <w:szCs w:val="21"/>
              </w:rPr>
              <w:t>（t/a）</w:t>
            </w:r>
          </w:p>
        </w:tc>
        <w:tc>
          <w:tcPr>
            <w:tcW w:w="1517" w:type="dxa"/>
            <w:tcBorders>
              <w:tl2br w:val="nil"/>
              <w:tr2bl w:val="nil"/>
            </w:tcBorders>
            <w:vAlign w:val="center"/>
          </w:tcPr>
          <w:p w14:paraId="303454ED">
            <w:pPr>
              <w:pStyle w:val="5"/>
              <w:bidi w:val="0"/>
              <w:rPr>
                <w:rFonts w:hint="default" w:eastAsia="宋体"/>
                <w:lang w:val="en-US" w:eastAsia="zh-CN"/>
              </w:rPr>
            </w:pPr>
            <w:r>
              <w:rPr>
                <w:rFonts w:hint="eastAsia"/>
                <w:lang w:val="en-US" w:eastAsia="zh-CN"/>
              </w:rPr>
              <w:t>1.2</w:t>
            </w:r>
          </w:p>
        </w:tc>
        <w:tc>
          <w:tcPr>
            <w:tcW w:w="1215" w:type="dxa"/>
            <w:tcBorders>
              <w:tl2br w:val="nil"/>
              <w:tr2bl w:val="nil"/>
            </w:tcBorders>
            <w:vAlign w:val="center"/>
          </w:tcPr>
          <w:p w14:paraId="62AADE6A">
            <w:pPr>
              <w:pStyle w:val="5"/>
              <w:bidi w:val="0"/>
            </w:pPr>
            <w:r>
              <w:rPr>
                <w:rFonts w:hint="eastAsia"/>
              </w:rPr>
              <w:t>/</w:t>
            </w:r>
          </w:p>
        </w:tc>
        <w:tc>
          <w:tcPr>
            <w:tcW w:w="1635" w:type="dxa"/>
            <w:tcBorders>
              <w:tl2br w:val="nil"/>
              <w:tr2bl w:val="nil"/>
            </w:tcBorders>
            <w:vAlign w:val="center"/>
          </w:tcPr>
          <w:p w14:paraId="50236BF0">
            <w:pPr>
              <w:pStyle w:val="5"/>
              <w:bidi w:val="0"/>
            </w:pPr>
            <w:r>
              <w:rPr>
                <w:rFonts w:hint="eastAsia"/>
              </w:rPr>
              <w:t>/</w:t>
            </w:r>
          </w:p>
        </w:tc>
        <w:tc>
          <w:tcPr>
            <w:tcW w:w="1620" w:type="dxa"/>
            <w:tcBorders>
              <w:tl2br w:val="nil"/>
              <w:tr2bl w:val="nil"/>
            </w:tcBorders>
            <w:shd w:val="clear" w:color="auto" w:fill="auto"/>
            <w:vAlign w:val="center"/>
          </w:tcPr>
          <w:p w14:paraId="79F0B172">
            <w:pPr>
              <w:pStyle w:val="5"/>
              <w:bidi w:val="0"/>
            </w:pPr>
            <w:r>
              <w:rPr>
                <w:rFonts w:hint="eastAsia"/>
                <w:lang w:val="en-US" w:eastAsia="zh-CN"/>
              </w:rPr>
              <w:t>0.6</w:t>
            </w:r>
          </w:p>
        </w:tc>
        <w:tc>
          <w:tcPr>
            <w:tcW w:w="1965" w:type="dxa"/>
            <w:tcBorders>
              <w:tl2br w:val="nil"/>
              <w:tr2bl w:val="nil"/>
            </w:tcBorders>
            <w:vAlign w:val="center"/>
          </w:tcPr>
          <w:p w14:paraId="21D46BC3">
            <w:pPr>
              <w:pStyle w:val="5"/>
              <w:bidi w:val="0"/>
            </w:pPr>
            <w:r>
              <w:rPr>
                <w:rFonts w:hint="eastAsia"/>
              </w:rPr>
              <w:t>/</w:t>
            </w:r>
          </w:p>
        </w:tc>
        <w:tc>
          <w:tcPr>
            <w:tcW w:w="2235" w:type="dxa"/>
            <w:tcBorders>
              <w:tl2br w:val="nil"/>
              <w:tr2bl w:val="nil"/>
            </w:tcBorders>
            <w:shd w:val="clear" w:color="auto" w:fill="auto"/>
            <w:vAlign w:val="center"/>
          </w:tcPr>
          <w:p w14:paraId="6D36C95D">
            <w:pPr>
              <w:pStyle w:val="5"/>
              <w:bidi w:val="0"/>
              <w:rPr>
                <w:rFonts w:hint="default" w:eastAsia="宋体"/>
                <w:lang w:val="en-US" w:eastAsia="zh-CN"/>
              </w:rPr>
            </w:pPr>
            <w:r>
              <w:rPr>
                <w:rFonts w:hint="eastAsia"/>
                <w:lang w:val="en-US" w:eastAsia="zh-CN"/>
              </w:rPr>
              <w:t>1.8</w:t>
            </w:r>
          </w:p>
        </w:tc>
        <w:tc>
          <w:tcPr>
            <w:tcW w:w="1811" w:type="dxa"/>
            <w:tcBorders>
              <w:tl2br w:val="nil"/>
              <w:tr2bl w:val="nil"/>
            </w:tcBorders>
            <w:shd w:val="clear" w:color="auto" w:fill="auto"/>
            <w:vAlign w:val="center"/>
          </w:tcPr>
          <w:p w14:paraId="69D7F775">
            <w:pPr>
              <w:pStyle w:val="5"/>
              <w:bidi w:val="0"/>
              <w:ind w:firstLine="0" w:firstLineChars="0"/>
              <w:rPr>
                <w:rFonts w:hint="eastAsia" w:ascii="Times New Roman" w:hAnsi="Times New Roman" w:eastAsia="宋体" w:cs="Times New Roman"/>
                <w:kern w:val="2"/>
                <w:sz w:val="21"/>
                <w:lang w:val="en-US" w:eastAsia="zh-CN" w:bidi="ar-SA"/>
              </w:rPr>
            </w:pPr>
            <w:r>
              <w:rPr>
                <w:rFonts w:hint="eastAsia"/>
                <w:lang w:val="en-US" w:eastAsia="zh-CN"/>
              </w:rPr>
              <w:t>+0.6</w:t>
            </w:r>
          </w:p>
        </w:tc>
      </w:tr>
      <w:tr w14:paraId="670E8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restart"/>
            <w:tcBorders>
              <w:tl2br w:val="nil"/>
              <w:tr2bl w:val="nil"/>
            </w:tcBorders>
            <w:vAlign w:val="center"/>
          </w:tcPr>
          <w:p w14:paraId="020B27FB">
            <w:pPr>
              <w:pStyle w:val="5"/>
              <w:bidi w:val="0"/>
            </w:pPr>
            <w:r>
              <w:t>危险废物</w:t>
            </w:r>
          </w:p>
        </w:tc>
        <w:tc>
          <w:tcPr>
            <w:tcW w:w="1875" w:type="dxa"/>
            <w:tcBorders>
              <w:tl2br w:val="nil"/>
              <w:tr2bl w:val="nil"/>
            </w:tcBorders>
            <w:shd w:val="clear" w:color="auto" w:fill="auto"/>
            <w:vAlign w:val="center"/>
          </w:tcPr>
          <w:p w14:paraId="01097DC3">
            <w:pPr>
              <w:pStyle w:val="5"/>
              <w:bidi w:val="0"/>
              <w:rPr>
                <w:rFonts w:hint="eastAsia" w:eastAsia="宋体"/>
                <w:lang w:eastAsia="zh-CN"/>
              </w:rPr>
            </w:pPr>
            <w:r>
              <w:rPr>
                <w:rFonts w:hint="eastAsia"/>
              </w:rPr>
              <w:t>废</w:t>
            </w:r>
            <w:r>
              <w:rPr>
                <w:rFonts w:hint="eastAsia"/>
                <w:lang w:val="en-US" w:eastAsia="zh-CN"/>
              </w:rPr>
              <w:t>活性炭</w:t>
            </w:r>
            <w:r>
              <w:rPr>
                <w:color w:val="auto"/>
                <w:szCs w:val="21"/>
              </w:rPr>
              <w:t>（t/a）</w:t>
            </w:r>
          </w:p>
        </w:tc>
        <w:tc>
          <w:tcPr>
            <w:tcW w:w="1517" w:type="dxa"/>
            <w:tcBorders>
              <w:tl2br w:val="nil"/>
              <w:tr2bl w:val="nil"/>
            </w:tcBorders>
            <w:vAlign w:val="center"/>
          </w:tcPr>
          <w:p w14:paraId="642A5072">
            <w:pPr>
              <w:pStyle w:val="5"/>
              <w:bidi w:val="0"/>
              <w:rPr>
                <w:rFonts w:hint="eastAsia" w:eastAsia="宋体"/>
                <w:lang w:eastAsia="zh-CN"/>
              </w:rPr>
            </w:pPr>
            <w:r>
              <w:rPr>
                <w:rFonts w:hint="eastAsia"/>
                <w:lang w:val="en-US" w:eastAsia="zh-CN"/>
              </w:rPr>
              <w:t>0</w:t>
            </w:r>
          </w:p>
        </w:tc>
        <w:tc>
          <w:tcPr>
            <w:tcW w:w="1215" w:type="dxa"/>
            <w:tcBorders>
              <w:tl2br w:val="nil"/>
              <w:tr2bl w:val="nil"/>
            </w:tcBorders>
            <w:vAlign w:val="center"/>
          </w:tcPr>
          <w:p w14:paraId="465D1580">
            <w:pPr>
              <w:pStyle w:val="5"/>
              <w:bidi w:val="0"/>
            </w:pPr>
            <w:r>
              <w:rPr>
                <w:rFonts w:hint="eastAsia"/>
              </w:rPr>
              <w:t>/</w:t>
            </w:r>
          </w:p>
        </w:tc>
        <w:tc>
          <w:tcPr>
            <w:tcW w:w="1635" w:type="dxa"/>
            <w:tcBorders>
              <w:tl2br w:val="nil"/>
              <w:tr2bl w:val="nil"/>
            </w:tcBorders>
            <w:vAlign w:val="center"/>
          </w:tcPr>
          <w:p w14:paraId="7C0EB267">
            <w:pPr>
              <w:pStyle w:val="5"/>
              <w:bidi w:val="0"/>
            </w:pPr>
            <w:r>
              <w:rPr>
                <w:rFonts w:hint="eastAsia"/>
              </w:rPr>
              <w:t>/</w:t>
            </w:r>
          </w:p>
        </w:tc>
        <w:tc>
          <w:tcPr>
            <w:tcW w:w="1620" w:type="dxa"/>
            <w:tcBorders>
              <w:tl2br w:val="nil"/>
              <w:tr2bl w:val="nil"/>
            </w:tcBorders>
            <w:shd w:val="clear" w:color="auto" w:fill="auto"/>
            <w:vAlign w:val="center"/>
          </w:tcPr>
          <w:p w14:paraId="5ADF10A1">
            <w:pPr>
              <w:pStyle w:val="5"/>
              <w:bidi w:val="0"/>
              <w:rPr>
                <w:rFonts w:hint="default" w:eastAsia="宋体"/>
                <w:lang w:val="en-US" w:eastAsia="zh-CN"/>
              </w:rPr>
            </w:pPr>
            <w:r>
              <w:rPr>
                <w:rFonts w:hint="eastAsia"/>
                <w:lang w:val="en-US" w:eastAsia="zh-CN"/>
              </w:rPr>
              <w:t>1.062</w:t>
            </w:r>
          </w:p>
        </w:tc>
        <w:tc>
          <w:tcPr>
            <w:tcW w:w="1965" w:type="dxa"/>
            <w:tcBorders>
              <w:tl2br w:val="nil"/>
              <w:tr2bl w:val="nil"/>
            </w:tcBorders>
            <w:vAlign w:val="center"/>
          </w:tcPr>
          <w:p w14:paraId="3A8DCA07">
            <w:pPr>
              <w:pStyle w:val="5"/>
              <w:bidi w:val="0"/>
            </w:pPr>
            <w:r>
              <w:rPr>
                <w:rFonts w:hint="eastAsia"/>
              </w:rPr>
              <w:t>/</w:t>
            </w:r>
          </w:p>
        </w:tc>
        <w:tc>
          <w:tcPr>
            <w:tcW w:w="2235" w:type="dxa"/>
            <w:tcBorders>
              <w:tl2br w:val="nil"/>
              <w:tr2bl w:val="nil"/>
            </w:tcBorders>
            <w:shd w:val="clear" w:color="auto" w:fill="auto"/>
            <w:vAlign w:val="center"/>
          </w:tcPr>
          <w:p w14:paraId="6C8C4AB4">
            <w:pPr>
              <w:pStyle w:val="5"/>
              <w:bidi w:val="0"/>
              <w:rPr>
                <w:rFonts w:hint="default" w:eastAsia="宋体"/>
                <w:lang w:val="en-US" w:eastAsia="zh-CN"/>
              </w:rPr>
            </w:pPr>
            <w:r>
              <w:rPr>
                <w:rFonts w:hint="eastAsia"/>
                <w:lang w:val="en-US" w:eastAsia="zh-CN"/>
              </w:rPr>
              <w:t>1.062</w:t>
            </w:r>
          </w:p>
        </w:tc>
        <w:tc>
          <w:tcPr>
            <w:tcW w:w="1811" w:type="dxa"/>
            <w:tcBorders>
              <w:tl2br w:val="nil"/>
              <w:tr2bl w:val="nil"/>
            </w:tcBorders>
            <w:shd w:val="clear" w:color="auto" w:fill="auto"/>
            <w:vAlign w:val="center"/>
          </w:tcPr>
          <w:p w14:paraId="5D1AC543">
            <w:pPr>
              <w:pStyle w:val="5"/>
              <w:bidi w:val="0"/>
              <w:rPr>
                <w:rFonts w:hint="default" w:eastAsia="宋体"/>
                <w:lang w:val="en-US" w:eastAsia="zh-CN"/>
              </w:rPr>
            </w:pPr>
            <w:r>
              <w:rPr>
                <w:rFonts w:hint="eastAsia"/>
                <w:lang w:val="en-US" w:eastAsia="zh-CN"/>
              </w:rPr>
              <w:t>+1.062</w:t>
            </w:r>
          </w:p>
        </w:tc>
      </w:tr>
      <w:tr w14:paraId="770CE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6" w:type="dxa"/>
            <w:vMerge w:val="continue"/>
            <w:tcBorders>
              <w:tl2br w:val="nil"/>
              <w:tr2bl w:val="nil"/>
            </w:tcBorders>
            <w:vAlign w:val="center"/>
          </w:tcPr>
          <w:p w14:paraId="0C31C97C">
            <w:pPr>
              <w:pStyle w:val="5"/>
              <w:bidi w:val="0"/>
            </w:pPr>
          </w:p>
        </w:tc>
        <w:tc>
          <w:tcPr>
            <w:tcW w:w="1875" w:type="dxa"/>
            <w:tcBorders>
              <w:tl2br w:val="nil"/>
              <w:tr2bl w:val="nil"/>
            </w:tcBorders>
            <w:shd w:val="clear" w:color="auto" w:fill="auto"/>
            <w:vAlign w:val="center"/>
          </w:tcPr>
          <w:p w14:paraId="376933C0">
            <w:pPr>
              <w:pStyle w:val="5"/>
              <w:bidi w:val="0"/>
              <w:rPr>
                <w:rFonts w:hint="default"/>
                <w:lang w:val="en-US" w:eastAsia="zh-CN"/>
              </w:rPr>
            </w:pPr>
            <w:r>
              <w:rPr>
                <w:rFonts w:hint="eastAsia"/>
              </w:rPr>
              <w:t>废</w:t>
            </w:r>
            <w:r>
              <w:rPr>
                <w:rFonts w:hint="eastAsia"/>
                <w:lang w:val="en-US" w:eastAsia="zh-CN"/>
              </w:rPr>
              <w:t>胶粘剂瓶</w:t>
            </w:r>
            <w:r>
              <w:rPr>
                <w:color w:val="auto"/>
                <w:szCs w:val="21"/>
              </w:rPr>
              <w:t>（t/a）</w:t>
            </w:r>
          </w:p>
        </w:tc>
        <w:tc>
          <w:tcPr>
            <w:tcW w:w="1517" w:type="dxa"/>
            <w:tcBorders>
              <w:tl2br w:val="nil"/>
              <w:tr2bl w:val="nil"/>
            </w:tcBorders>
            <w:vAlign w:val="center"/>
          </w:tcPr>
          <w:p w14:paraId="2FE0DBC7">
            <w:pPr>
              <w:pStyle w:val="5"/>
              <w:bidi w:val="0"/>
              <w:rPr>
                <w:rFonts w:hint="eastAsia" w:eastAsia="宋体"/>
                <w:lang w:val="en-US" w:eastAsia="zh-CN"/>
              </w:rPr>
            </w:pPr>
            <w:r>
              <w:rPr>
                <w:rFonts w:hint="eastAsia"/>
                <w:lang w:val="en-US" w:eastAsia="zh-CN"/>
              </w:rPr>
              <w:t>0</w:t>
            </w:r>
          </w:p>
        </w:tc>
        <w:tc>
          <w:tcPr>
            <w:tcW w:w="1215" w:type="dxa"/>
            <w:tcBorders>
              <w:tl2br w:val="nil"/>
              <w:tr2bl w:val="nil"/>
            </w:tcBorders>
            <w:vAlign w:val="center"/>
          </w:tcPr>
          <w:p w14:paraId="18ED2705">
            <w:pPr>
              <w:pStyle w:val="5"/>
              <w:bidi w:val="0"/>
              <w:rPr>
                <w:rFonts w:hint="eastAsia"/>
              </w:rPr>
            </w:pPr>
            <w:r>
              <w:rPr>
                <w:rFonts w:hint="eastAsia"/>
              </w:rPr>
              <w:t>/</w:t>
            </w:r>
          </w:p>
        </w:tc>
        <w:tc>
          <w:tcPr>
            <w:tcW w:w="1635" w:type="dxa"/>
            <w:tcBorders>
              <w:tl2br w:val="nil"/>
              <w:tr2bl w:val="nil"/>
            </w:tcBorders>
            <w:vAlign w:val="center"/>
          </w:tcPr>
          <w:p w14:paraId="41F48B28">
            <w:pPr>
              <w:pStyle w:val="5"/>
              <w:bidi w:val="0"/>
              <w:rPr>
                <w:rFonts w:hint="eastAsia"/>
              </w:rPr>
            </w:pPr>
            <w:r>
              <w:rPr>
                <w:rFonts w:hint="eastAsia"/>
              </w:rPr>
              <w:t>/</w:t>
            </w:r>
          </w:p>
        </w:tc>
        <w:tc>
          <w:tcPr>
            <w:tcW w:w="1620" w:type="dxa"/>
            <w:tcBorders>
              <w:tl2br w:val="nil"/>
              <w:tr2bl w:val="nil"/>
            </w:tcBorders>
            <w:shd w:val="clear" w:color="auto" w:fill="auto"/>
            <w:vAlign w:val="center"/>
          </w:tcPr>
          <w:p w14:paraId="270CDC39">
            <w:pPr>
              <w:pStyle w:val="5"/>
              <w:bidi w:val="0"/>
              <w:rPr>
                <w:rFonts w:hint="default" w:eastAsia="宋体"/>
                <w:lang w:val="en-US" w:eastAsia="zh-CN"/>
              </w:rPr>
            </w:pPr>
            <w:r>
              <w:rPr>
                <w:rFonts w:hint="eastAsia"/>
                <w:lang w:val="en-US" w:eastAsia="zh-CN"/>
              </w:rPr>
              <w:t>0.42</w:t>
            </w:r>
          </w:p>
        </w:tc>
        <w:tc>
          <w:tcPr>
            <w:tcW w:w="1965" w:type="dxa"/>
            <w:tcBorders>
              <w:tl2br w:val="nil"/>
              <w:tr2bl w:val="nil"/>
            </w:tcBorders>
            <w:vAlign w:val="center"/>
          </w:tcPr>
          <w:p w14:paraId="1699A3E2">
            <w:pPr>
              <w:pStyle w:val="5"/>
              <w:bidi w:val="0"/>
              <w:rPr>
                <w:rFonts w:hint="eastAsia"/>
              </w:rPr>
            </w:pPr>
            <w:r>
              <w:rPr>
                <w:rFonts w:hint="eastAsia"/>
              </w:rPr>
              <w:t>/</w:t>
            </w:r>
          </w:p>
        </w:tc>
        <w:tc>
          <w:tcPr>
            <w:tcW w:w="2235" w:type="dxa"/>
            <w:tcBorders>
              <w:tl2br w:val="nil"/>
              <w:tr2bl w:val="nil"/>
            </w:tcBorders>
            <w:shd w:val="clear" w:color="auto" w:fill="auto"/>
            <w:vAlign w:val="center"/>
          </w:tcPr>
          <w:p w14:paraId="4F7E793E">
            <w:pPr>
              <w:pStyle w:val="5"/>
              <w:bidi w:val="0"/>
              <w:rPr>
                <w:rFonts w:hint="default" w:eastAsia="宋体"/>
                <w:lang w:val="en-US" w:eastAsia="zh-CN"/>
              </w:rPr>
            </w:pPr>
            <w:r>
              <w:rPr>
                <w:rFonts w:hint="eastAsia"/>
                <w:lang w:val="en-US" w:eastAsia="zh-CN"/>
              </w:rPr>
              <w:t>0.42</w:t>
            </w:r>
          </w:p>
        </w:tc>
        <w:tc>
          <w:tcPr>
            <w:tcW w:w="1811" w:type="dxa"/>
            <w:tcBorders>
              <w:tl2br w:val="nil"/>
              <w:tr2bl w:val="nil"/>
            </w:tcBorders>
            <w:shd w:val="clear" w:color="auto" w:fill="auto"/>
            <w:vAlign w:val="center"/>
          </w:tcPr>
          <w:p w14:paraId="21D751A2">
            <w:pPr>
              <w:pStyle w:val="5"/>
              <w:bidi w:val="0"/>
              <w:rPr>
                <w:rFonts w:hint="default" w:eastAsia="宋体"/>
                <w:lang w:val="en-US" w:eastAsia="zh-CN"/>
              </w:rPr>
            </w:pPr>
            <w:r>
              <w:rPr>
                <w:rFonts w:hint="eastAsia"/>
                <w:lang w:val="en-US" w:eastAsia="zh-CN"/>
              </w:rPr>
              <w:t>+0.42</w:t>
            </w:r>
          </w:p>
        </w:tc>
      </w:tr>
      <w:tr w14:paraId="5FEAC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81" w:type="dxa"/>
            <w:gridSpan w:val="2"/>
            <w:vAlign w:val="center"/>
          </w:tcPr>
          <w:p w14:paraId="71522FC5">
            <w:pPr>
              <w:pStyle w:val="5"/>
              <w:bidi w:val="0"/>
            </w:pPr>
            <w:r>
              <w:t>生活垃圾</w:t>
            </w:r>
          </w:p>
        </w:tc>
        <w:tc>
          <w:tcPr>
            <w:tcW w:w="1517" w:type="dxa"/>
            <w:shd w:val="clear" w:color="auto" w:fill="auto"/>
            <w:vAlign w:val="center"/>
          </w:tcPr>
          <w:p w14:paraId="78FF971E">
            <w:pPr>
              <w:pStyle w:val="5"/>
              <w:bidi w:val="0"/>
              <w:rPr>
                <w:rFonts w:hint="default" w:eastAsia="宋体"/>
                <w:lang w:val="en-US" w:eastAsia="zh-CN"/>
              </w:rPr>
            </w:pPr>
            <w:r>
              <w:rPr>
                <w:rFonts w:hint="eastAsia"/>
                <w:lang w:val="en-US" w:eastAsia="zh-CN"/>
              </w:rPr>
              <w:t>15</w:t>
            </w:r>
          </w:p>
        </w:tc>
        <w:tc>
          <w:tcPr>
            <w:tcW w:w="1215" w:type="dxa"/>
            <w:shd w:val="clear" w:color="auto" w:fill="auto"/>
            <w:vAlign w:val="center"/>
          </w:tcPr>
          <w:p w14:paraId="0055522A">
            <w:pPr>
              <w:pStyle w:val="5"/>
              <w:bidi w:val="0"/>
            </w:pPr>
            <w:r>
              <w:rPr>
                <w:rFonts w:hint="eastAsia"/>
              </w:rPr>
              <w:t>/</w:t>
            </w:r>
          </w:p>
        </w:tc>
        <w:tc>
          <w:tcPr>
            <w:tcW w:w="1635" w:type="dxa"/>
            <w:shd w:val="clear" w:color="auto" w:fill="auto"/>
            <w:vAlign w:val="center"/>
          </w:tcPr>
          <w:p w14:paraId="643DB6E6">
            <w:pPr>
              <w:pStyle w:val="5"/>
              <w:bidi w:val="0"/>
            </w:pPr>
            <w:r>
              <w:rPr>
                <w:rFonts w:hint="eastAsia"/>
              </w:rPr>
              <w:t>/</w:t>
            </w:r>
          </w:p>
        </w:tc>
        <w:tc>
          <w:tcPr>
            <w:tcW w:w="1620" w:type="dxa"/>
            <w:shd w:val="clear" w:color="auto" w:fill="auto"/>
            <w:vAlign w:val="center"/>
          </w:tcPr>
          <w:p w14:paraId="2E9E84C0">
            <w:pPr>
              <w:pStyle w:val="5"/>
              <w:bidi w:val="0"/>
            </w:pPr>
            <w:r>
              <w:rPr>
                <w:rFonts w:hint="eastAsia"/>
              </w:rPr>
              <w:t>0</w:t>
            </w:r>
          </w:p>
        </w:tc>
        <w:tc>
          <w:tcPr>
            <w:tcW w:w="1965" w:type="dxa"/>
            <w:shd w:val="clear" w:color="auto" w:fill="auto"/>
            <w:vAlign w:val="center"/>
          </w:tcPr>
          <w:p w14:paraId="125790E5">
            <w:pPr>
              <w:pStyle w:val="5"/>
              <w:bidi w:val="0"/>
            </w:pPr>
            <w:r>
              <w:rPr>
                <w:rFonts w:hint="eastAsia"/>
              </w:rPr>
              <w:t>/</w:t>
            </w:r>
          </w:p>
        </w:tc>
        <w:tc>
          <w:tcPr>
            <w:tcW w:w="2235" w:type="dxa"/>
            <w:shd w:val="clear" w:color="auto" w:fill="auto"/>
            <w:vAlign w:val="center"/>
          </w:tcPr>
          <w:p w14:paraId="445E5E2F">
            <w:pPr>
              <w:pStyle w:val="5"/>
              <w:bidi w:val="0"/>
              <w:rPr>
                <w:rFonts w:hint="default" w:eastAsia="宋体"/>
                <w:lang w:val="en-US" w:eastAsia="zh-CN"/>
              </w:rPr>
            </w:pPr>
            <w:r>
              <w:rPr>
                <w:rFonts w:hint="eastAsia"/>
                <w:lang w:val="en-US" w:eastAsia="zh-CN"/>
              </w:rPr>
              <w:t>15</w:t>
            </w:r>
          </w:p>
        </w:tc>
        <w:tc>
          <w:tcPr>
            <w:tcW w:w="1811" w:type="dxa"/>
            <w:shd w:val="clear" w:color="auto" w:fill="auto"/>
            <w:vAlign w:val="center"/>
          </w:tcPr>
          <w:p w14:paraId="7350055E">
            <w:pPr>
              <w:pStyle w:val="5"/>
              <w:bidi w:val="0"/>
              <w:rPr>
                <w:rFonts w:hint="eastAsia" w:eastAsia="宋体"/>
                <w:lang w:val="en-US" w:eastAsia="zh-CN"/>
              </w:rPr>
            </w:pPr>
            <w:r>
              <w:rPr>
                <w:rFonts w:hint="eastAsia"/>
                <w:highlight w:val="none"/>
                <w:lang w:val="en-US" w:eastAsia="zh-CN"/>
              </w:rPr>
              <w:t>+</w:t>
            </w:r>
            <w:r>
              <w:rPr>
                <w:rFonts w:hint="eastAsia"/>
                <w:lang w:val="en-US" w:eastAsia="zh-CN"/>
              </w:rPr>
              <w:t>0</w:t>
            </w:r>
          </w:p>
        </w:tc>
      </w:tr>
    </w:tbl>
    <w:p w14:paraId="53D19F64">
      <w:r>
        <w:rPr>
          <w:color w:val="auto"/>
        </w:rPr>
        <w:t>注：⑥=①+③+④-⑤</w:t>
      </w:r>
      <w:r>
        <w:rPr>
          <w:rFonts w:hint="eastAsia"/>
          <w:color w:val="auto"/>
        </w:rPr>
        <w:t>；</w:t>
      </w:r>
      <w:r>
        <w:rPr>
          <w:color w:val="auto"/>
        </w:rPr>
        <w:t>⑦=⑥</w:t>
      </w:r>
      <w:r>
        <w:rPr>
          <w:rFonts w:hint="eastAsia"/>
          <w:color w:val="auto"/>
        </w:rPr>
        <w:t>-</w:t>
      </w:r>
      <w:r>
        <w:rPr>
          <w:color w:val="auto"/>
        </w:rPr>
        <w:t>①</w:t>
      </w:r>
    </w:p>
    <w:p w14:paraId="21F30FC3">
      <w:pPr>
        <w:ind w:firstLine="0" w:firstLineChars="0"/>
      </w:pPr>
    </w:p>
    <w:sectPr>
      <w:footerReference r:id="rId18" w:type="first"/>
      <w:footerReference r:id="rId16" w:type="default"/>
      <w:footerReference r:id="rId17" w:type="even"/>
      <w:pgSz w:w="16839" w:h="11906"/>
      <w:pgMar w:top="1417" w:right="1417" w:bottom="1417" w:left="1417" w:header="850" w:footer="85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华文楷体">
    <w:altName w:val="方正楷体_GBK"/>
    <w:panose1 w:val="02010600040101010101"/>
    <w:charset w:val="86"/>
    <w:family w:val="auto"/>
    <w:pitch w:val="default"/>
    <w:sig w:usb0="00000000" w:usb1="00000000" w:usb2="00000000" w:usb3="00000000" w:csb0="0004009F" w:csb1="DFD70000"/>
  </w:font>
  <w:font w:name="方正楷体_GBK">
    <w:panose1 w:val="02000000000000000000"/>
    <w:charset w:val="86"/>
    <w:family w:val="auto"/>
    <w:pitch w:val="default"/>
    <w:sig w:usb0="00000001" w:usb1="08000000" w:usb2="00000000" w:usb3="00000000" w:csb0="00040000" w:csb1="0000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Segoe UI">
    <w:altName w:val="Noto Naskh Arabic"/>
    <w:panose1 w:val="020B0502040204020203"/>
    <w:charset w:val="00"/>
    <w:family w:val="auto"/>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方正仿宋_GBK">
    <w:panose1 w:val="02000000000000000000"/>
    <w:charset w:val="86"/>
    <w:family w:val="auto"/>
    <w:pitch w:val="default"/>
    <w:sig w:usb0="00000001" w:usb1="08000000" w:usb2="00000000" w:usb3="00000000" w:csb0="00040000"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89B95">
    <w:pPr>
      <w:pStyle w:val="18"/>
    </w:pPr>
    <w: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953135" cy="345440"/>
              <wp:effectExtent l="0" t="0" r="0" b="0"/>
              <wp:wrapNone/>
              <wp:docPr id="417389128" name="文本框 3"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72A66370">
                          <w:pPr>
                            <w:jc w:val="both"/>
                            <w:rPr>
                              <w:rFonts w:ascii="Calibri" w:hAnsi="Calibri" w:eastAsia="Calibri" w:cs="Calibri"/>
                              <w:color w:val="000000"/>
                              <w:sz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3" o:spid="_x0000_s1026" o:spt="202" alt="CFAA - INTERNAL" type="#_x0000_t202" style="position:absolute;left:0pt;height:27.2pt;width:75.0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BpOC1AAAAAQBAAAPAAAAAAAAAAEA&#10;IAAAACIAAABkcnMvZG93bnJldi54bWxQSwECFAAUAAAACACHTuJA9EEZuUwCAABvBAAADgAAAAAA&#10;AAABACAAAAAjAQAAZHJzL2Uyb0RvYy54bWxQSwUGAAAAAAYABgBZAQAA4QUAAAAA&#10;">
              <v:fill on="f" focussize="0,0"/>
              <v:stroke on="f"/>
              <v:imagedata o:title=""/>
              <o:lock v:ext="edit" aspectratio="f"/>
              <v:textbox inset="0mm,0mm,0mm,15pt" style="mso-fit-shape-to-text:t;">
                <w:txbxContent>
                  <w:p w14:paraId="72A66370">
                    <w:pPr>
                      <w:jc w:val="both"/>
                      <w:rPr>
                        <w:rFonts w:ascii="Calibri" w:hAnsi="Calibri" w:eastAsia="Calibri" w:cs="Calibri"/>
                        <w:color w:val="000000"/>
                        <w:sz w:val="2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F68F4">
    <w:pPr>
      <w:pStyle w:val="18"/>
    </w:pPr>
    <w: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953135" cy="345440"/>
              <wp:effectExtent l="0" t="0" r="0" b="0"/>
              <wp:wrapNone/>
              <wp:docPr id="1320959908" name="文本框 8"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33694FCE">
                          <w:pPr>
                            <w:rPr>
                              <w:rFonts w:ascii="Calibri" w:hAnsi="Calibri" w:eastAsia="Calibri" w:cs="Calibri"/>
                              <w:color w:val="000000"/>
                              <w:sz w:val="20"/>
                            </w:rPr>
                          </w:pPr>
                          <w:r>
                            <w:rPr>
                              <w:rFonts w:ascii="Calibri" w:hAnsi="Calibri" w:eastAsia="Calibri" w:cs="Calibri"/>
                              <w:color w:val="000000"/>
                              <w:sz w:val="20"/>
                            </w:rPr>
                            <w:t>CFAA - 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8" o:spid="_x0000_s1026" o:spt="202" alt="CFAA - INTERNAL" type="#_x0000_t202" style="position:absolute;left:0pt;height:27.2pt;width:75.0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QaTgtQAAAAEAQAADwAAAAAAAAABACAA&#10;AAAiAAAAZHJzL2Rvd25yZXYueG1sUEsBAhQAFAAAAAgAh07iQO4zzmRKAgAAcAQAAA4AAAAAAAAA&#10;AQAgAAAAIwEAAGRycy9lMm9Eb2MueG1sUEsFBgAAAAAGAAYAWQEAAN8FAAAAAA==&#10;">
              <v:fill on="f" focussize="0,0"/>
              <v:stroke on="f"/>
              <v:imagedata o:title=""/>
              <o:lock v:ext="edit" aspectratio="f"/>
              <v:textbox inset="0mm,0mm,0mm,15pt" style="mso-fit-shape-to-text:t;">
                <w:txbxContent>
                  <w:p w14:paraId="33694FCE">
                    <w:pPr>
                      <w:rPr>
                        <w:rFonts w:ascii="Calibri" w:hAnsi="Calibri" w:eastAsia="Calibri" w:cs="Calibri"/>
                        <w:color w:val="000000"/>
                        <w:sz w:val="20"/>
                      </w:rPr>
                    </w:pPr>
                    <w:r>
                      <w:rPr>
                        <w:rFonts w:ascii="Calibri" w:hAnsi="Calibri" w:eastAsia="Calibri" w:cs="Calibri"/>
                        <w:color w:val="000000"/>
                        <w:sz w:val="20"/>
                      </w:rPr>
                      <w:t>CFAA - INTERNAL</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65830">
    <w:pPr>
      <w:pStyle w:val="18"/>
    </w:pPr>
    <w:r>
      <mc:AlternateContent>
        <mc:Choice Requires="wps">
          <w:drawing>
            <wp:anchor distT="0" distB="0" distL="0" distR="0" simplePos="0" relativeHeight="251659264" behindDoc="0" locked="0" layoutInCell="1" allowOverlap="1">
              <wp:simplePos x="0" y="0"/>
              <wp:positionH relativeFrom="page">
                <wp:align>center</wp:align>
              </wp:positionH>
              <wp:positionV relativeFrom="page">
                <wp:align>bottom</wp:align>
              </wp:positionV>
              <wp:extent cx="953135" cy="345440"/>
              <wp:effectExtent l="0" t="0" r="0" b="0"/>
              <wp:wrapNone/>
              <wp:docPr id="2143047252" name="文本框 7"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752101F0">
                          <w:pPr>
                            <w:rPr>
                              <w:rFonts w:ascii="Calibri" w:hAnsi="Calibri" w:eastAsia="Calibri" w:cs="Calibri"/>
                              <w:color w:val="000000"/>
                              <w:sz w:val="20"/>
                            </w:rPr>
                          </w:pPr>
                          <w:r>
                            <w:rPr>
                              <w:rFonts w:ascii="Calibri" w:hAnsi="Calibri" w:eastAsia="Calibri" w:cs="Calibri"/>
                              <w:color w:val="000000"/>
                              <w:sz w:val="20"/>
                            </w:rPr>
                            <w:t>CFAA - 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7" o:spid="_x0000_s1026" o:spt="202" alt="CFAA - INTERNAL" type="#_x0000_t202" style="position:absolute;left:0pt;height:27.2pt;width:75.05pt;mso-position-horizontal:center;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QaTgtQAAAAEAQAADwAAAAAAAAAB&#10;ACAAAAAiAAAAZHJzL2Rvd25yZXYueG1sUEsBAhQAFAAAAAgAh07iQLKJau9NAgAAcAQAAA4AAAAA&#10;AAAAAQAgAAAAIwEAAGRycy9lMm9Eb2MueG1sUEsFBgAAAAAGAAYAWQEAAOIFAAAAAA==&#10;">
              <v:fill on="f" focussize="0,0"/>
              <v:stroke on="f"/>
              <v:imagedata o:title=""/>
              <o:lock v:ext="edit" aspectratio="f"/>
              <v:textbox inset="0mm,0mm,0mm,15pt" style="mso-fit-shape-to-text:t;">
                <w:txbxContent>
                  <w:p w14:paraId="752101F0">
                    <w:pPr>
                      <w:rPr>
                        <w:rFonts w:ascii="Calibri" w:hAnsi="Calibri" w:eastAsia="Calibri" w:cs="Calibri"/>
                        <w:color w:val="000000"/>
                        <w:sz w:val="20"/>
                      </w:rPr>
                    </w:pPr>
                    <w:r>
                      <w:rPr>
                        <w:rFonts w:ascii="Calibri" w:hAnsi="Calibri" w:eastAsia="Calibri" w:cs="Calibri"/>
                        <w:color w:val="000000"/>
                        <w:sz w:val="20"/>
                      </w:rPr>
                      <w:t>CFAA - INTERNAL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6901">
    <w:pPr>
      <w:pStyle w:val="18"/>
    </w:pPr>
    <w:r>
      <mc:AlternateContent>
        <mc:Choice Requires="wps">
          <w:drawing>
            <wp:anchor distT="0" distB="0" distL="0" distR="0" simplePos="0" relativeHeight="251659264" behindDoc="0" locked="0" layoutInCell="1" allowOverlap="1">
              <wp:simplePos x="0" y="0"/>
              <wp:positionH relativeFrom="page">
                <wp:align>center</wp:align>
              </wp:positionH>
              <wp:positionV relativeFrom="page">
                <wp:align>bottom</wp:align>
              </wp:positionV>
              <wp:extent cx="953135" cy="345440"/>
              <wp:effectExtent l="0" t="0" r="0" b="0"/>
              <wp:wrapNone/>
              <wp:docPr id="907827097" name="文本框 2"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586072C2">
                          <w:pPr>
                            <w:rPr>
                              <w:rFonts w:ascii="Calibri" w:hAnsi="Calibri" w:eastAsia="Calibri" w:cs="Calibri"/>
                              <w:color w:val="000000"/>
                              <w:sz w:val="20"/>
                            </w:rPr>
                          </w:pPr>
                          <w:r>
                            <w:rPr>
                              <w:rFonts w:ascii="Calibri" w:hAnsi="Calibri" w:eastAsia="Calibri" w:cs="Calibri"/>
                              <w:color w:val="000000"/>
                              <w:sz w:val="20"/>
                            </w:rPr>
                            <w:t>CFAA - 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2" o:spid="_x0000_s1026" o:spt="202" alt="CFAA - INTERNAL" type="#_x0000_t202" style="position:absolute;left:0pt;height:27.2pt;width:75.05pt;mso-position-horizontal:center;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QaTgtQAAAAEAQAADwAAAAAAAAAB&#10;ACAAAAAiAAAAZHJzL2Rvd25yZXYueG1sUEsBAhQAFAAAAAgAh07iQGemNLhNAgAAbwQAAA4AAAAA&#10;AAAAAQAgAAAAIwEAAGRycy9lMm9Eb2MueG1sUEsFBgAAAAAGAAYAWQEAAOIFAAAAAA==&#10;">
              <v:fill on="f" focussize="0,0"/>
              <v:stroke on="f"/>
              <v:imagedata o:title=""/>
              <o:lock v:ext="edit" aspectratio="f"/>
              <v:textbox inset="0mm,0mm,0mm,15pt" style="mso-fit-shape-to-text:t;">
                <w:txbxContent>
                  <w:p w14:paraId="586072C2">
                    <w:pPr>
                      <w:rPr>
                        <w:rFonts w:ascii="Calibri" w:hAnsi="Calibri" w:eastAsia="Calibri" w:cs="Calibri"/>
                        <w:color w:val="000000"/>
                        <w:sz w:val="20"/>
                      </w:rPr>
                    </w:pPr>
                    <w:r>
                      <w:rPr>
                        <w:rFonts w:ascii="Calibri" w:hAnsi="Calibri" w:eastAsia="Calibri" w:cs="Calibri"/>
                        <w:color w:val="000000"/>
                        <w:sz w:val="20"/>
                      </w:rPr>
                      <w:t>CFAA - INTERNAL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023F0">
    <w:pPr>
      <w:pStyle w:val="18"/>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1B354">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DB1B354">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6994F">
    <w:pPr>
      <w:pStyle w:val="18"/>
    </w:pPr>
    <w: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953135" cy="345440"/>
              <wp:effectExtent l="0" t="0" r="0" b="0"/>
              <wp:wrapNone/>
              <wp:docPr id="21" name="文本框 3"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1B202F68">
                          <w:pPr>
                            <w:jc w:val="both"/>
                            <w:rPr>
                              <w:rFonts w:ascii="Calibri" w:hAnsi="Calibri" w:eastAsia="Calibri" w:cs="Calibri"/>
                              <w:color w:val="000000"/>
                              <w:sz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3" o:spid="_x0000_s1026" o:spt="202" alt="CFAA - INTERNAL" type="#_x0000_t202" style="position:absolute;left:0pt;height:27.2pt;width:75.0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Gk4LUAAAABAEAAA8AAAAAAAAAAQAgAAAAIgAA&#10;AGRycy9kb3ducmV2LnhtbFBLAQIUABQAAAAIAIdO4kCsibagRQIAAGgEAAAOAAAAAAAAAAEAIAAA&#10;ACMBAABkcnMvZTJvRG9jLnhtbFBLBQYAAAAABgAGAFkBAADaBQAAAAA=&#10;">
              <v:fill on="f" focussize="0,0"/>
              <v:stroke on="f"/>
              <v:imagedata o:title=""/>
              <o:lock v:ext="edit" aspectratio="f"/>
              <v:textbox inset="0mm,0mm,0mm,15pt" style="mso-fit-shape-to-text:t;">
                <w:txbxContent>
                  <w:p w14:paraId="1B202F68">
                    <w:pPr>
                      <w:jc w:val="both"/>
                      <w:rPr>
                        <w:rFonts w:ascii="Calibri" w:hAnsi="Calibri" w:eastAsia="Calibri" w:cs="Calibri"/>
                        <w:color w:val="000000"/>
                        <w:sz w:val="2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4433">
    <w:pPr>
      <w:pStyle w:val="18"/>
      <w:tabs>
        <w:tab w:val="center" w:pos="7062"/>
        <w:tab w:val="left" w:pos="8765"/>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F95CF">
    <w:pPr>
      <w:pStyle w:val="18"/>
    </w:pPr>
    <w:r>
      <mc:AlternateContent>
        <mc:Choice Requires="wps">
          <w:drawing>
            <wp:anchor distT="0" distB="0" distL="0" distR="0" simplePos="0" relativeHeight="251662336" behindDoc="0" locked="0" layoutInCell="1" allowOverlap="1">
              <wp:simplePos x="0" y="0"/>
              <wp:positionH relativeFrom="page">
                <wp:align>center</wp:align>
              </wp:positionH>
              <wp:positionV relativeFrom="page">
                <wp:align>bottom</wp:align>
              </wp:positionV>
              <wp:extent cx="953135" cy="345440"/>
              <wp:effectExtent l="0" t="0" r="0" b="0"/>
              <wp:wrapNone/>
              <wp:docPr id="1898426556" name="文本框 5"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497A30A1">
                          <w:pPr>
                            <w:rPr>
                              <w:rFonts w:ascii="Calibri" w:hAnsi="Calibri" w:eastAsia="Calibri" w:cs="Calibri"/>
                              <w:color w:val="000000"/>
                              <w:sz w:val="20"/>
                            </w:rPr>
                          </w:pPr>
                          <w:r>
                            <w:rPr>
                              <w:rFonts w:ascii="Calibri" w:hAnsi="Calibri" w:eastAsia="Calibri" w:cs="Calibri"/>
                              <w:color w:val="000000"/>
                              <w:sz w:val="20"/>
                            </w:rPr>
                            <w:t>CFAA - 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5" o:spid="_x0000_s1026" o:spt="202" alt="CFAA - INTERNAL" type="#_x0000_t202" style="position:absolute;left:0pt;height:27.2pt;width:75.05pt;mso-position-horizontal:center;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EGk4LUAAAABAEAAA8AAAAAAAAAAQAg&#10;AAAAIgAAAGRycy9kb3ducmV2LnhtbFBLAQIUABQAAAAIAIdO4kAykiu3SwIAAHAEAAAOAAAAAAAA&#10;AAEAIAAAACMBAABkcnMvZTJvRG9jLnhtbFBLBQYAAAAABgAGAFkBAADgBQAAAAA=&#10;">
              <v:fill on="f" focussize="0,0"/>
              <v:stroke on="f"/>
              <v:imagedata o:title=""/>
              <o:lock v:ext="edit" aspectratio="f"/>
              <v:textbox inset="0mm,0mm,0mm,15pt" style="mso-fit-shape-to-text:t;">
                <w:txbxContent>
                  <w:p w14:paraId="497A30A1">
                    <w:pPr>
                      <w:rPr>
                        <w:rFonts w:ascii="Calibri" w:hAnsi="Calibri" w:eastAsia="Calibri" w:cs="Calibri"/>
                        <w:color w:val="000000"/>
                        <w:sz w:val="20"/>
                      </w:rPr>
                    </w:pPr>
                    <w:r>
                      <w:rPr>
                        <w:rFonts w:ascii="Calibri" w:hAnsi="Calibri" w:eastAsia="Calibri" w:cs="Calibri"/>
                        <w:color w:val="000000"/>
                        <w:sz w:val="20"/>
                      </w:rPr>
                      <w:t>CFAA - INTERNAL</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8B38">
    <w:pPr>
      <w:pStyle w:val="18"/>
    </w:pPr>
    <w:r>
      <mc:AlternateContent>
        <mc:Choice Requires="wps">
          <w:drawing>
            <wp:anchor distT="0" distB="0" distL="0" distR="0" simplePos="0" relativeHeight="251661312" behindDoc="0" locked="0" layoutInCell="1" allowOverlap="1">
              <wp:simplePos x="0" y="0"/>
              <wp:positionH relativeFrom="page">
                <wp:align>center</wp:align>
              </wp:positionH>
              <wp:positionV relativeFrom="page">
                <wp:align>bottom</wp:align>
              </wp:positionV>
              <wp:extent cx="953135" cy="345440"/>
              <wp:effectExtent l="0" t="0" r="0" b="0"/>
              <wp:wrapNone/>
              <wp:docPr id="1385281918" name="文本框 4"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2065B5B4">
                          <w:pPr>
                            <w:rPr>
                              <w:rFonts w:ascii="Calibri" w:hAnsi="Calibri" w:eastAsia="Calibri" w:cs="Calibri"/>
                              <w:color w:val="000000"/>
                              <w:sz w:val="20"/>
                            </w:rPr>
                          </w:pPr>
                          <w:r>
                            <w:rPr>
                              <w:rFonts w:ascii="Calibri" w:hAnsi="Calibri" w:eastAsia="Calibri" w:cs="Calibri"/>
                              <w:color w:val="000000"/>
                              <w:sz w:val="20"/>
                            </w:rPr>
                            <w:t>CFAA - 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4" o:spid="_x0000_s1026" o:spt="202" alt="CFAA - INTERNAL" type="#_x0000_t202" style="position:absolute;left:0pt;height:27.2pt;width:75.05pt;mso-position-horizontal:center;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BpOC1AAAAAQBAAAPAAAAAAAAAAEA&#10;IAAAACIAAABkcnMvZG93bnJldi54bWxQSwECFAAUAAAACACHTuJAf3Arj0wCAABwBAAADgAAAAAA&#10;AAABACAAAAAjAQAAZHJzL2Uyb0RvYy54bWxQSwUGAAAAAAYABgBZAQAA4QUAAAAA&#10;">
              <v:fill on="f" focussize="0,0"/>
              <v:stroke on="f"/>
              <v:imagedata o:title=""/>
              <o:lock v:ext="edit" aspectratio="f"/>
              <v:textbox inset="0mm,0mm,0mm,15pt" style="mso-fit-shape-to-text:t;">
                <w:txbxContent>
                  <w:p w14:paraId="2065B5B4">
                    <w:pPr>
                      <w:rPr>
                        <w:rFonts w:ascii="Calibri" w:hAnsi="Calibri" w:eastAsia="Calibri" w:cs="Calibri"/>
                        <w:color w:val="000000"/>
                        <w:sz w:val="20"/>
                      </w:rPr>
                    </w:pPr>
                    <w:r>
                      <w:rPr>
                        <w:rFonts w:ascii="Calibri" w:hAnsi="Calibri" w:eastAsia="Calibri" w:cs="Calibri"/>
                        <w:color w:val="000000"/>
                        <w:sz w:val="20"/>
                      </w:rPr>
                      <w:t>CFAA - INTERNAL</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D599">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9D02D">
                          <w:pPr>
                            <w:pStyle w:val="18"/>
                            <w:keepNext w:val="0"/>
                            <w:keepLines w:val="0"/>
                            <w:pageBreakBefore w:val="0"/>
                            <w:widowControl w:val="0"/>
                            <w:kinsoku/>
                            <w:wordWrap w:val="0"/>
                            <w:overflowPunct/>
                            <w:topLinePunct w:val="0"/>
                            <w:bidi w:val="0"/>
                            <w:adjustRightInd/>
                            <w:snapToGrid/>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F79D02D">
                    <w:pPr>
                      <w:pStyle w:val="18"/>
                      <w:keepNext w:val="0"/>
                      <w:keepLines w:val="0"/>
                      <w:pageBreakBefore w:val="0"/>
                      <w:widowControl w:val="0"/>
                      <w:kinsoku/>
                      <w:wordWrap w:val="0"/>
                      <w:overflowPunct/>
                      <w:topLinePunct w:val="0"/>
                      <w:bidi w:val="0"/>
                      <w:adjustRightInd/>
                      <w:snapToGrid/>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0" distR="0" simplePos="0" relativeHeight="251663360" behindDoc="0" locked="0" layoutInCell="1" allowOverlap="1">
              <wp:simplePos x="0" y="0"/>
              <wp:positionH relativeFrom="page">
                <wp:align>center</wp:align>
              </wp:positionH>
              <wp:positionV relativeFrom="page">
                <wp:align>bottom</wp:align>
              </wp:positionV>
              <wp:extent cx="953135" cy="345440"/>
              <wp:effectExtent l="0" t="0" r="0" b="0"/>
              <wp:wrapNone/>
              <wp:docPr id="11" name="文本框 3" descr="CFAA - INTERNAL"/>
              <wp:cNvGraphicFramePr/>
              <a:graphic xmlns:a="http://schemas.openxmlformats.org/drawingml/2006/main">
                <a:graphicData uri="http://schemas.microsoft.com/office/word/2010/wordprocessingShape">
                  <wps:wsp>
                    <wps:cNvSpPr txBox="1"/>
                    <wps:spPr>
                      <a:xfrm>
                        <a:off x="0" y="0"/>
                        <a:ext cx="953135" cy="345440"/>
                      </a:xfrm>
                      <a:prstGeom prst="rect">
                        <a:avLst/>
                      </a:prstGeom>
                      <a:noFill/>
                      <a:ln>
                        <a:noFill/>
                      </a:ln>
                    </wps:spPr>
                    <wps:txbx>
                      <w:txbxContent>
                        <w:p w14:paraId="24E5CD2C">
                          <w:pPr>
                            <w:jc w:val="both"/>
                            <w:rPr>
                              <w:rFonts w:ascii="Calibri" w:hAnsi="Calibri" w:eastAsia="Calibri" w:cs="Calibri"/>
                              <w:color w:val="000000"/>
                              <w:sz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文本框 3" o:spid="_x0000_s1026" o:spt="202" alt="CFAA - INTERNAL" type="#_x0000_t202" style="position:absolute;left:0pt;height:27.2pt;width:75.05pt;mso-position-horizontal:center;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QaTgtQAAAAEAQAADwAAAAAAAAABACAAAAAiAAAA&#10;ZHJzL2Rvd25yZXYueG1sUEsBAhQAFAAAAAgAh07iQAlLIX9EAgAAaAQAAA4AAAAAAAAAAQAgAAAA&#10;IwEAAGRycy9lMm9Eb2MueG1sUEsFBgAAAAAGAAYAWQEAANkFAAAAAA==&#10;">
              <v:fill on="f" focussize="0,0"/>
              <v:stroke on="f"/>
              <v:imagedata o:title=""/>
              <o:lock v:ext="edit" aspectratio="f"/>
              <v:textbox inset="0mm,0mm,0mm,15pt" style="mso-fit-shape-to-text:t;">
                <w:txbxContent>
                  <w:p w14:paraId="24E5CD2C">
                    <w:pPr>
                      <w:jc w:val="both"/>
                      <w:rPr>
                        <w:rFonts w:ascii="Calibri" w:hAnsi="Calibri" w:eastAsia="Calibri" w:cs="Calibri"/>
                        <w:color w:val="000000"/>
                        <w:sz w:val="20"/>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10BB">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5168F">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A5168F">
                    <w:pPr>
                      <w:pStyle w:val="18"/>
                    </w:pPr>
                    <w:r>
                      <w:fldChar w:fldCharType="begin"/>
                    </w:r>
                    <w:r>
                      <w:instrText xml:space="preserve"> PAGE  \* MERGEFORMAT </w:instrText>
                    </w:r>
                    <w:r>
                      <w:fldChar w:fldCharType="separate"/>
                    </w:r>
                    <w:r>
                      <w:t>71</w:t>
                    </w:r>
                    <w:r>
                      <w:fldChar w:fldCharType="end"/>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4728210</wp:posOffset>
              </wp:positionH>
              <wp:positionV relativeFrom="page">
                <wp:posOffset>7206615</wp:posOffset>
              </wp:positionV>
              <wp:extent cx="1082675" cy="353695"/>
              <wp:effectExtent l="0" t="0" r="0" b="0"/>
              <wp:wrapNone/>
              <wp:docPr id="1638219035" name="文本框 9" descr="CFAA - INTERNAL"/>
              <wp:cNvGraphicFramePr/>
              <a:graphic xmlns:a="http://schemas.openxmlformats.org/drawingml/2006/main">
                <a:graphicData uri="http://schemas.microsoft.com/office/word/2010/wordprocessingShape">
                  <wps:wsp>
                    <wps:cNvSpPr txBox="1"/>
                    <wps:spPr>
                      <a:xfrm>
                        <a:off x="0" y="0"/>
                        <a:ext cx="1082675" cy="353695"/>
                      </a:xfrm>
                      <a:prstGeom prst="rect">
                        <a:avLst/>
                      </a:prstGeom>
                      <a:noFill/>
                      <a:ln>
                        <a:noFill/>
                      </a:ln>
                    </wps:spPr>
                    <wps:txbx>
                      <w:txbxContent>
                        <w:p w14:paraId="26CE6927"/>
                      </w:txbxContent>
                    </wps:txbx>
                    <wps:bodyPr rot="0" spcFirstLastPara="0" vertOverflow="overflow" horzOverflow="overflow" vert="horz" wrap="square" lIns="0" tIns="0" rIns="0" bIns="190500" numCol="1" spcCol="0" rtlCol="0" fromWordArt="0" anchor="b" anchorCtr="0" forceAA="0" compatLnSpc="1">
                      <a:noAutofit/>
                    </wps:bodyPr>
                  </wps:wsp>
                </a:graphicData>
              </a:graphic>
            </wp:anchor>
          </w:drawing>
        </mc:Choice>
        <mc:Fallback>
          <w:pict>
            <v:shape id="文本框 9" o:spid="_x0000_s1026" o:spt="202" alt="CFAA - INTERNAL" type="#_x0000_t202" style="position:absolute;left:0pt;margin-left:372.3pt;margin-top:567.45pt;height:27.85pt;width:85.25pt;mso-position-horizontal-relative:page;mso-position-vertical-relative:page;z-index:251661312;v-text-anchor:bottom;mso-width-relative:page;mso-height-relative:page;" filled="f" stroked="f" coordsize="21600,21600" o:gfxdata="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4Drv2gAAAA0BAAAPAAAA&#10;AAAAAAEAIAAAACIAAABkcnMvZG93bnJldi54bWxQSwECFAAUAAAACACHTuJAzwpAD0wCAABzBAAA&#10;DgAAAAAAAAABACAAAAApAQAAZHJzL2Uyb0RvYy54bWxQSwUGAAAAAAYABgBZAQAA5wUAAAAA&#10;">
              <v:fill on="f" focussize="0,0"/>
              <v:stroke on="f"/>
              <v:imagedata o:title=""/>
              <o:lock v:ext="edit" aspectratio="f"/>
              <v:textbox inset="0mm,0mm,0mm,15pt">
                <w:txbxContent>
                  <w:p w14:paraId="26CE6927"/>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0C17">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9A34">
    <w:pPr>
      <w:pStyle w:val="19"/>
      <w:widowControl w:val="0"/>
      <w:pBdr>
        <w:top w:val="none" w:color="auto" w:sz="0" w:space="1"/>
        <w:left w:val="none" w:color="auto" w:sz="0" w:space="4"/>
        <w:bottom w:val="none" w:color="auto" w:sz="0" w:space="1"/>
        <w:right w:val="none" w:color="auto" w:sz="0" w:space="4"/>
        <w:between w:val="none" w:color="auto" w:sz="0" w:space="0"/>
      </w:pBdr>
      <w:wordWrap w:val="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1BF6F">
    <w:pPr>
      <w:pStyle w:val="19"/>
      <w:pBdr>
        <w:top w:val="none" w:color="auto" w:sz="0" w:space="0"/>
        <w:left w:val="none" w:color="auto" w:sz="0" w:space="0"/>
        <w:bottom w:val="none" w:color="auto" w:sz="0" w:space="1"/>
        <w:right w:val="none" w:color="auto" w:sz="0" w:space="0"/>
        <w:between w:val="none" w:color="auto" w:sz="0" w:space="0"/>
      </w:pBdr>
      <w:rPr>
        <w:highlight w:val="yell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81B7A8"/>
    <w:multiLevelType w:val="singleLevel"/>
    <w:tmpl w:val="3481B7A8"/>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47A84BD0"/>
    <w:multiLevelType w:val="multilevel"/>
    <w:tmpl w:val="47A84BD0"/>
    <w:lvl w:ilvl="0" w:tentative="0">
      <w:start w:val="1"/>
      <w:numFmt w:val="chineseCountingThousand"/>
      <w:suff w:val="nothing"/>
      <w:lvlText w:val="%1、"/>
      <w:lvlJc w:val="left"/>
      <w:pPr>
        <w:ind w:left="0" w:firstLine="0"/>
      </w:pPr>
      <w:rPr>
        <w:rFonts w:hint="eastAsia"/>
      </w:rPr>
    </w:lvl>
    <w:lvl w:ilvl="1" w:tentative="0">
      <w:start w:val="1"/>
      <w:numFmt w:val="decimal"/>
      <w:suff w:val="nothing"/>
      <w:lvlText w:val="%2、"/>
      <w:lvlJc w:val="left"/>
      <w:pPr>
        <w:ind w:left="-62" w:firstLine="0"/>
      </w:pPr>
      <w:rPr>
        <w:rFonts w:hint="eastAsia"/>
      </w:rPr>
    </w:lvl>
    <w:lvl w:ilvl="2" w:tentative="0">
      <w:start w:val="1"/>
      <w:numFmt w:val="decimal"/>
      <w:suff w:val="space"/>
      <w:lvlText w:val="%2.%3"/>
      <w:lvlJc w:val="left"/>
      <w:pPr>
        <w:ind w:left="0" w:firstLine="0"/>
      </w:pPr>
      <w:rPr>
        <w:rFonts w:hint="eastAsia"/>
      </w:rPr>
    </w:lvl>
    <w:lvl w:ilvl="3" w:tentative="0">
      <w:start w:val="1"/>
      <w:numFmt w:val="decimal"/>
      <w:lvlRestart w:val="1"/>
      <w:suff w:val="nothing"/>
      <w:lvlText w:val="%4、"/>
      <w:lvlJc w:val="left"/>
      <w:pPr>
        <w:ind w:left="0" w:firstLine="0"/>
      </w:pPr>
      <w:rPr>
        <w:rFonts w:hint="eastAsia"/>
      </w:rPr>
    </w:lvl>
    <w:lvl w:ilvl="4" w:tentative="0">
      <w:start w:val="1"/>
      <w:numFmt w:val="lowerLetter"/>
      <w:lvlText w:val="%5)"/>
      <w:lvlJc w:val="left"/>
      <w:pPr>
        <w:ind w:left="2100" w:hanging="420"/>
      </w:pPr>
      <w:rPr>
        <w:rFonts w:hint="eastAsia"/>
      </w:rPr>
    </w:lvl>
    <w:lvl w:ilvl="5" w:tentative="0">
      <w:start w:val="1"/>
      <w:numFmt w:val="decimal"/>
      <w:lvlRestart w:val="1"/>
      <w:pStyle w:val="52"/>
      <w:isLgl/>
      <w:suff w:val="space"/>
      <w:lvlText w:val="表%1-%6"/>
      <w:lvlJc w:val="left"/>
      <w:pPr>
        <w:ind w:left="2730" w:firstLine="0"/>
      </w:pPr>
      <w:rPr>
        <w:rFonts w:hint="eastAsia"/>
      </w:rPr>
    </w:lvl>
    <w:lvl w:ilvl="6" w:tentative="0">
      <w:start w:val="1"/>
      <w:numFmt w:val="decimal"/>
      <w:lvlRestart w:val="1"/>
      <w:isLgl/>
      <w:suff w:val="space"/>
      <w:lvlText w:val="图%1-%7"/>
      <w:lvlJc w:val="left"/>
      <w:pPr>
        <w:ind w:left="0" w:firstLine="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3F3795"/>
    <w:rsid w:val="001140C2"/>
    <w:rsid w:val="002861E8"/>
    <w:rsid w:val="003A5C87"/>
    <w:rsid w:val="00522102"/>
    <w:rsid w:val="006C48E1"/>
    <w:rsid w:val="00AF0057"/>
    <w:rsid w:val="00B47420"/>
    <w:rsid w:val="00CD79DA"/>
    <w:rsid w:val="00D24FF0"/>
    <w:rsid w:val="00D84242"/>
    <w:rsid w:val="00EF0EE8"/>
    <w:rsid w:val="01374FB7"/>
    <w:rsid w:val="01410A17"/>
    <w:rsid w:val="01723229"/>
    <w:rsid w:val="01BE7C18"/>
    <w:rsid w:val="01DD3C4D"/>
    <w:rsid w:val="01E8533D"/>
    <w:rsid w:val="01EC20E2"/>
    <w:rsid w:val="01FF0067"/>
    <w:rsid w:val="0224187C"/>
    <w:rsid w:val="023C4E17"/>
    <w:rsid w:val="02534134"/>
    <w:rsid w:val="02691984"/>
    <w:rsid w:val="0287433B"/>
    <w:rsid w:val="02B406A3"/>
    <w:rsid w:val="02B726F0"/>
    <w:rsid w:val="02B81F98"/>
    <w:rsid w:val="02CC7973"/>
    <w:rsid w:val="02D44DFC"/>
    <w:rsid w:val="0306254E"/>
    <w:rsid w:val="03227C2F"/>
    <w:rsid w:val="03461ED5"/>
    <w:rsid w:val="034E3CB1"/>
    <w:rsid w:val="036172DD"/>
    <w:rsid w:val="037164F2"/>
    <w:rsid w:val="03A037A4"/>
    <w:rsid w:val="03B22EB7"/>
    <w:rsid w:val="03B6069E"/>
    <w:rsid w:val="03E2554B"/>
    <w:rsid w:val="03E95FB0"/>
    <w:rsid w:val="04054E43"/>
    <w:rsid w:val="0409056F"/>
    <w:rsid w:val="043164D2"/>
    <w:rsid w:val="046C6724"/>
    <w:rsid w:val="04822175"/>
    <w:rsid w:val="04C17856"/>
    <w:rsid w:val="04C21B55"/>
    <w:rsid w:val="04C65623"/>
    <w:rsid w:val="04C86DB6"/>
    <w:rsid w:val="04D3472D"/>
    <w:rsid w:val="04E946B7"/>
    <w:rsid w:val="0500455B"/>
    <w:rsid w:val="05087233"/>
    <w:rsid w:val="050C7FCC"/>
    <w:rsid w:val="051C54AC"/>
    <w:rsid w:val="056401E1"/>
    <w:rsid w:val="056D5C31"/>
    <w:rsid w:val="05A72FF8"/>
    <w:rsid w:val="064737C1"/>
    <w:rsid w:val="06503294"/>
    <w:rsid w:val="066D5C91"/>
    <w:rsid w:val="06954AF6"/>
    <w:rsid w:val="06AB256C"/>
    <w:rsid w:val="06D27AF8"/>
    <w:rsid w:val="06D53145"/>
    <w:rsid w:val="0718280F"/>
    <w:rsid w:val="07591FC8"/>
    <w:rsid w:val="07677852"/>
    <w:rsid w:val="076B5857"/>
    <w:rsid w:val="07A64AE1"/>
    <w:rsid w:val="07B317C4"/>
    <w:rsid w:val="07CD3E5B"/>
    <w:rsid w:val="07D96C64"/>
    <w:rsid w:val="07E850FA"/>
    <w:rsid w:val="07ED2710"/>
    <w:rsid w:val="08191C97"/>
    <w:rsid w:val="08564F20"/>
    <w:rsid w:val="086329D2"/>
    <w:rsid w:val="08670714"/>
    <w:rsid w:val="087542A9"/>
    <w:rsid w:val="08762705"/>
    <w:rsid w:val="08841460"/>
    <w:rsid w:val="08901EB5"/>
    <w:rsid w:val="08AA23AF"/>
    <w:rsid w:val="08B70EA0"/>
    <w:rsid w:val="08D544C6"/>
    <w:rsid w:val="08E10BA6"/>
    <w:rsid w:val="08EE04EE"/>
    <w:rsid w:val="09002BCF"/>
    <w:rsid w:val="09212A1F"/>
    <w:rsid w:val="09257549"/>
    <w:rsid w:val="092B34F0"/>
    <w:rsid w:val="093C7535"/>
    <w:rsid w:val="09630A54"/>
    <w:rsid w:val="09672B05"/>
    <w:rsid w:val="097F3344"/>
    <w:rsid w:val="0989722B"/>
    <w:rsid w:val="09EB6B85"/>
    <w:rsid w:val="0A1D4CC7"/>
    <w:rsid w:val="0A1F0A0A"/>
    <w:rsid w:val="0A4203AE"/>
    <w:rsid w:val="0A5F31DD"/>
    <w:rsid w:val="0A5F7F8C"/>
    <w:rsid w:val="0AB57A4A"/>
    <w:rsid w:val="0AD81455"/>
    <w:rsid w:val="0AFC1A95"/>
    <w:rsid w:val="0B424E2E"/>
    <w:rsid w:val="0B4433E1"/>
    <w:rsid w:val="0B4453CD"/>
    <w:rsid w:val="0B4C6761"/>
    <w:rsid w:val="0B642CE9"/>
    <w:rsid w:val="0B8C4DA9"/>
    <w:rsid w:val="0B941820"/>
    <w:rsid w:val="0BD25EA5"/>
    <w:rsid w:val="0BDC4F75"/>
    <w:rsid w:val="0C0149DC"/>
    <w:rsid w:val="0C09039F"/>
    <w:rsid w:val="0C1C2136"/>
    <w:rsid w:val="0C5B40EC"/>
    <w:rsid w:val="0C7B478E"/>
    <w:rsid w:val="0C8573BB"/>
    <w:rsid w:val="0C914370"/>
    <w:rsid w:val="0C981954"/>
    <w:rsid w:val="0CA02447"/>
    <w:rsid w:val="0CA83E21"/>
    <w:rsid w:val="0CAB4D3E"/>
    <w:rsid w:val="0CBB3049"/>
    <w:rsid w:val="0CBD4DA7"/>
    <w:rsid w:val="0D1F78D9"/>
    <w:rsid w:val="0D490AEC"/>
    <w:rsid w:val="0D867FD8"/>
    <w:rsid w:val="0DE67D91"/>
    <w:rsid w:val="0E2F3A82"/>
    <w:rsid w:val="0E4E02B1"/>
    <w:rsid w:val="0E5E7EC3"/>
    <w:rsid w:val="0E604C47"/>
    <w:rsid w:val="0E802992"/>
    <w:rsid w:val="0E81615F"/>
    <w:rsid w:val="0E87566C"/>
    <w:rsid w:val="0E9B2EC6"/>
    <w:rsid w:val="0EA977AB"/>
    <w:rsid w:val="0EE01909"/>
    <w:rsid w:val="0EE66FC4"/>
    <w:rsid w:val="0F056591"/>
    <w:rsid w:val="0F2E71B6"/>
    <w:rsid w:val="0F601A19"/>
    <w:rsid w:val="0F7B6853"/>
    <w:rsid w:val="0F7D3049"/>
    <w:rsid w:val="0FC83354"/>
    <w:rsid w:val="0FDC6720"/>
    <w:rsid w:val="0FE6720F"/>
    <w:rsid w:val="10116269"/>
    <w:rsid w:val="10216846"/>
    <w:rsid w:val="10270CA8"/>
    <w:rsid w:val="10493E45"/>
    <w:rsid w:val="104A251D"/>
    <w:rsid w:val="106A67FA"/>
    <w:rsid w:val="10710D1B"/>
    <w:rsid w:val="107B4D5D"/>
    <w:rsid w:val="10A72247"/>
    <w:rsid w:val="10F14A8A"/>
    <w:rsid w:val="110A4333"/>
    <w:rsid w:val="114C6697"/>
    <w:rsid w:val="114E2471"/>
    <w:rsid w:val="119836EC"/>
    <w:rsid w:val="11AE4261"/>
    <w:rsid w:val="11B5604C"/>
    <w:rsid w:val="11B61DC5"/>
    <w:rsid w:val="11BA3663"/>
    <w:rsid w:val="11CB3AC2"/>
    <w:rsid w:val="11E93F48"/>
    <w:rsid w:val="11F84B62"/>
    <w:rsid w:val="120945EA"/>
    <w:rsid w:val="121C256F"/>
    <w:rsid w:val="12257ED3"/>
    <w:rsid w:val="12344C55"/>
    <w:rsid w:val="123553DF"/>
    <w:rsid w:val="1269692C"/>
    <w:rsid w:val="12791770"/>
    <w:rsid w:val="12922832"/>
    <w:rsid w:val="12A54313"/>
    <w:rsid w:val="12AE2105"/>
    <w:rsid w:val="12BE5BE9"/>
    <w:rsid w:val="12C05204"/>
    <w:rsid w:val="12D60970"/>
    <w:rsid w:val="12EE0384"/>
    <w:rsid w:val="13196AAF"/>
    <w:rsid w:val="131D4639"/>
    <w:rsid w:val="133B3544"/>
    <w:rsid w:val="135E44C2"/>
    <w:rsid w:val="1363315E"/>
    <w:rsid w:val="13860B90"/>
    <w:rsid w:val="13914897"/>
    <w:rsid w:val="139F5206"/>
    <w:rsid w:val="13B65567"/>
    <w:rsid w:val="13BF7CE1"/>
    <w:rsid w:val="13C83228"/>
    <w:rsid w:val="13E4035D"/>
    <w:rsid w:val="13E63024"/>
    <w:rsid w:val="13E744B7"/>
    <w:rsid w:val="143A0A8B"/>
    <w:rsid w:val="144846D5"/>
    <w:rsid w:val="144E3338"/>
    <w:rsid w:val="145002AE"/>
    <w:rsid w:val="14593607"/>
    <w:rsid w:val="145A2EDB"/>
    <w:rsid w:val="145E21EB"/>
    <w:rsid w:val="14664664"/>
    <w:rsid w:val="146675CF"/>
    <w:rsid w:val="14733F9D"/>
    <w:rsid w:val="148934F7"/>
    <w:rsid w:val="148B7538"/>
    <w:rsid w:val="14954C6D"/>
    <w:rsid w:val="14B177E6"/>
    <w:rsid w:val="14CA62B3"/>
    <w:rsid w:val="14D64FF7"/>
    <w:rsid w:val="1504385E"/>
    <w:rsid w:val="15242DBE"/>
    <w:rsid w:val="153E0A4F"/>
    <w:rsid w:val="154F7BEC"/>
    <w:rsid w:val="15610299"/>
    <w:rsid w:val="158562DB"/>
    <w:rsid w:val="15D867AD"/>
    <w:rsid w:val="15E20E89"/>
    <w:rsid w:val="16111CBF"/>
    <w:rsid w:val="161D2412"/>
    <w:rsid w:val="16223ECC"/>
    <w:rsid w:val="162A0A3F"/>
    <w:rsid w:val="16AB3EC2"/>
    <w:rsid w:val="16B6094B"/>
    <w:rsid w:val="16E90E79"/>
    <w:rsid w:val="16FD0446"/>
    <w:rsid w:val="17046187"/>
    <w:rsid w:val="171F211B"/>
    <w:rsid w:val="172F4AF3"/>
    <w:rsid w:val="173E0892"/>
    <w:rsid w:val="175E2CE2"/>
    <w:rsid w:val="177030F0"/>
    <w:rsid w:val="17991F6C"/>
    <w:rsid w:val="17AE6CC9"/>
    <w:rsid w:val="17AF3E2C"/>
    <w:rsid w:val="17B1397C"/>
    <w:rsid w:val="184D4606"/>
    <w:rsid w:val="18860743"/>
    <w:rsid w:val="189D7A20"/>
    <w:rsid w:val="18A0184B"/>
    <w:rsid w:val="18A75DDA"/>
    <w:rsid w:val="18D72D4C"/>
    <w:rsid w:val="19053190"/>
    <w:rsid w:val="1923576B"/>
    <w:rsid w:val="192F0DDA"/>
    <w:rsid w:val="19322211"/>
    <w:rsid w:val="19406B43"/>
    <w:rsid w:val="1948406A"/>
    <w:rsid w:val="194A641F"/>
    <w:rsid w:val="19502AFF"/>
    <w:rsid w:val="195A634B"/>
    <w:rsid w:val="195F7C30"/>
    <w:rsid w:val="196A1E12"/>
    <w:rsid w:val="19866520"/>
    <w:rsid w:val="198703E1"/>
    <w:rsid w:val="19A74F2E"/>
    <w:rsid w:val="19C12886"/>
    <w:rsid w:val="19D41982"/>
    <w:rsid w:val="1A0012E1"/>
    <w:rsid w:val="1A143B2C"/>
    <w:rsid w:val="1A2375CB"/>
    <w:rsid w:val="1A267FC8"/>
    <w:rsid w:val="1A3D6EC7"/>
    <w:rsid w:val="1A4E6234"/>
    <w:rsid w:val="1A583DF5"/>
    <w:rsid w:val="1A756CC1"/>
    <w:rsid w:val="1A8213DE"/>
    <w:rsid w:val="1ACF16FD"/>
    <w:rsid w:val="1ADE3F4C"/>
    <w:rsid w:val="1AF916A0"/>
    <w:rsid w:val="1B0032DD"/>
    <w:rsid w:val="1B133194"/>
    <w:rsid w:val="1B3C77DE"/>
    <w:rsid w:val="1B400146"/>
    <w:rsid w:val="1B5F68D1"/>
    <w:rsid w:val="1B6A0AF5"/>
    <w:rsid w:val="1B707488"/>
    <w:rsid w:val="1BB43819"/>
    <w:rsid w:val="1BBA678A"/>
    <w:rsid w:val="1BE3259A"/>
    <w:rsid w:val="1BE97765"/>
    <w:rsid w:val="1BF71096"/>
    <w:rsid w:val="1C0302FC"/>
    <w:rsid w:val="1C071B9A"/>
    <w:rsid w:val="1C24274C"/>
    <w:rsid w:val="1C246C7A"/>
    <w:rsid w:val="1C24719B"/>
    <w:rsid w:val="1C3C0370"/>
    <w:rsid w:val="1C3D3D50"/>
    <w:rsid w:val="1C420020"/>
    <w:rsid w:val="1C5823F6"/>
    <w:rsid w:val="1C8C6544"/>
    <w:rsid w:val="1C974E1B"/>
    <w:rsid w:val="1CAD5119"/>
    <w:rsid w:val="1CB50F2E"/>
    <w:rsid w:val="1CE123EB"/>
    <w:rsid w:val="1D13468A"/>
    <w:rsid w:val="1D1A3B4F"/>
    <w:rsid w:val="1D1B2A54"/>
    <w:rsid w:val="1D485C98"/>
    <w:rsid w:val="1D6416CF"/>
    <w:rsid w:val="1D864D41"/>
    <w:rsid w:val="1DBA3CD2"/>
    <w:rsid w:val="1DBB3395"/>
    <w:rsid w:val="1DF47EFC"/>
    <w:rsid w:val="1DFA1C66"/>
    <w:rsid w:val="1DFB427F"/>
    <w:rsid w:val="1E1A1922"/>
    <w:rsid w:val="1E415BE4"/>
    <w:rsid w:val="1E543ED0"/>
    <w:rsid w:val="1E652798"/>
    <w:rsid w:val="1E857F22"/>
    <w:rsid w:val="1EAF32E5"/>
    <w:rsid w:val="1ED3465F"/>
    <w:rsid w:val="1ED97E6F"/>
    <w:rsid w:val="1F05089E"/>
    <w:rsid w:val="1F147785"/>
    <w:rsid w:val="1F405C9E"/>
    <w:rsid w:val="1F6F5F3A"/>
    <w:rsid w:val="1FB07310"/>
    <w:rsid w:val="1FD566E0"/>
    <w:rsid w:val="1FFE172F"/>
    <w:rsid w:val="20003542"/>
    <w:rsid w:val="200D34F7"/>
    <w:rsid w:val="20341A88"/>
    <w:rsid w:val="20670E5A"/>
    <w:rsid w:val="20771C10"/>
    <w:rsid w:val="207D7F1A"/>
    <w:rsid w:val="20A16197"/>
    <w:rsid w:val="20C672AE"/>
    <w:rsid w:val="20DB35F6"/>
    <w:rsid w:val="20DE2914"/>
    <w:rsid w:val="20FE0B75"/>
    <w:rsid w:val="211F314D"/>
    <w:rsid w:val="21260D15"/>
    <w:rsid w:val="214C004F"/>
    <w:rsid w:val="21701F90"/>
    <w:rsid w:val="218E2416"/>
    <w:rsid w:val="21A46780"/>
    <w:rsid w:val="21AC47E0"/>
    <w:rsid w:val="21C66054"/>
    <w:rsid w:val="21D56090"/>
    <w:rsid w:val="21E66885"/>
    <w:rsid w:val="21F300F2"/>
    <w:rsid w:val="2201708C"/>
    <w:rsid w:val="221B63A0"/>
    <w:rsid w:val="2225525F"/>
    <w:rsid w:val="222A65E3"/>
    <w:rsid w:val="222E0EDD"/>
    <w:rsid w:val="22356D36"/>
    <w:rsid w:val="22407BB4"/>
    <w:rsid w:val="22494B69"/>
    <w:rsid w:val="224E6C54"/>
    <w:rsid w:val="22522B04"/>
    <w:rsid w:val="229E204B"/>
    <w:rsid w:val="22A74638"/>
    <w:rsid w:val="22C00CF5"/>
    <w:rsid w:val="22C74532"/>
    <w:rsid w:val="22D809FF"/>
    <w:rsid w:val="22E54766"/>
    <w:rsid w:val="232A313F"/>
    <w:rsid w:val="232A44A3"/>
    <w:rsid w:val="233A4603"/>
    <w:rsid w:val="234822FE"/>
    <w:rsid w:val="235F22BC"/>
    <w:rsid w:val="235F406A"/>
    <w:rsid w:val="236A182F"/>
    <w:rsid w:val="23D9206E"/>
    <w:rsid w:val="23E92278"/>
    <w:rsid w:val="240F11D3"/>
    <w:rsid w:val="2418581F"/>
    <w:rsid w:val="241C63FF"/>
    <w:rsid w:val="242F4B39"/>
    <w:rsid w:val="243C1D02"/>
    <w:rsid w:val="244A6AC8"/>
    <w:rsid w:val="24583B41"/>
    <w:rsid w:val="24743C46"/>
    <w:rsid w:val="247507E8"/>
    <w:rsid w:val="247955FF"/>
    <w:rsid w:val="24875189"/>
    <w:rsid w:val="248954A3"/>
    <w:rsid w:val="248A2F40"/>
    <w:rsid w:val="24B85FE4"/>
    <w:rsid w:val="24CD14A7"/>
    <w:rsid w:val="2539068D"/>
    <w:rsid w:val="255D0A7D"/>
    <w:rsid w:val="256242E5"/>
    <w:rsid w:val="256F4E42"/>
    <w:rsid w:val="25721FDB"/>
    <w:rsid w:val="25952D9C"/>
    <w:rsid w:val="25AF25E7"/>
    <w:rsid w:val="25D20094"/>
    <w:rsid w:val="25F176A6"/>
    <w:rsid w:val="25F51053"/>
    <w:rsid w:val="26301CEE"/>
    <w:rsid w:val="264C4E1A"/>
    <w:rsid w:val="269268DB"/>
    <w:rsid w:val="269450CD"/>
    <w:rsid w:val="26A10C53"/>
    <w:rsid w:val="26C00B9B"/>
    <w:rsid w:val="26C738C3"/>
    <w:rsid w:val="26E747C3"/>
    <w:rsid w:val="27033687"/>
    <w:rsid w:val="27333B64"/>
    <w:rsid w:val="2739440D"/>
    <w:rsid w:val="2760124F"/>
    <w:rsid w:val="278C672D"/>
    <w:rsid w:val="27983FEE"/>
    <w:rsid w:val="27A02EA3"/>
    <w:rsid w:val="27B70919"/>
    <w:rsid w:val="27BD5803"/>
    <w:rsid w:val="27BE014B"/>
    <w:rsid w:val="27CD66DB"/>
    <w:rsid w:val="27D87A86"/>
    <w:rsid w:val="27DB3EDB"/>
    <w:rsid w:val="27E704E5"/>
    <w:rsid w:val="283627EA"/>
    <w:rsid w:val="285E3F01"/>
    <w:rsid w:val="28603E03"/>
    <w:rsid w:val="2863560B"/>
    <w:rsid w:val="286761F4"/>
    <w:rsid w:val="286E0A26"/>
    <w:rsid w:val="289B3D96"/>
    <w:rsid w:val="28B46C06"/>
    <w:rsid w:val="28E53F58"/>
    <w:rsid w:val="29070055"/>
    <w:rsid w:val="291538B9"/>
    <w:rsid w:val="292F6834"/>
    <w:rsid w:val="293E5F8E"/>
    <w:rsid w:val="29472C55"/>
    <w:rsid w:val="294E0E09"/>
    <w:rsid w:val="29581C87"/>
    <w:rsid w:val="2970396F"/>
    <w:rsid w:val="298A3E0B"/>
    <w:rsid w:val="298E38FB"/>
    <w:rsid w:val="29910CF5"/>
    <w:rsid w:val="29A119A6"/>
    <w:rsid w:val="29C0782D"/>
    <w:rsid w:val="29C33313"/>
    <w:rsid w:val="2A1D07DB"/>
    <w:rsid w:val="2A3F37A7"/>
    <w:rsid w:val="2A434D0E"/>
    <w:rsid w:val="2A465F84"/>
    <w:rsid w:val="2A48629D"/>
    <w:rsid w:val="2A4D10C0"/>
    <w:rsid w:val="2A6E1B6D"/>
    <w:rsid w:val="2A7A1A17"/>
    <w:rsid w:val="2A851C61"/>
    <w:rsid w:val="2A9F0D82"/>
    <w:rsid w:val="2AB32EED"/>
    <w:rsid w:val="2AC63E3A"/>
    <w:rsid w:val="2ADD17FC"/>
    <w:rsid w:val="2B02766B"/>
    <w:rsid w:val="2B06474C"/>
    <w:rsid w:val="2B1D132E"/>
    <w:rsid w:val="2B687CBA"/>
    <w:rsid w:val="2B6D1F09"/>
    <w:rsid w:val="2B6E5792"/>
    <w:rsid w:val="2B786611"/>
    <w:rsid w:val="2BD355F5"/>
    <w:rsid w:val="2C0734F1"/>
    <w:rsid w:val="2C154D84"/>
    <w:rsid w:val="2C2D6BBA"/>
    <w:rsid w:val="2C363DD6"/>
    <w:rsid w:val="2C372028"/>
    <w:rsid w:val="2C4E1120"/>
    <w:rsid w:val="2C5160C7"/>
    <w:rsid w:val="2C5769AD"/>
    <w:rsid w:val="2C616407"/>
    <w:rsid w:val="2C657FCC"/>
    <w:rsid w:val="2CB80A70"/>
    <w:rsid w:val="2CD41936"/>
    <w:rsid w:val="2CDA29B3"/>
    <w:rsid w:val="2CFA69F4"/>
    <w:rsid w:val="2D19172E"/>
    <w:rsid w:val="2D2B320F"/>
    <w:rsid w:val="2D426ED6"/>
    <w:rsid w:val="2D6913A6"/>
    <w:rsid w:val="2D9F2D04"/>
    <w:rsid w:val="2DA23F11"/>
    <w:rsid w:val="2DB0368C"/>
    <w:rsid w:val="2DB43204"/>
    <w:rsid w:val="2DBB27E5"/>
    <w:rsid w:val="2DBD005A"/>
    <w:rsid w:val="2DED5BF9"/>
    <w:rsid w:val="2DFC2F3E"/>
    <w:rsid w:val="2E166CE2"/>
    <w:rsid w:val="2E64666D"/>
    <w:rsid w:val="2E7A61FC"/>
    <w:rsid w:val="2E7D5CEC"/>
    <w:rsid w:val="2E9B681B"/>
    <w:rsid w:val="2EEE0025"/>
    <w:rsid w:val="2F0825BF"/>
    <w:rsid w:val="2F0D712F"/>
    <w:rsid w:val="2F0E5351"/>
    <w:rsid w:val="2F243A34"/>
    <w:rsid w:val="2F5527C5"/>
    <w:rsid w:val="2F67295D"/>
    <w:rsid w:val="2F725F50"/>
    <w:rsid w:val="2FAD5429"/>
    <w:rsid w:val="2FDD4BA5"/>
    <w:rsid w:val="2FEF2D6F"/>
    <w:rsid w:val="2FF7387C"/>
    <w:rsid w:val="30121E36"/>
    <w:rsid w:val="30304CB1"/>
    <w:rsid w:val="30405223"/>
    <w:rsid w:val="309657DE"/>
    <w:rsid w:val="30C1410D"/>
    <w:rsid w:val="30C419B0"/>
    <w:rsid w:val="30E12562"/>
    <w:rsid w:val="30EB6F22"/>
    <w:rsid w:val="30EE4C7F"/>
    <w:rsid w:val="30F51D9C"/>
    <w:rsid w:val="311E5564"/>
    <w:rsid w:val="314F5391"/>
    <w:rsid w:val="315536FF"/>
    <w:rsid w:val="31623B36"/>
    <w:rsid w:val="31892CF2"/>
    <w:rsid w:val="31A237ED"/>
    <w:rsid w:val="31C14BEA"/>
    <w:rsid w:val="31CA1248"/>
    <w:rsid w:val="31EB543F"/>
    <w:rsid w:val="31F15340"/>
    <w:rsid w:val="31F2079F"/>
    <w:rsid w:val="31FD4E11"/>
    <w:rsid w:val="32020287"/>
    <w:rsid w:val="320F21A2"/>
    <w:rsid w:val="3222595C"/>
    <w:rsid w:val="32430E48"/>
    <w:rsid w:val="327305F9"/>
    <w:rsid w:val="3284631A"/>
    <w:rsid w:val="32B06690"/>
    <w:rsid w:val="32CE2FBA"/>
    <w:rsid w:val="32DC3CDF"/>
    <w:rsid w:val="32E54E3C"/>
    <w:rsid w:val="33004414"/>
    <w:rsid w:val="334416C6"/>
    <w:rsid w:val="334525A5"/>
    <w:rsid w:val="3369683F"/>
    <w:rsid w:val="339C4E66"/>
    <w:rsid w:val="33AD381F"/>
    <w:rsid w:val="33B2769F"/>
    <w:rsid w:val="33C216B5"/>
    <w:rsid w:val="33CA3B42"/>
    <w:rsid w:val="33CD71A2"/>
    <w:rsid w:val="33DA1B17"/>
    <w:rsid w:val="33EA7980"/>
    <w:rsid w:val="33F66A1C"/>
    <w:rsid w:val="342E247E"/>
    <w:rsid w:val="345179FF"/>
    <w:rsid w:val="34943D90"/>
    <w:rsid w:val="349B511E"/>
    <w:rsid w:val="34B01D5A"/>
    <w:rsid w:val="34C304B2"/>
    <w:rsid w:val="34CB5A03"/>
    <w:rsid w:val="34D923E8"/>
    <w:rsid w:val="34E2324A"/>
    <w:rsid w:val="34E619A9"/>
    <w:rsid w:val="3511718E"/>
    <w:rsid w:val="35297977"/>
    <w:rsid w:val="352E78CD"/>
    <w:rsid w:val="357A2F85"/>
    <w:rsid w:val="35845576"/>
    <w:rsid w:val="35B05C40"/>
    <w:rsid w:val="35B4782F"/>
    <w:rsid w:val="35D174C7"/>
    <w:rsid w:val="35D41F5E"/>
    <w:rsid w:val="35E01E5E"/>
    <w:rsid w:val="35FD74A4"/>
    <w:rsid w:val="3627310D"/>
    <w:rsid w:val="362A49AB"/>
    <w:rsid w:val="363158EC"/>
    <w:rsid w:val="363F3795"/>
    <w:rsid w:val="36407D2B"/>
    <w:rsid w:val="364376FA"/>
    <w:rsid w:val="365A64C7"/>
    <w:rsid w:val="365A6AE8"/>
    <w:rsid w:val="365E55C9"/>
    <w:rsid w:val="36633A19"/>
    <w:rsid w:val="368F58DA"/>
    <w:rsid w:val="36C12635"/>
    <w:rsid w:val="36CD2176"/>
    <w:rsid w:val="36CE4824"/>
    <w:rsid w:val="36DB7A54"/>
    <w:rsid w:val="37075D3B"/>
    <w:rsid w:val="37215DAE"/>
    <w:rsid w:val="3727713D"/>
    <w:rsid w:val="37386C54"/>
    <w:rsid w:val="373D3165"/>
    <w:rsid w:val="375F2640"/>
    <w:rsid w:val="37784E3D"/>
    <w:rsid w:val="378105FB"/>
    <w:rsid w:val="379C086E"/>
    <w:rsid w:val="37B465D2"/>
    <w:rsid w:val="37BE2571"/>
    <w:rsid w:val="37DC2334"/>
    <w:rsid w:val="37E639F1"/>
    <w:rsid w:val="37EC4126"/>
    <w:rsid w:val="38003C16"/>
    <w:rsid w:val="380C46B6"/>
    <w:rsid w:val="38543F62"/>
    <w:rsid w:val="38AA2668"/>
    <w:rsid w:val="38C04BA3"/>
    <w:rsid w:val="38C3045D"/>
    <w:rsid w:val="38C56E13"/>
    <w:rsid w:val="38CC1D4A"/>
    <w:rsid w:val="38DB3D3B"/>
    <w:rsid w:val="38F249E1"/>
    <w:rsid w:val="39014694"/>
    <w:rsid w:val="390239BE"/>
    <w:rsid w:val="392C0A3B"/>
    <w:rsid w:val="393E7E78"/>
    <w:rsid w:val="394D348F"/>
    <w:rsid w:val="396961C8"/>
    <w:rsid w:val="396A352E"/>
    <w:rsid w:val="399F7FF9"/>
    <w:rsid w:val="39AD6474"/>
    <w:rsid w:val="39C46B5B"/>
    <w:rsid w:val="39D84198"/>
    <w:rsid w:val="39F07CBA"/>
    <w:rsid w:val="3A0A2948"/>
    <w:rsid w:val="3A2079CD"/>
    <w:rsid w:val="3A373EDB"/>
    <w:rsid w:val="3A4E3471"/>
    <w:rsid w:val="3A563FC1"/>
    <w:rsid w:val="3A8C2B9D"/>
    <w:rsid w:val="3A960861"/>
    <w:rsid w:val="3AA12D62"/>
    <w:rsid w:val="3ABC52C8"/>
    <w:rsid w:val="3AEC66D3"/>
    <w:rsid w:val="3AFE01B5"/>
    <w:rsid w:val="3B071023"/>
    <w:rsid w:val="3B334302"/>
    <w:rsid w:val="3B390F77"/>
    <w:rsid w:val="3B541666"/>
    <w:rsid w:val="3B7408AE"/>
    <w:rsid w:val="3B8620A7"/>
    <w:rsid w:val="3B897909"/>
    <w:rsid w:val="3B9257F6"/>
    <w:rsid w:val="3BCD02B3"/>
    <w:rsid w:val="3C077B2A"/>
    <w:rsid w:val="3C081723"/>
    <w:rsid w:val="3C3C1CDF"/>
    <w:rsid w:val="3C3F0A85"/>
    <w:rsid w:val="3C94492D"/>
    <w:rsid w:val="3C9E4149"/>
    <w:rsid w:val="3CAA754A"/>
    <w:rsid w:val="3CAD753C"/>
    <w:rsid w:val="3CC514DC"/>
    <w:rsid w:val="3CD01C07"/>
    <w:rsid w:val="3CDD2778"/>
    <w:rsid w:val="3CF4623F"/>
    <w:rsid w:val="3D151882"/>
    <w:rsid w:val="3D284A64"/>
    <w:rsid w:val="3D2B621E"/>
    <w:rsid w:val="3D477BF1"/>
    <w:rsid w:val="3D5642D8"/>
    <w:rsid w:val="3D5A4404"/>
    <w:rsid w:val="3DBC05DF"/>
    <w:rsid w:val="3DCB6A74"/>
    <w:rsid w:val="3DE559E4"/>
    <w:rsid w:val="3E194CE3"/>
    <w:rsid w:val="3E44422A"/>
    <w:rsid w:val="3E576ACC"/>
    <w:rsid w:val="3E5F3114"/>
    <w:rsid w:val="3E734A16"/>
    <w:rsid w:val="3E9450B8"/>
    <w:rsid w:val="3E9606F3"/>
    <w:rsid w:val="3E9E4F15"/>
    <w:rsid w:val="3ECB7CCF"/>
    <w:rsid w:val="3ED00F8F"/>
    <w:rsid w:val="3ED674AB"/>
    <w:rsid w:val="3EDA2672"/>
    <w:rsid w:val="3EEF6792"/>
    <w:rsid w:val="3EFD31FF"/>
    <w:rsid w:val="3F00274D"/>
    <w:rsid w:val="3F2C47E1"/>
    <w:rsid w:val="3F485EA2"/>
    <w:rsid w:val="3F4C6CE8"/>
    <w:rsid w:val="3F636838"/>
    <w:rsid w:val="3F78620E"/>
    <w:rsid w:val="3FC03C8B"/>
    <w:rsid w:val="3FDB0AC5"/>
    <w:rsid w:val="3FF102E8"/>
    <w:rsid w:val="3FF933D8"/>
    <w:rsid w:val="400C5122"/>
    <w:rsid w:val="40112738"/>
    <w:rsid w:val="40776615"/>
    <w:rsid w:val="407E19E2"/>
    <w:rsid w:val="409E6528"/>
    <w:rsid w:val="40BB2DD0"/>
    <w:rsid w:val="40E66854"/>
    <w:rsid w:val="41273632"/>
    <w:rsid w:val="412F2E76"/>
    <w:rsid w:val="413A162D"/>
    <w:rsid w:val="416074D3"/>
    <w:rsid w:val="41885F68"/>
    <w:rsid w:val="418F7DB9"/>
    <w:rsid w:val="41B75E46"/>
    <w:rsid w:val="41BB344D"/>
    <w:rsid w:val="41CC4B69"/>
    <w:rsid w:val="41D75A3A"/>
    <w:rsid w:val="420B38E3"/>
    <w:rsid w:val="420E7D4A"/>
    <w:rsid w:val="42372ACA"/>
    <w:rsid w:val="42434E32"/>
    <w:rsid w:val="42533FA4"/>
    <w:rsid w:val="427915DB"/>
    <w:rsid w:val="42AF5166"/>
    <w:rsid w:val="42B42AA0"/>
    <w:rsid w:val="42BA70B7"/>
    <w:rsid w:val="42E96B7B"/>
    <w:rsid w:val="42F64CEC"/>
    <w:rsid w:val="42FA74B4"/>
    <w:rsid w:val="43002BC8"/>
    <w:rsid w:val="4303280C"/>
    <w:rsid w:val="43110A57"/>
    <w:rsid w:val="43193DDE"/>
    <w:rsid w:val="43386F43"/>
    <w:rsid w:val="436112E1"/>
    <w:rsid w:val="436C78F1"/>
    <w:rsid w:val="438D0328"/>
    <w:rsid w:val="43903D02"/>
    <w:rsid w:val="43C0796C"/>
    <w:rsid w:val="43CA57C8"/>
    <w:rsid w:val="4407632C"/>
    <w:rsid w:val="44101B56"/>
    <w:rsid w:val="44125964"/>
    <w:rsid w:val="44254A04"/>
    <w:rsid w:val="442A5B49"/>
    <w:rsid w:val="442E06CB"/>
    <w:rsid w:val="444D3E35"/>
    <w:rsid w:val="446E7F04"/>
    <w:rsid w:val="447F2EB7"/>
    <w:rsid w:val="448F2126"/>
    <w:rsid w:val="448F67A7"/>
    <w:rsid w:val="44904736"/>
    <w:rsid w:val="44AA0165"/>
    <w:rsid w:val="44C131CD"/>
    <w:rsid w:val="44C7344A"/>
    <w:rsid w:val="4505116C"/>
    <w:rsid w:val="45121E32"/>
    <w:rsid w:val="4515566C"/>
    <w:rsid w:val="45204A7B"/>
    <w:rsid w:val="45451A16"/>
    <w:rsid w:val="454964D0"/>
    <w:rsid w:val="45627833"/>
    <w:rsid w:val="4567353D"/>
    <w:rsid w:val="456B4699"/>
    <w:rsid w:val="456B6447"/>
    <w:rsid w:val="457E617A"/>
    <w:rsid w:val="45B14F0A"/>
    <w:rsid w:val="45D3296A"/>
    <w:rsid w:val="45D3357F"/>
    <w:rsid w:val="45D5221E"/>
    <w:rsid w:val="45DD5975"/>
    <w:rsid w:val="45EB7E2B"/>
    <w:rsid w:val="46000794"/>
    <w:rsid w:val="46062C57"/>
    <w:rsid w:val="461879B9"/>
    <w:rsid w:val="4653516E"/>
    <w:rsid w:val="46817F33"/>
    <w:rsid w:val="468D7067"/>
    <w:rsid w:val="46982229"/>
    <w:rsid w:val="46AD74C0"/>
    <w:rsid w:val="46E40FDD"/>
    <w:rsid w:val="4717309D"/>
    <w:rsid w:val="47211B2D"/>
    <w:rsid w:val="47216726"/>
    <w:rsid w:val="47A67E4C"/>
    <w:rsid w:val="47D12ED9"/>
    <w:rsid w:val="481F243B"/>
    <w:rsid w:val="4828392C"/>
    <w:rsid w:val="484B6D5E"/>
    <w:rsid w:val="484D05AF"/>
    <w:rsid w:val="487A6F13"/>
    <w:rsid w:val="48895562"/>
    <w:rsid w:val="488E4926"/>
    <w:rsid w:val="48E357A6"/>
    <w:rsid w:val="490A0962"/>
    <w:rsid w:val="492B4BB5"/>
    <w:rsid w:val="49390CCF"/>
    <w:rsid w:val="495F3613"/>
    <w:rsid w:val="49621A93"/>
    <w:rsid w:val="497951A0"/>
    <w:rsid w:val="49957F36"/>
    <w:rsid w:val="499624A2"/>
    <w:rsid w:val="499E3F7E"/>
    <w:rsid w:val="4A0E6A8F"/>
    <w:rsid w:val="4A4756D4"/>
    <w:rsid w:val="4A561840"/>
    <w:rsid w:val="4A82670C"/>
    <w:rsid w:val="4AA109C9"/>
    <w:rsid w:val="4AFB201B"/>
    <w:rsid w:val="4B446F88"/>
    <w:rsid w:val="4B6F39CF"/>
    <w:rsid w:val="4BDB2578"/>
    <w:rsid w:val="4BDC6CF8"/>
    <w:rsid w:val="4BDF58DF"/>
    <w:rsid w:val="4BFE45A4"/>
    <w:rsid w:val="4C7B57DC"/>
    <w:rsid w:val="4C7D53DD"/>
    <w:rsid w:val="4C8163AA"/>
    <w:rsid w:val="4CCC0113"/>
    <w:rsid w:val="4CEC0A5C"/>
    <w:rsid w:val="4CED4824"/>
    <w:rsid w:val="4CFD75DE"/>
    <w:rsid w:val="4D073334"/>
    <w:rsid w:val="4D826A23"/>
    <w:rsid w:val="4D9038BB"/>
    <w:rsid w:val="4DB561FB"/>
    <w:rsid w:val="4DBA6E7C"/>
    <w:rsid w:val="4DBC0187"/>
    <w:rsid w:val="4DC00E7A"/>
    <w:rsid w:val="4DDA060D"/>
    <w:rsid w:val="4DEA6AA2"/>
    <w:rsid w:val="4E191136"/>
    <w:rsid w:val="4E393847"/>
    <w:rsid w:val="4E775E5C"/>
    <w:rsid w:val="4EC07803"/>
    <w:rsid w:val="4ED82D9F"/>
    <w:rsid w:val="4ED85BEA"/>
    <w:rsid w:val="4F113697"/>
    <w:rsid w:val="4F195165"/>
    <w:rsid w:val="4F50015D"/>
    <w:rsid w:val="4F7A20A8"/>
    <w:rsid w:val="4F7C538E"/>
    <w:rsid w:val="4F844CD5"/>
    <w:rsid w:val="4FB63C1C"/>
    <w:rsid w:val="4FB64E72"/>
    <w:rsid w:val="4FEE1C51"/>
    <w:rsid w:val="500D49E0"/>
    <w:rsid w:val="500E336D"/>
    <w:rsid w:val="501A2A2D"/>
    <w:rsid w:val="501F13AB"/>
    <w:rsid w:val="50225292"/>
    <w:rsid w:val="503404A9"/>
    <w:rsid w:val="504A1C48"/>
    <w:rsid w:val="504C14EC"/>
    <w:rsid w:val="504F4681"/>
    <w:rsid w:val="50545FFA"/>
    <w:rsid w:val="507C3B23"/>
    <w:rsid w:val="508A132F"/>
    <w:rsid w:val="50942CF5"/>
    <w:rsid w:val="50AD00DE"/>
    <w:rsid w:val="50BE4216"/>
    <w:rsid w:val="50CB7FDF"/>
    <w:rsid w:val="50F1639A"/>
    <w:rsid w:val="50FD6AED"/>
    <w:rsid w:val="51070C6B"/>
    <w:rsid w:val="510B72AE"/>
    <w:rsid w:val="511922CC"/>
    <w:rsid w:val="51312FFD"/>
    <w:rsid w:val="515D7AE1"/>
    <w:rsid w:val="51730B5D"/>
    <w:rsid w:val="517D19DC"/>
    <w:rsid w:val="51872E72"/>
    <w:rsid w:val="51AA7B02"/>
    <w:rsid w:val="51BD1D19"/>
    <w:rsid w:val="51C2710C"/>
    <w:rsid w:val="520F0A96"/>
    <w:rsid w:val="521D148B"/>
    <w:rsid w:val="522B2BA0"/>
    <w:rsid w:val="52330F37"/>
    <w:rsid w:val="5257222D"/>
    <w:rsid w:val="52595776"/>
    <w:rsid w:val="5263463B"/>
    <w:rsid w:val="529A6444"/>
    <w:rsid w:val="52AA2CA4"/>
    <w:rsid w:val="52C005DB"/>
    <w:rsid w:val="533B38FC"/>
    <w:rsid w:val="534F55FA"/>
    <w:rsid w:val="536C39CD"/>
    <w:rsid w:val="536F25A7"/>
    <w:rsid w:val="53980D4F"/>
    <w:rsid w:val="53DA3115"/>
    <w:rsid w:val="53DF6122"/>
    <w:rsid w:val="53ED2917"/>
    <w:rsid w:val="542061F2"/>
    <w:rsid w:val="5429048E"/>
    <w:rsid w:val="54547DDA"/>
    <w:rsid w:val="547316A2"/>
    <w:rsid w:val="547F1F0F"/>
    <w:rsid w:val="54830D58"/>
    <w:rsid w:val="54967603"/>
    <w:rsid w:val="54AA0574"/>
    <w:rsid w:val="54AC316C"/>
    <w:rsid w:val="54DE4E87"/>
    <w:rsid w:val="54E57FC4"/>
    <w:rsid w:val="54E81862"/>
    <w:rsid w:val="54F8428B"/>
    <w:rsid w:val="54F975CB"/>
    <w:rsid w:val="55187D73"/>
    <w:rsid w:val="552B0501"/>
    <w:rsid w:val="55344AA7"/>
    <w:rsid w:val="555B64D8"/>
    <w:rsid w:val="559A023B"/>
    <w:rsid w:val="559C017E"/>
    <w:rsid w:val="55AB6B75"/>
    <w:rsid w:val="55B2409C"/>
    <w:rsid w:val="55C76473"/>
    <w:rsid w:val="55C7AB13"/>
    <w:rsid w:val="56075D18"/>
    <w:rsid w:val="56157838"/>
    <w:rsid w:val="5649247E"/>
    <w:rsid w:val="5670063E"/>
    <w:rsid w:val="56892BD1"/>
    <w:rsid w:val="568F07D6"/>
    <w:rsid w:val="56C70F31"/>
    <w:rsid w:val="56DC1F7D"/>
    <w:rsid w:val="56E15C15"/>
    <w:rsid w:val="56EB2F6B"/>
    <w:rsid w:val="572F19CA"/>
    <w:rsid w:val="57343806"/>
    <w:rsid w:val="573E7E5F"/>
    <w:rsid w:val="575B6C94"/>
    <w:rsid w:val="57677173"/>
    <w:rsid w:val="576C0528"/>
    <w:rsid w:val="578A4DEA"/>
    <w:rsid w:val="57D74C1B"/>
    <w:rsid w:val="57DB4827"/>
    <w:rsid w:val="57F21E67"/>
    <w:rsid w:val="580A1FB7"/>
    <w:rsid w:val="58133704"/>
    <w:rsid w:val="582A7F29"/>
    <w:rsid w:val="583E0FCC"/>
    <w:rsid w:val="58587B8F"/>
    <w:rsid w:val="585F008D"/>
    <w:rsid w:val="58937D37"/>
    <w:rsid w:val="589C09B9"/>
    <w:rsid w:val="58A65901"/>
    <w:rsid w:val="58B1686C"/>
    <w:rsid w:val="58C104BC"/>
    <w:rsid w:val="58D1222C"/>
    <w:rsid w:val="58D86743"/>
    <w:rsid w:val="59130771"/>
    <w:rsid w:val="59137BA4"/>
    <w:rsid w:val="59205A6E"/>
    <w:rsid w:val="592A6E84"/>
    <w:rsid w:val="59513E7A"/>
    <w:rsid w:val="595504F1"/>
    <w:rsid w:val="5955311B"/>
    <w:rsid w:val="599019ED"/>
    <w:rsid w:val="59AC5554"/>
    <w:rsid w:val="59AD4D7D"/>
    <w:rsid w:val="59BA67D1"/>
    <w:rsid w:val="59E42956"/>
    <w:rsid w:val="59E470D5"/>
    <w:rsid w:val="59F818C1"/>
    <w:rsid w:val="5A00316F"/>
    <w:rsid w:val="5A2A081A"/>
    <w:rsid w:val="5A3B2A7A"/>
    <w:rsid w:val="5A4074F7"/>
    <w:rsid w:val="5A6F524A"/>
    <w:rsid w:val="5A9E749F"/>
    <w:rsid w:val="5ABF4E13"/>
    <w:rsid w:val="5AE048C6"/>
    <w:rsid w:val="5AE7002E"/>
    <w:rsid w:val="5B0217D0"/>
    <w:rsid w:val="5B307ABF"/>
    <w:rsid w:val="5B3A3D01"/>
    <w:rsid w:val="5B4A22D1"/>
    <w:rsid w:val="5BA24962"/>
    <w:rsid w:val="5BB0281C"/>
    <w:rsid w:val="5BB10BFF"/>
    <w:rsid w:val="5BB42CA6"/>
    <w:rsid w:val="5BE865EB"/>
    <w:rsid w:val="5BEC7E8A"/>
    <w:rsid w:val="5BF03271"/>
    <w:rsid w:val="5C423F4D"/>
    <w:rsid w:val="5C6514C0"/>
    <w:rsid w:val="5C9B22FE"/>
    <w:rsid w:val="5CCC359B"/>
    <w:rsid w:val="5CD252D1"/>
    <w:rsid w:val="5CE17823"/>
    <w:rsid w:val="5CF05758"/>
    <w:rsid w:val="5CF76AE6"/>
    <w:rsid w:val="5D096819"/>
    <w:rsid w:val="5D1C6244"/>
    <w:rsid w:val="5D1F428F"/>
    <w:rsid w:val="5D261BE2"/>
    <w:rsid w:val="5D266025"/>
    <w:rsid w:val="5D273C2E"/>
    <w:rsid w:val="5D3C560C"/>
    <w:rsid w:val="5D6F7A58"/>
    <w:rsid w:val="5D796FB8"/>
    <w:rsid w:val="5DC170F4"/>
    <w:rsid w:val="5DC42916"/>
    <w:rsid w:val="5DD230AF"/>
    <w:rsid w:val="5DED7EE9"/>
    <w:rsid w:val="5DF50B4C"/>
    <w:rsid w:val="5DF91602"/>
    <w:rsid w:val="5E21478B"/>
    <w:rsid w:val="5E4915C3"/>
    <w:rsid w:val="5E723126"/>
    <w:rsid w:val="5E79177D"/>
    <w:rsid w:val="5EBD5B0D"/>
    <w:rsid w:val="5EEA21DC"/>
    <w:rsid w:val="5F1B5087"/>
    <w:rsid w:val="5F2922AC"/>
    <w:rsid w:val="5F3B3BE1"/>
    <w:rsid w:val="5F772160"/>
    <w:rsid w:val="5F7B5F4E"/>
    <w:rsid w:val="5FE7AF0F"/>
    <w:rsid w:val="601259E5"/>
    <w:rsid w:val="605A162D"/>
    <w:rsid w:val="605E50CE"/>
    <w:rsid w:val="60771CEC"/>
    <w:rsid w:val="607B01BE"/>
    <w:rsid w:val="607B7A2E"/>
    <w:rsid w:val="608132A2"/>
    <w:rsid w:val="60E11BB1"/>
    <w:rsid w:val="60FD68A0"/>
    <w:rsid w:val="6115578D"/>
    <w:rsid w:val="6119200C"/>
    <w:rsid w:val="611D60E1"/>
    <w:rsid w:val="61A01581"/>
    <w:rsid w:val="61A11716"/>
    <w:rsid w:val="61DE2022"/>
    <w:rsid w:val="61E6665C"/>
    <w:rsid w:val="61FC694D"/>
    <w:rsid w:val="621F17B6"/>
    <w:rsid w:val="623B56C7"/>
    <w:rsid w:val="62740BD9"/>
    <w:rsid w:val="627806C9"/>
    <w:rsid w:val="62BD432E"/>
    <w:rsid w:val="62D74549"/>
    <w:rsid w:val="62E84779"/>
    <w:rsid w:val="63190B09"/>
    <w:rsid w:val="6334637E"/>
    <w:rsid w:val="639456CB"/>
    <w:rsid w:val="63A70E45"/>
    <w:rsid w:val="63A90153"/>
    <w:rsid w:val="63B87903"/>
    <w:rsid w:val="63C811DC"/>
    <w:rsid w:val="63D01E3F"/>
    <w:rsid w:val="640A444C"/>
    <w:rsid w:val="64192C91"/>
    <w:rsid w:val="64204F45"/>
    <w:rsid w:val="64272FBF"/>
    <w:rsid w:val="642F5F5A"/>
    <w:rsid w:val="64676064"/>
    <w:rsid w:val="647C6435"/>
    <w:rsid w:val="64875A8D"/>
    <w:rsid w:val="64AC28AC"/>
    <w:rsid w:val="64D81E07"/>
    <w:rsid w:val="64DA6A56"/>
    <w:rsid w:val="65156747"/>
    <w:rsid w:val="652617BC"/>
    <w:rsid w:val="65395722"/>
    <w:rsid w:val="65560D83"/>
    <w:rsid w:val="656A6655"/>
    <w:rsid w:val="65973353"/>
    <w:rsid w:val="659B09D6"/>
    <w:rsid w:val="65A05775"/>
    <w:rsid w:val="65D35C16"/>
    <w:rsid w:val="65DB279F"/>
    <w:rsid w:val="661B6359"/>
    <w:rsid w:val="662D17CA"/>
    <w:rsid w:val="66324D94"/>
    <w:rsid w:val="664D7777"/>
    <w:rsid w:val="66737319"/>
    <w:rsid w:val="667E5B82"/>
    <w:rsid w:val="66A617FA"/>
    <w:rsid w:val="66B6356E"/>
    <w:rsid w:val="66CC2D91"/>
    <w:rsid w:val="67031C0C"/>
    <w:rsid w:val="670D6C1F"/>
    <w:rsid w:val="672E2A00"/>
    <w:rsid w:val="67305690"/>
    <w:rsid w:val="675E59B4"/>
    <w:rsid w:val="67717F3F"/>
    <w:rsid w:val="67780C77"/>
    <w:rsid w:val="67987B90"/>
    <w:rsid w:val="67BB4BB4"/>
    <w:rsid w:val="67E67E83"/>
    <w:rsid w:val="68201752"/>
    <w:rsid w:val="684B418A"/>
    <w:rsid w:val="68525518"/>
    <w:rsid w:val="685E3D9F"/>
    <w:rsid w:val="686C4352"/>
    <w:rsid w:val="68733BEC"/>
    <w:rsid w:val="687A5D6A"/>
    <w:rsid w:val="687C4196"/>
    <w:rsid w:val="689306AB"/>
    <w:rsid w:val="689B7CF0"/>
    <w:rsid w:val="689E3933"/>
    <w:rsid w:val="68A55A3C"/>
    <w:rsid w:val="68B46FB1"/>
    <w:rsid w:val="68B96D7B"/>
    <w:rsid w:val="68CF6880"/>
    <w:rsid w:val="68CF6B69"/>
    <w:rsid w:val="68D24B4E"/>
    <w:rsid w:val="69017180"/>
    <w:rsid w:val="691A2CCD"/>
    <w:rsid w:val="691B1A32"/>
    <w:rsid w:val="694255F8"/>
    <w:rsid w:val="695922BD"/>
    <w:rsid w:val="69627373"/>
    <w:rsid w:val="69A27561"/>
    <w:rsid w:val="69A31AC2"/>
    <w:rsid w:val="69CE72C0"/>
    <w:rsid w:val="69D15C9F"/>
    <w:rsid w:val="69E60A2B"/>
    <w:rsid w:val="69F02BC2"/>
    <w:rsid w:val="69F148BD"/>
    <w:rsid w:val="6A2627B9"/>
    <w:rsid w:val="6A3A68FC"/>
    <w:rsid w:val="6A3E2960"/>
    <w:rsid w:val="6A470AE2"/>
    <w:rsid w:val="6A5A06B4"/>
    <w:rsid w:val="6A7003A8"/>
    <w:rsid w:val="6A8B6FAA"/>
    <w:rsid w:val="6A9F256B"/>
    <w:rsid w:val="6AC44942"/>
    <w:rsid w:val="6ACE3490"/>
    <w:rsid w:val="6B035BA2"/>
    <w:rsid w:val="6B195A9C"/>
    <w:rsid w:val="6B2F1B41"/>
    <w:rsid w:val="6B4725E3"/>
    <w:rsid w:val="6B4D1FC7"/>
    <w:rsid w:val="6B624642"/>
    <w:rsid w:val="6B8C30AA"/>
    <w:rsid w:val="6B913BAF"/>
    <w:rsid w:val="6BA53BB1"/>
    <w:rsid w:val="6BD95FBA"/>
    <w:rsid w:val="6BE1159D"/>
    <w:rsid w:val="6BEC0D1C"/>
    <w:rsid w:val="6C096216"/>
    <w:rsid w:val="6C427652"/>
    <w:rsid w:val="6C4D16D6"/>
    <w:rsid w:val="6C580012"/>
    <w:rsid w:val="6C6A21DC"/>
    <w:rsid w:val="6CB06CB1"/>
    <w:rsid w:val="6CB467A2"/>
    <w:rsid w:val="6CC21485"/>
    <w:rsid w:val="6CC62031"/>
    <w:rsid w:val="6CDE5D4F"/>
    <w:rsid w:val="6CED3E5D"/>
    <w:rsid w:val="6D11628A"/>
    <w:rsid w:val="6D132F32"/>
    <w:rsid w:val="6D3B5236"/>
    <w:rsid w:val="6D3E606B"/>
    <w:rsid w:val="6D4C4C2C"/>
    <w:rsid w:val="6D5B4931"/>
    <w:rsid w:val="6D5D6493"/>
    <w:rsid w:val="6D5E708F"/>
    <w:rsid w:val="6DAE20B4"/>
    <w:rsid w:val="6DC7308F"/>
    <w:rsid w:val="6E073250"/>
    <w:rsid w:val="6E1443B5"/>
    <w:rsid w:val="6E3D6323"/>
    <w:rsid w:val="6E4B4EE4"/>
    <w:rsid w:val="6E781A51"/>
    <w:rsid w:val="6E794BCD"/>
    <w:rsid w:val="6E9E79B0"/>
    <w:rsid w:val="6EA32620"/>
    <w:rsid w:val="6ECD58F9"/>
    <w:rsid w:val="6EE14C10"/>
    <w:rsid w:val="6F54400B"/>
    <w:rsid w:val="6F736086"/>
    <w:rsid w:val="6F9500AA"/>
    <w:rsid w:val="6FA348AB"/>
    <w:rsid w:val="6FB2689C"/>
    <w:rsid w:val="70387085"/>
    <w:rsid w:val="70590C59"/>
    <w:rsid w:val="709D754D"/>
    <w:rsid w:val="70A02B99"/>
    <w:rsid w:val="70B53755"/>
    <w:rsid w:val="71186BD3"/>
    <w:rsid w:val="712121C3"/>
    <w:rsid w:val="712D2EBD"/>
    <w:rsid w:val="71324139"/>
    <w:rsid w:val="714C5DE6"/>
    <w:rsid w:val="71745F02"/>
    <w:rsid w:val="71C453F6"/>
    <w:rsid w:val="71CA629F"/>
    <w:rsid w:val="71EF61E6"/>
    <w:rsid w:val="71F10D95"/>
    <w:rsid w:val="71F633B8"/>
    <w:rsid w:val="71F72585"/>
    <w:rsid w:val="720701D8"/>
    <w:rsid w:val="720F447A"/>
    <w:rsid w:val="721279DF"/>
    <w:rsid w:val="72127AC6"/>
    <w:rsid w:val="721D342B"/>
    <w:rsid w:val="72407C07"/>
    <w:rsid w:val="7249173A"/>
    <w:rsid w:val="725700A9"/>
    <w:rsid w:val="72615212"/>
    <w:rsid w:val="727979CE"/>
    <w:rsid w:val="72A03324"/>
    <w:rsid w:val="72BA0B6E"/>
    <w:rsid w:val="72C94629"/>
    <w:rsid w:val="731D6723"/>
    <w:rsid w:val="73375A36"/>
    <w:rsid w:val="73694212"/>
    <w:rsid w:val="737A4BC9"/>
    <w:rsid w:val="738D5656"/>
    <w:rsid w:val="739061C9"/>
    <w:rsid w:val="73A43F05"/>
    <w:rsid w:val="73C1222C"/>
    <w:rsid w:val="73FF2B03"/>
    <w:rsid w:val="740022CC"/>
    <w:rsid w:val="741D0002"/>
    <w:rsid w:val="745A5E80"/>
    <w:rsid w:val="748E12E6"/>
    <w:rsid w:val="74D1091E"/>
    <w:rsid w:val="74F040EF"/>
    <w:rsid w:val="74F62B26"/>
    <w:rsid w:val="75070F8F"/>
    <w:rsid w:val="751108EE"/>
    <w:rsid w:val="75247C60"/>
    <w:rsid w:val="752B7554"/>
    <w:rsid w:val="753177D3"/>
    <w:rsid w:val="75396923"/>
    <w:rsid w:val="755413F6"/>
    <w:rsid w:val="756F7180"/>
    <w:rsid w:val="758D282B"/>
    <w:rsid w:val="75AE7B06"/>
    <w:rsid w:val="75B34C81"/>
    <w:rsid w:val="75B934B2"/>
    <w:rsid w:val="75E50CD5"/>
    <w:rsid w:val="75EB48B6"/>
    <w:rsid w:val="75FC4D15"/>
    <w:rsid w:val="760C31AA"/>
    <w:rsid w:val="7614133A"/>
    <w:rsid w:val="762C55FB"/>
    <w:rsid w:val="76397D18"/>
    <w:rsid w:val="76401693"/>
    <w:rsid w:val="764F753B"/>
    <w:rsid w:val="76530DD9"/>
    <w:rsid w:val="765E777E"/>
    <w:rsid w:val="767B3E8C"/>
    <w:rsid w:val="76AC673B"/>
    <w:rsid w:val="76BB4D53"/>
    <w:rsid w:val="76DF1C5F"/>
    <w:rsid w:val="771417D3"/>
    <w:rsid w:val="771C1B96"/>
    <w:rsid w:val="772A2886"/>
    <w:rsid w:val="772E7150"/>
    <w:rsid w:val="77514BED"/>
    <w:rsid w:val="775D0074"/>
    <w:rsid w:val="775D3592"/>
    <w:rsid w:val="776A552A"/>
    <w:rsid w:val="778F5F5C"/>
    <w:rsid w:val="779A2A38"/>
    <w:rsid w:val="77B830F6"/>
    <w:rsid w:val="77BA6C36"/>
    <w:rsid w:val="77C71A92"/>
    <w:rsid w:val="780F3AA6"/>
    <w:rsid w:val="78177BE5"/>
    <w:rsid w:val="782D2F68"/>
    <w:rsid w:val="782F7E16"/>
    <w:rsid w:val="783A38D3"/>
    <w:rsid w:val="783F1C61"/>
    <w:rsid w:val="78580BBB"/>
    <w:rsid w:val="787B63C5"/>
    <w:rsid w:val="788E2390"/>
    <w:rsid w:val="78F92189"/>
    <w:rsid w:val="791E4FA3"/>
    <w:rsid w:val="79262C4E"/>
    <w:rsid w:val="7931117A"/>
    <w:rsid w:val="793638AB"/>
    <w:rsid w:val="793D2A6F"/>
    <w:rsid w:val="796C21B2"/>
    <w:rsid w:val="796E1A86"/>
    <w:rsid w:val="798B433F"/>
    <w:rsid w:val="798C251F"/>
    <w:rsid w:val="79A13C0A"/>
    <w:rsid w:val="79B274E9"/>
    <w:rsid w:val="79B64CAD"/>
    <w:rsid w:val="79C14B25"/>
    <w:rsid w:val="79C33B54"/>
    <w:rsid w:val="7A0E684F"/>
    <w:rsid w:val="7A515506"/>
    <w:rsid w:val="7A61679E"/>
    <w:rsid w:val="7A6922F3"/>
    <w:rsid w:val="7A797D82"/>
    <w:rsid w:val="7ACD1873"/>
    <w:rsid w:val="7AEA6D39"/>
    <w:rsid w:val="7AEF3614"/>
    <w:rsid w:val="7B001D64"/>
    <w:rsid w:val="7B3E032F"/>
    <w:rsid w:val="7B6D25C7"/>
    <w:rsid w:val="7BB841A2"/>
    <w:rsid w:val="7BC609BA"/>
    <w:rsid w:val="7BF604ED"/>
    <w:rsid w:val="7C044924"/>
    <w:rsid w:val="7C081A8C"/>
    <w:rsid w:val="7C2823C0"/>
    <w:rsid w:val="7C574FDC"/>
    <w:rsid w:val="7C5B6663"/>
    <w:rsid w:val="7C792C1C"/>
    <w:rsid w:val="7C9034FD"/>
    <w:rsid w:val="7C936F8A"/>
    <w:rsid w:val="7CA15EB8"/>
    <w:rsid w:val="7CA33E88"/>
    <w:rsid w:val="7CA66821"/>
    <w:rsid w:val="7CA875CE"/>
    <w:rsid w:val="7CB368BD"/>
    <w:rsid w:val="7CBF3377"/>
    <w:rsid w:val="7CC67CC3"/>
    <w:rsid w:val="7CDE5175"/>
    <w:rsid w:val="7CEF2EDE"/>
    <w:rsid w:val="7CFC072C"/>
    <w:rsid w:val="7D291B63"/>
    <w:rsid w:val="7D2B7FCF"/>
    <w:rsid w:val="7D2F3C22"/>
    <w:rsid w:val="7D502D5B"/>
    <w:rsid w:val="7D66139B"/>
    <w:rsid w:val="7D7A30EF"/>
    <w:rsid w:val="7DA518F5"/>
    <w:rsid w:val="7DB120C0"/>
    <w:rsid w:val="7DB92940"/>
    <w:rsid w:val="7DD81BC4"/>
    <w:rsid w:val="7DEA4437"/>
    <w:rsid w:val="7DED0FE8"/>
    <w:rsid w:val="7E097FCF"/>
    <w:rsid w:val="7E152E18"/>
    <w:rsid w:val="7E22106F"/>
    <w:rsid w:val="7E3C2153"/>
    <w:rsid w:val="7E3F3C97"/>
    <w:rsid w:val="7E603BAA"/>
    <w:rsid w:val="7E837D82"/>
    <w:rsid w:val="7EB02B41"/>
    <w:rsid w:val="7EC06C27"/>
    <w:rsid w:val="7EEA69F5"/>
    <w:rsid w:val="7F0809DC"/>
    <w:rsid w:val="7F1E20D6"/>
    <w:rsid w:val="7F364DF4"/>
    <w:rsid w:val="7F480FCB"/>
    <w:rsid w:val="7F552107"/>
    <w:rsid w:val="7F6466E6"/>
    <w:rsid w:val="7F7B314F"/>
    <w:rsid w:val="7F966923"/>
    <w:rsid w:val="7F9B10FB"/>
    <w:rsid w:val="7FBE7E8C"/>
    <w:rsid w:val="7FCB7EEE"/>
    <w:rsid w:val="7FFF5F6D"/>
    <w:rsid w:val="9CBF396A"/>
    <w:rsid w:val="EBCF7044"/>
    <w:rsid w:val="FFCE5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360" w:lineRule="auto"/>
      <w:ind w:firstLine="562"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45"/>
    <w:qFormat/>
    <w:uiPriority w:val="0"/>
    <w:pPr>
      <w:keepNext/>
      <w:keepLines/>
      <w:adjustRightInd w:val="0"/>
      <w:snapToGrid w:val="0"/>
      <w:spacing w:beforeLines="0" w:beforeAutospacing="0" w:afterLines="0" w:afterAutospacing="0" w:line="360" w:lineRule="auto"/>
      <w:jc w:val="center"/>
      <w:outlineLvl w:val="0"/>
    </w:pPr>
    <w:rPr>
      <w:rFonts w:asciiTheme="minorAscii" w:hAnsiTheme="minorAscii" w:eastAsiaTheme="minorEastAsia"/>
      <w:b/>
      <w:kern w:val="44"/>
      <w:sz w:val="32"/>
    </w:rPr>
  </w:style>
  <w:style w:type="paragraph" w:styleId="3">
    <w:name w:val="heading 2"/>
    <w:basedOn w:val="1"/>
    <w:next w:val="1"/>
    <w:unhideWhenUsed/>
    <w:qFormat/>
    <w:uiPriority w:val="0"/>
    <w:pPr>
      <w:keepNext/>
      <w:keepLines/>
      <w:adjustRightInd w:val="0"/>
      <w:snapToGrid w:val="0"/>
      <w:spacing w:before="50" w:beforeLines="50" w:beforeAutospacing="0" w:afterLines="0" w:afterAutospacing="0" w:line="360" w:lineRule="auto"/>
      <w:ind w:firstLine="0" w:firstLineChars="0"/>
      <w:jc w:val="center"/>
      <w:outlineLvl w:val="1"/>
    </w:pPr>
    <w:rPr>
      <w:rFonts w:ascii="Arial" w:hAnsi="Arial" w:eastAsia="宋体"/>
      <w:b/>
      <w:sz w:val="28"/>
    </w:rPr>
  </w:style>
  <w:style w:type="paragraph" w:styleId="4">
    <w:name w:val="heading 3"/>
    <w:basedOn w:val="1"/>
    <w:next w:val="1"/>
    <w:unhideWhenUsed/>
    <w:qFormat/>
    <w:uiPriority w:val="9"/>
    <w:pPr>
      <w:keepNext/>
      <w:keepLines/>
      <w:ind w:firstLine="0" w:firstLineChars="0"/>
      <w:outlineLvl w:val="2"/>
    </w:pPr>
    <w:rPr>
      <w:rFonts w:ascii="Times New Roman" w:hAnsi="Times New Roman" w:eastAsia="宋体"/>
      <w:b/>
      <w:bCs/>
      <w:szCs w:val="32"/>
    </w:rPr>
  </w:style>
  <w:style w:type="paragraph" w:styleId="5">
    <w:name w:val="heading 4"/>
    <w:basedOn w:val="1"/>
    <w:next w:val="1"/>
    <w:link w:val="59"/>
    <w:unhideWhenUsed/>
    <w:qFormat/>
    <w:uiPriority w:val="0"/>
    <w:pPr>
      <w:keepNext/>
      <w:keepLines/>
      <w:spacing w:beforeLines="0" w:beforeAutospacing="0" w:afterLines="0" w:afterAutospacing="0" w:line="240" w:lineRule="auto"/>
      <w:ind w:firstLine="0" w:firstLineChars="0"/>
      <w:jc w:val="center"/>
      <w:outlineLvl w:val="3"/>
    </w:pPr>
    <w:rPr>
      <w:rFonts w:ascii="Times New Roman" w:hAnsi="Times New Roman" w:eastAsia="宋体"/>
      <w:sz w:val="21"/>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7">
    <w:name w:val="annotation text"/>
    <w:basedOn w:val="1"/>
    <w:link w:val="57"/>
    <w:qFormat/>
    <w:uiPriority w:val="0"/>
    <w:pPr>
      <w:ind w:firstLine="0" w:firstLineChars="0"/>
      <w:jc w:val="center"/>
    </w:pPr>
    <w:rPr>
      <w:rFonts w:ascii="Times New Roman" w:hAnsi="Times New Roman" w:eastAsia="宋体"/>
      <w:b/>
      <w:sz w:val="21"/>
    </w:r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styleId="9">
    <w:name w:val="List Bullet 5"/>
    <w:basedOn w:val="1"/>
    <w:qFormat/>
    <w:uiPriority w:val="0"/>
    <w:pPr>
      <w:numPr>
        <w:ilvl w:val="0"/>
        <w:numId w:val="1"/>
      </w:numPr>
    </w:pPr>
  </w:style>
  <w:style w:type="paragraph" w:styleId="10">
    <w:name w:val="Body Text Indent"/>
    <w:basedOn w:val="1"/>
    <w:next w:val="11"/>
    <w:qFormat/>
    <w:uiPriority w:val="0"/>
    <w:pPr>
      <w:spacing w:after="120"/>
      <w:ind w:left="420" w:leftChars="200"/>
    </w:pPr>
    <w:rPr>
      <w:kern w:val="0"/>
      <w:sz w:val="24"/>
      <w:szCs w:val="20"/>
    </w:rPr>
  </w:style>
  <w:style w:type="paragraph" w:customStyle="1" w:styleId="11">
    <w:name w:val="报告"/>
    <w:basedOn w:val="1"/>
    <w:next w:val="1"/>
    <w:qFormat/>
    <w:uiPriority w:val="0"/>
    <w:pPr>
      <w:autoSpaceDE w:val="0"/>
      <w:autoSpaceDN w:val="0"/>
      <w:adjustRightInd w:val="0"/>
      <w:spacing w:line="360" w:lineRule="auto"/>
      <w:ind w:firstLine="505"/>
      <w:jc w:val="left"/>
      <w:textAlignment w:val="baseline"/>
    </w:pPr>
    <w:rPr>
      <w:kern w:val="0"/>
      <w:sz w:val="24"/>
      <w:szCs w:val="20"/>
    </w:rPr>
  </w:style>
  <w:style w:type="paragraph" w:styleId="12">
    <w:name w:val="Block Text"/>
    <w:basedOn w:val="1"/>
    <w:qFormat/>
    <w:uiPriority w:val="0"/>
    <w:pPr>
      <w:spacing w:after="120"/>
      <w:ind w:left="1440" w:leftChars="700" w:right="700" w:rightChars="700"/>
    </w:pPr>
  </w:style>
  <w:style w:type="paragraph" w:styleId="13">
    <w:name w:val="toc 3"/>
    <w:basedOn w:val="1"/>
    <w:next w:val="1"/>
    <w:qFormat/>
    <w:uiPriority w:val="0"/>
    <w:pPr>
      <w:ind w:left="840" w:leftChars="400"/>
    </w:pPr>
  </w:style>
  <w:style w:type="paragraph" w:styleId="14">
    <w:name w:val="Plain Text"/>
    <w:basedOn w:val="1"/>
    <w:qFormat/>
    <w:uiPriority w:val="0"/>
    <w:pPr>
      <w:spacing w:line="240" w:lineRule="atLeast"/>
    </w:pPr>
    <w:rPr>
      <w:rFonts w:ascii="宋体" w:hAnsi="Courier New"/>
      <w:sz w:val="28"/>
      <w:szCs w:val="20"/>
    </w:rPr>
  </w:style>
  <w:style w:type="paragraph" w:styleId="15">
    <w:name w:val="Body Text Indent 2"/>
    <w:basedOn w:val="1"/>
    <w:next w:val="16"/>
    <w:qFormat/>
    <w:uiPriority w:val="0"/>
    <w:pPr>
      <w:ind w:firstLine="580" w:firstLineChars="207"/>
      <w:textAlignment w:val="auto"/>
    </w:pPr>
    <w:rPr>
      <w:kern w:val="2"/>
      <w:sz w:val="28"/>
    </w:rPr>
  </w:style>
  <w:style w:type="paragraph" w:customStyle="1" w:styleId="16">
    <w:name w:val="简单回函地址"/>
    <w:basedOn w:val="1"/>
    <w:next w:val="17"/>
    <w:qFormat/>
    <w:uiPriority w:val="0"/>
    <w:rPr>
      <w:kern w:val="2"/>
      <w:szCs w:val="20"/>
    </w:rPr>
  </w:style>
  <w:style w:type="paragraph" w:customStyle="1" w:styleId="17">
    <w:name w:val="正文2"/>
    <w:next w:val="1"/>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styleId="18">
    <w:name w:val="footer"/>
    <w:basedOn w:val="1"/>
    <w:qFormat/>
    <w:uiPriority w:val="0"/>
    <w:pPr>
      <w:tabs>
        <w:tab w:val="center" w:pos="4153"/>
        <w:tab w:val="right" w:pos="8306"/>
      </w:tabs>
    </w:pPr>
    <w:rPr>
      <w:sz w:val="18"/>
      <w:szCs w:val="18"/>
    </w:rPr>
  </w:style>
  <w:style w:type="paragraph" w:styleId="19">
    <w:name w:val="header"/>
    <w:basedOn w:val="1"/>
    <w:qFormat/>
    <w:uiPriority w:val="0"/>
    <w:pPr>
      <w:pBdr>
        <w:bottom w:val="single" w:color="auto" w:sz="6" w:space="1"/>
      </w:pBdr>
      <w:tabs>
        <w:tab w:val="center" w:pos="4153"/>
        <w:tab w:val="right" w:pos="8306"/>
      </w:tabs>
    </w:pPr>
    <w:rPr>
      <w:sz w:val="18"/>
    </w:rPr>
  </w:style>
  <w:style w:type="paragraph" w:styleId="20">
    <w:name w:val="toc 1"/>
    <w:basedOn w:val="1"/>
    <w:next w:val="1"/>
    <w:qFormat/>
    <w:uiPriority w:val="0"/>
  </w:style>
  <w:style w:type="paragraph" w:styleId="21">
    <w:name w:val="index heading"/>
    <w:basedOn w:val="1"/>
    <w:next w:val="22"/>
    <w:semiHidden/>
    <w:qFormat/>
    <w:uiPriority w:val="99"/>
    <w:rPr>
      <w:rFonts w:ascii="Arial" w:hAnsi="Arial" w:cs="Arial"/>
      <w:b/>
      <w:bCs/>
    </w:rPr>
  </w:style>
  <w:style w:type="paragraph" w:styleId="22">
    <w:name w:val="index 1"/>
    <w:basedOn w:val="1"/>
    <w:next w:val="1"/>
    <w:semiHidden/>
    <w:qFormat/>
    <w:uiPriority w:val="0"/>
    <w:pPr>
      <w:spacing w:line="200" w:lineRule="exact"/>
      <w:ind w:firstLine="480" w:firstLineChars="200"/>
    </w:pPr>
    <w:rPr>
      <w:sz w:val="24"/>
    </w:rPr>
  </w:style>
  <w:style w:type="paragraph" w:styleId="23">
    <w:name w:val="List"/>
    <w:basedOn w:val="1"/>
    <w:unhideWhenUsed/>
    <w:qFormat/>
    <w:uiPriority w:val="99"/>
    <w:pPr>
      <w:spacing w:line="240" w:lineRule="auto"/>
      <w:ind w:left="0" w:firstLine="0" w:firstLineChars="0"/>
      <w:jc w:val="center"/>
    </w:pPr>
    <w:rPr>
      <w:sz w:val="21"/>
    </w:rPr>
  </w:style>
  <w:style w:type="paragraph" w:styleId="24">
    <w:name w:val="table of figures"/>
    <w:basedOn w:val="1"/>
    <w:next w:val="1"/>
    <w:qFormat/>
    <w:uiPriority w:val="0"/>
    <w:pPr>
      <w:ind w:left="200" w:leftChars="200" w:hanging="200" w:hangingChars="200"/>
    </w:pPr>
  </w:style>
  <w:style w:type="paragraph" w:styleId="25">
    <w:name w:val="toc 2"/>
    <w:basedOn w:val="1"/>
    <w:next w:val="1"/>
    <w:qFormat/>
    <w:uiPriority w:val="0"/>
    <w:pPr>
      <w:ind w:left="420" w:leftChars="200"/>
    </w:p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annotation subject"/>
    <w:basedOn w:val="7"/>
    <w:next w:val="7"/>
    <w:link w:val="63"/>
    <w:qFormat/>
    <w:uiPriority w:val="99"/>
    <w:rPr>
      <w:bCs/>
    </w:rPr>
  </w:style>
  <w:style w:type="paragraph" w:styleId="28">
    <w:name w:val="Body Text First Indent"/>
    <w:basedOn w:val="8"/>
    <w:next w:val="1"/>
    <w:qFormat/>
    <w:uiPriority w:val="0"/>
    <w:pPr>
      <w:widowControl w:val="0"/>
      <w:snapToGrid/>
      <w:spacing w:before="0" w:after="120" w:line="240" w:lineRule="auto"/>
      <w:ind w:right="0" w:firstLine="420" w:firstLineChars="100"/>
    </w:pPr>
    <w:rPr>
      <w:kern w:val="2"/>
      <w:sz w:val="21"/>
      <w:szCs w:val="24"/>
    </w:rPr>
  </w:style>
  <w:style w:type="paragraph" w:styleId="29">
    <w:name w:val="Body Text First Indent 2"/>
    <w:basedOn w:val="10"/>
    <w:next w:val="1"/>
    <w:qFormat/>
    <w:uiPriority w:val="0"/>
    <w:pPr>
      <w:ind w:firstLine="420" w:firstLineChars="200"/>
    </w:p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Hyperlink"/>
    <w:basedOn w:val="32"/>
    <w:qFormat/>
    <w:uiPriority w:val="0"/>
    <w:rPr>
      <w:color w:val="0000FF"/>
      <w:u w:val="single"/>
    </w:rPr>
  </w:style>
  <w:style w:type="character" w:styleId="35">
    <w:name w:val="annotation reference"/>
    <w:qFormat/>
    <w:uiPriority w:val="0"/>
    <w:rPr>
      <w:sz w:val="21"/>
      <w:szCs w:val="21"/>
    </w:rPr>
  </w:style>
  <w:style w:type="paragraph" w:customStyle="1" w:styleId="36">
    <w:name w:val="表内文字"/>
    <w:basedOn w:val="1"/>
    <w:qFormat/>
    <w:uiPriority w:val="0"/>
    <w:pPr>
      <w:wordWrap/>
    </w:pPr>
    <w:rPr>
      <w:kern w:val="24"/>
      <w:sz w:val="24"/>
    </w:rPr>
  </w:style>
  <w:style w:type="paragraph" w:customStyle="1" w:styleId="37">
    <w:name w:val="选项"/>
    <w:basedOn w:val="1"/>
    <w:qFormat/>
    <w:uiPriority w:val="0"/>
    <w:pPr>
      <w:jc w:val="left"/>
    </w:pPr>
    <w:rPr>
      <w:color w:val="000000" w:themeColor="text1"/>
      <w:sz w:val="24"/>
      <w:szCs w:val="24"/>
      <w14:textFill>
        <w14:solidFill>
          <w14:schemeClr w14:val="tx1"/>
        </w14:solidFill>
      </w14:textFill>
    </w:rPr>
  </w:style>
  <w:style w:type="paragraph" w:customStyle="1" w:styleId="38">
    <w:name w:val="表格正文"/>
    <w:basedOn w:val="1"/>
    <w:qFormat/>
    <w:uiPriority w:val="0"/>
    <w:pPr>
      <w:wordWrap/>
      <w:spacing w:line="360" w:lineRule="auto"/>
      <w:ind w:firstLine="420" w:firstLineChars="200"/>
      <w:jc w:val="both"/>
    </w:pPr>
    <w:rPr>
      <w:kern w:val="24"/>
      <w:sz w:val="24"/>
    </w:rPr>
  </w:style>
  <w:style w:type="paragraph" w:customStyle="1" w:styleId="39">
    <w:name w:val="小表格表头"/>
    <w:basedOn w:val="1"/>
    <w:qFormat/>
    <w:uiPriority w:val="0"/>
    <w:rPr>
      <w:b/>
      <w:color w:val="000000" w:themeColor="text1"/>
      <w:sz w:val="24"/>
      <w:szCs w:val="24"/>
      <w14:textFill>
        <w14:solidFill>
          <w14:schemeClr w14:val="tx1"/>
        </w14:solidFill>
      </w14:textFill>
    </w:rPr>
  </w:style>
  <w:style w:type="paragraph" w:customStyle="1" w:styleId="40">
    <w:name w:val="小表格内文字"/>
    <w:basedOn w:val="1"/>
    <w:qFormat/>
    <w:uiPriority w:val="0"/>
    <w:pPr>
      <w:wordWrap/>
    </w:pPr>
    <w:rPr>
      <w:color w:val="000000" w:themeColor="text1"/>
      <w:kern w:val="18"/>
      <w:sz w:val="21"/>
      <w:szCs w:val="24"/>
      <w14:textFill>
        <w14:solidFill>
          <w14:schemeClr w14:val="tx1"/>
        </w14:solidFill>
      </w14:textFill>
    </w:rPr>
  </w:style>
  <w:style w:type="paragraph" w:customStyle="1" w:styleId="41">
    <w:name w:val="表头"/>
    <w:basedOn w:val="1"/>
    <w:link w:val="42"/>
    <w:qFormat/>
    <w:uiPriority w:val="0"/>
    <w:pPr>
      <w:spacing w:line="360" w:lineRule="auto"/>
    </w:pPr>
    <w:rPr>
      <w:b/>
      <w:kern w:val="0"/>
      <w:szCs w:val="21"/>
    </w:rPr>
  </w:style>
  <w:style w:type="character" w:customStyle="1" w:styleId="42">
    <w:name w:val="表头 Char Char"/>
    <w:link w:val="41"/>
    <w:qFormat/>
    <w:uiPriority w:val="0"/>
    <w:rPr>
      <w:b/>
      <w:kern w:val="0"/>
      <w:szCs w:val="21"/>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2"/>
    <w:basedOn w:val="1"/>
    <w:qFormat/>
    <w:uiPriority w:val="0"/>
    <w:pPr>
      <w:spacing w:line="360" w:lineRule="auto"/>
      <w:ind w:firstLine="200" w:firstLineChars="200"/>
    </w:pPr>
    <w:rPr>
      <w:sz w:val="24"/>
    </w:rPr>
  </w:style>
  <w:style w:type="character" w:customStyle="1" w:styleId="45">
    <w:name w:val="标题 1 Char"/>
    <w:link w:val="2"/>
    <w:qFormat/>
    <w:uiPriority w:val="0"/>
    <w:rPr>
      <w:rFonts w:asciiTheme="minorAscii" w:hAnsiTheme="minorAscii" w:eastAsiaTheme="minorEastAsia"/>
      <w:b/>
      <w:kern w:val="44"/>
      <w:sz w:val="32"/>
    </w:rPr>
  </w:style>
  <w:style w:type="character" w:customStyle="1" w:styleId="46">
    <w:name w:val="font121"/>
    <w:basedOn w:val="32"/>
    <w:qFormat/>
    <w:uiPriority w:val="0"/>
    <w:rPr>
      <w:rFonts w:hint="default" w:ascii="Times New Roman" w:hAnsi="Times New Roman" w:cs="Times New Roman"/>
      <w:color w:val="000000"/>
      <w:sz w:val="24"/>
      <w:szCs w:val="24"/>
      <w:u w:val="none"/>
    </w:rPr>
  </w:style>
  <w:style w:type="character" w:customStyle="1" w:styleId="47">
    <w:name w:val="font91"/>
    <w:basedOn w:val="32"/>
    <w:qFormat/>
    <w:uiPriority w:val="0"/>
    <w:rPr>
      <w:rFonts w:hint="default" w:ascii="Times New Roman" w:hAnsi="Times New Roman" w:cs="Times New Roman"/>
      <w:color w:val="000000"/>
      <w:sz w:val="22"/>
      <w:szCs w:val="22"/>
      <w:u w:val="none"/>
    </w:rPr>
  </w:style>
  <w:style w:type="character" w:customStyle="1" w:styleId="48">
    <w:name w:val="font81"/>
    <w:basedOn w:val="32"/>
    <w:qFormat/>
    <w:uiPriority w:val="0"/>
    <w:rPr>
      <w:rFonts w:hint="eastAsia" w:ascii="宋体" w:hAnsi="宋体" w:eastAsia="宋体" w:cs="宋体"/>
      <w:color w:val="000000"/>
      <w:sz w:val="22"/>
      <w:szCs w:val="22"/>
      <w:u w:val="none"/>
    </w:rPr>
  </w:style>
  <w:style w:type="paragraph" w:customStyle="1" w:styleId="49">
    <w:name w:val="1行0.7宋5/1"/>
    <w:qFormat/>
    <w:uiPriority w:val="0"/>
    <w:pPr>
      <w:widowControl w:val="0"/>
      <w:wordWrap w:val="0"/>
      <w:topLinePunct/>
      <w:adjustRightInd w:val="0"/>
      <w:snapToGrid w:val="0"/>
      <w:jc w:val="center"/>
    </w:pPr>
    <w:rPr>
      <w:rFonts w:ascii="宋体" w:hAnsi="宋体" w:eastAsia="宋体" w:cs="Times New Roman"/>
      <w:snapToGrid w:val="0"/>
      <w:kern w:val="2"/>
      <w:sz w:val="21"/>
      <w:szCs w:val="21"/>
      <w:lang w:val="en-US" w:eastAsia="en-US" w:bidi="ar-SA"/>
    </w:rPr>
  </w:style>
  <w:style w:type="paragraph" w:customStyle="1" w:styleId="50">
    <w:name w:val="标准正文"/>
    <w:autoRedefine/>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51">
    <w:name w:val="W正文"/>
    <w:basedOn w:val="1"/>
    <w:qFormat/>
    <w:uiPriority w:val="0"/>
    <w:pPr>
      <w:adjustRightInd w:val="0"/>
      <w:snapToGrid w:val="0"/>
      <w:spacing w:line="480" w:lineRule="exact"/>
      <w:ind w:firstLine="200" w:firstLineChars="200"/>
    </w:pPr>
    <w:rPr>
      <w:kern w:val="0"/>
      <w:sz w:val="24"/>
      <w:szCs w:val="20"/>
    </w:rPr>
  </w:style>
  <w:style w:type="paragraph" w:customStyle="1" w:styleId="52">
    <w:name w:val="表标题名"/>
    <w:basedOn w:val="1"/>
    <w:qFormat/>
    <w:uiPriority w:val="0"/>
    <w:pPr>
      <w:numPr>
        <w:ilvl w:val="5"/>
        <w:numId w:val="2"/>
      </w:numPr>
      <w:tabs>
        <w:tab w:val="left" w:pos="1350"/>
      </w:tabs>
      <w:autoSpaceDE w:val="0"/>
      <w:autoSpaceDN w:val="0"/>
      <w:adjustRightInd w:val="0"/>
      <w:snapToGrid w:val="0"/>
      <w:ind w:left="0"/>
      <w:jc w:val="center"/>
    </w:pPr>
    <w:rPr>
      <w:rFonts w:cs="Arial"/>
      <w:b/>
      <w:shd w:val="clear" w:color="auto" w:fill="FFFFFF"/>
    </w:rPr>
  </w:style>
  <w:style w:type="paragraph" w:customStyle="1" w:styleId="53">
    <w:name w:val="表格内表头"/>
    <w:basedOn w:val="51"/>
    <w:qFormat/>
    <w:uiPriority w:val="0"/>
    <w:pPr>
      <w:spacing w:line="240" w:lineRule="auto"/>
      <w:ind w:firstLine="0" w:firstLineChars="0"/>
      <w:jc w:val="center"/>
    </w:pPr>
    <w:rPr>
      <w:sz w:val="21"/>
    </w:rPr>
  </w:style>
  <w:style w:type="paragraph" w:customStyle="1" w:styleId="54">
    <w:name w:val="表格内容"/>
    <w:basedOn w:val="1"/>
    <w:qFormat/>
    <w:uiPriority w:val="0"/>
    <w:pPr>
      <w:adjustRightInd w:val="0"/>
    </w:pPr>
    <w:rPr>
      <w:kern w:val="0"/>
      <w:sz w:val="20"/>
      <w:szCs w:val="21"/>
    </w:rPr>
  </w:style>
  <w:style w:type="paragraph" w:customStyle="1" w:styleId="55">
    <w:name w:val="Default"/>
    <w:basedOn w:val="56"/>
    <w:qFormat/>
    <w:uiPriority w:val="0"/>
    <w:pPr>
      <w:autoSpaceDE w:val="0"/>
      <w:autoSpaceDN w:val="0"/>
      <w:adjustRightInd w:val="0"/>
    </w:pPr>
    <w:rPr>
      <w:rFonts w:hAnsi="Times New Roman" w:cs="宋体"/>
      <w:color w:val="000000"/>
      <w:sz w:val="24"/>
      <w:szCs w:val="24"/>
    </w:rPr>
  </w:style>
  <w:style w:type="paragraph" w:customStyle="1" w:styleId="56">
    <w:name w:val="纯文本1"/>
    <w:basedOn w:val="1"/>
    <w:qFormat/>
    <w:uiPriority w:val="0"/>
    <w:rPr>
      <w:rFonts w:ascii="宋体" w:hAnsi="Courier New"/>
      <w:kern w:val="0"/>
      <w:sz w:val="20"/>
      <w:szCs w:val="21"/>
    </w:rPr>
  </w:style>
  <w:style w:type="character" w:customStyle="1" w:styleId="57">
    <w:name w:val="批注文字 Char"/>
    <w:link w:val="7"/>
    <w:qFormat/>
    <w:uiPriority w:val="0"/>
    <w:rPr>
      <w:rFonts w:ascii="Times New Roman" w:hAnsi="Times New Roman" w:eastAsia="宋体"/>
      <w:b/>
      <w:sz w:val="21"/>
    </w:rPr>
  </w:style>
  <w:style w:type="paragraph" w:customStyle="1" w:styleId="58">
    <w:name w:val="++++++++正文"/>
    <w:basedOn w:val="1"/>
    <w:qFormat/>
    <w:uiPriority w:val="0"/>
    <w:pPr>
      <w:autoSpaceDE w:val="0"/>
      <w:autoSpaceDN w:val="0"/>
      <w:adjustRightInd w:val="0"/>
      <w:spacing w:line="360" w:lineRule="auto"/>
      <w:ind w:firstLine="200" w:firstLineChars="200"/>
    </w:pPr>
    <w:rPr>
      <w:sz w:val="24"/>
      <w:szCs w:val="20"/>
    </w:rPr>
  </w:style>
  <w:style w:type="character" w:customStyle="1" w:styleId="59">
    <w:name w:val="标题 4 Char"/>
    <w:link w:val="5"/>
    <w:qFormat/>
    <w:uiPriority w:val="0"/>
    <w:rPr>
      <w:rFonts w:ascii="Times New Roman" w:hAnsi="Times New Roman" w:eastAsia="宋体"/>
      <w:sz w:val="21"/>
    </w:rPr>
  </w:style>
  <w:style w:type="paragraph" w:customStyle="1" w:styleId="60">
    <w:name w:val="报告正文"/>
    <w:basedOn w:val="1"/>
    <w:qFormat/>
    <w:uiPriority w:val="0"/>
    <w:pPr>
      <w:ind w:firstLine="200"/>
    </w:pPr>
    <w:rPr>
      <w:rFonts w:ascii="Times New Roman" w:hAnsi="Times New Roman" w:eastAsia="仿宋_GB2312"/>
      <w:sz w:val="28"/>
      <w:szCs w:val="24"/>
    </w:rPr>
  </w:style>
  <w:style w:type="paragraph" w:customStyle="1" w:styleId="61">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styleId="62">
    <w:name w:val="No Spacing"/>
    <w:qFormat/>
    <w:uiPriority w:val="1"/>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3">
    <w:name w:val="批注主题 字符"/>
    <w:link w:val="27"/>
    <w:qFormat/>
    <w:uiPriority w:val="99"/>
    <w:rPr>
      <w:b/>
      <w:bCs/>
    </w:rPr>
  </w:style>
  <w:style w:type="paragraph" w:customStyle="1" w:styleId="64">
    <w:name w:val="表格文字"/>
    <w:basedOn w:val="1"/>
    <w:next w:val="1"/>
    <w:qFormat/>
    <w:uiPriority w:val="0"/>
    <w:pPr>
      <w:widowControl/>
      <w:adjustRightInd w:val="0"/>
      <w:snapToGrid w:val="0"/>
      <w:spacing w:before="60" w:after="60"/>
      <w:jc w:val="center"/>
      <w:textAlignment w:val="baseline"/>
    </w:pPr>
    <w:rPr>
      <w:color w:val="000000"/>
      <w:szCs w:val="20"/>
    </w:rPr>
  </w:style>
  <w:style w:type="paragraph" w:customStyle="1" w:styleId="65">
    <w:name w:val="样式9"/>
    <w:basedOn w:val="1"/>
    <w:qFormat/>
    <w:uiPriority w:val="0"/>
    <w:pPr>
      <w:adjustRightInd w:val="0"/>
      <w:snapToGrid w:val="0"/>
      <w:spacing w:line="360" w:lineRule="exact"/>
      <w:jc w:val="center"/>
    </w:pPr>
    <w:rPr>
      <w:rFonts w:hAnsi="Cambria Math"/>
      <w:kern w:val="0"/>
      <w:szCs w:val="21"/>
    </w:rPr>
  </w:style>
  <w:style w:type="paragraph" w:customStyle="1" w:styleId="66">
    <w:name w:val="表格内"/>
    <w:basedOn w:val="1"/>
    <w:qFormat/>
    <w:uiPriority w:val="0"/>
    <w:pPr>
      <w:jc w:val="center"/>
    </w:pPr>
  </w:style>
  <w:style w:type="paragraph" w:customStyle="1" w:styleId="67">
    <w:name w:val="正本文字"/>
    <w:basedOn w:val="1"/>
    <w:qFormat/>
    <w:uiPriority w:val="0"/>
    <w:pPr>
      <w:adjustRightInd w:val="0"/>
      <w:snapToGrid w:val="0"/>
      <w:spacing w:line="360" w:lineRule="auto"/>
      <w:ind w:firstLine="480" w:firstLineChars="200"/>
      <w:jc w:val="left"/>
    </w:pPr>
    <w:rPr>
      <w:rFonts w:cs="宋体"/>
      <w:kern w:val="18"/>
      <w:sz w:val="24"/>
      <w:szCs w:val="20"/>
    </w:rPr>
  </w:style>
  <w:style w:type="paragraph" w:customStyle="1" w:styleId="68">
    <w:name w:val="【正文】"/>
    <w:basedOn w:val="1"/>
    <w:qFormat/>
    <w:uiPriority w:val="0"/>
    <w:pPr>
      <w:keepNext w:val="0"/>
      <w:keepLines w:val="0"/>
      <w:widowControl w:val="0"/>
      <w:suppressLineNumbers w:val="0"/>
      <w:spacing w:before="0" w:beforeAutospacing="0" w:after="0" w:afterAutospacing="0" w:line="440" w:lineRule="exact"/>
      <w:ind w:left="0" w:right="0" w:firstLine="544" w:firstLineChars="200"/>
      <w:jc w:val="both"/>
    </w:pPr>
    <w:rPr>
      <w:rFonts w:hint="eastAsia" w:ascii="宋体" w:hAns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wmf"/><Relationship Id="rId45" Type="http://schemas.openxmlformats.org/officeDocument/2006/relationships/oleObject" Target="embeddings/oleObject11.bin"/><Relationship Id="rId44" Type="http://schemas.openxmlformats.org/officeDocument/2006/relationships/image" Target="media/image15.wmf"/><Relationship Id="rId43" Type="http://schemas.openxmlformats.org/officeDocument/2006/relationships/oleObject" Target="embeddings/oleObject10.bin"/><Relationship Id="rId42" Type="http://schemas.openxmlformats.org/officeDocument/2006/relationships/image" Target="media/image14.wmf"/><Relationship Id="rId41" Type="http://schemas.openxmlformats.org/officeDocument/2006/relationships/oleObject" Target="embeddings/oleObject9.bin"/><Relationship Id="rId40" Type="http://schemas.openxmlformats.org/officeDocument/2006/relationships/image" Target="media/image13.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12.wmf"/><Relationship Id="rId37" Type="http://schemas.openxmlformats.org/officeDocument/2006/relationships/oleObject" Target="embeddings/oleObject7.bin"/><Relationship Id="rId36" Type="http://schemas.openxmlformats.org/officeDocument/2006/relationships/image" Target="media/image11.png"/><Relationship Id="rId35" Type="http://schemas.openxmlformats.org/officeDocument/2006/relationships/image" Target="media/image10.wmf"/><Relationship Id="rId34" Type="http://schemas.openxmlformats.org/officeDocument/2006/relationships/oleObject" Target="embeddings/oleObject6.bin"/><Relationship Id="rId33" Type="http://schemas.openxmlformats.org/officeDocument/2006/relationships/image" Target="media/image9.png"/><Relationship Id="rId32" Type="http://schemas.openxmlformats.org/officeDocument/2006/relationships/image" Target="media/image8.emf"/><Relationship Id="rId31" Type="http://schemas.openxmlformats.org/officeDocument/2006/relationships/oleObject" Target="embeddings/oleObject5.bin"/><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6.emf"/><Relationship Id="rId27" Type="http://schemas.openxmlformats.org/officeDocument/2006/relationships/oleObject" Target="embeddings/oleObject3.bin"/><Relationship Id="rId26" Type="http://schemas.openxmlformats.org/officeDocument/2006/relationships/image" Target="media/image5.png"/><Relationship Id="rId25" Type="http://schemas.openxmlformats.org/officeDocument/2006/relationships/image" Target="media/image4.emf"/><Relationship Id="rId24" Type="http://schemas.openxmlformats.org/officeDocument/2006/relationships/oleObject" Target="embeddings/oleObject2.bin"/><Relationship Id="rId23" Type="http://schemas.openxmlformats.org/officeDocument/2006/relationships/image" Target="media/image3.emf"/><Relationship Id="rId22" Type="http://schemas.openxmlformats.org/officeDocument/2006/relationships/oleObject" Target="embeddings/oleObject1.bin"/><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e7beb462-bff9-499a-9385-209bff91a230</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5FC8EB99</paraID>
      <start xmlns="http://schemas.wps.cn/vas-ai-hub/contract-review">13</start>
      <end xmlns="http://schemas.wps.cn/vas-ai-hub/contract-review">16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51f3d945-5530-4e1d-8a30-d079886f06af</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78B84F28</paraID>
      <start xmlns="http://schemas.wps.cn/vas-ai-hub/contract-review">14</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23a32969-0ed1-4e9c-8dea-24e2c6d23231</errorID>
      <errorWord xmlns="http://schemas.wps.cn/vas-ai-hub/contract-review">无需设置</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无须设置</item>
      </candidateList>
      <explain xmlns="http://schemas.wps.cn/vas-ai-hub/contract-review">词汇[无需设置]为不规范表述或旧称，其规范书面表述为[无须设置]。</explain>
      <paraID xmlns="http://schemas.wps.cn/vas-ai-hub/contract-review">6F237385</paraID>
      <start xmlns="http://schemas.wps.cn/vas-ai-hub/contract-review">36</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18390b5f-7ac9-4df1-815d-d164434232c0</errorID>
      <errorWord xmlns="http://schemas.wps.cn/vas-ai-hub/contract-review">〔2014]251号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〔2014〕251号</item>
      </candidateList>
      <explain xmlns="http://schemas.wps.cn/vas-ai-hub/contract-review">发文字号格式错误。</explain>
      <paraID xmlns="http://schemas.wps.cn/vas-ai-hub/contract-review">3FF2D7CC</paraID>
      <start xmlns="http://schemas.wps.cn/vas-ai-hub/contract-review">43</start>
      <end xmlns="http://schemas.wps.cn/vas-ai-hub/contract-review">63</end>
      <status xmlns="http://schemas.wps.cn/vas-ai-hub/contract-review">modified</status>
      <modifiedWord xmlns="http://schemas.wps.cn/vas-ai-hub/contract-review">〔2014〕251号</modifiedWord>
      <trackRevisions xmlns="http://schemas.wps.cn/vas-ai-hub/contract-review">true</trackRevisions>
    </reviewItem>
    <reviewItem xmlns="http://schemas.wps.cn/vas-ai-hub/contract-review">
      <errorID xmlns="http://schemas.wps.cn/vas-ai-hub/contract-review">9e3e7f25-bb12-4260-87cb-efc88b179f01</errorID>
      <errorWord xmlns="http://schemas.wps.cn/vas-ai-hub/contract-review">[2014]257号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〔2014〕257号</item>
      </candidateList>
      <explain xmlns="http://schemas.wps.cn/vas-ai-hub/contract-review">发文字号格式错误。</explain>
      <paraID xmlns="http://schemas.wps.cn/vas-ai-hub/contract-review">2D66207E</paraID>
      <start xmlns="http://schemas.wps.cn/vas-ai-hub/contract-review">46</start>
      <end xmlns="http://schemas.wps.cn/vas-ai-hub/contract-review">66</end>
      <status xmlns="http://schemas.wps.cn/vas-ai-hub/contract-review">modified</status>
      <modifiedWord xmlns="http://schemas.wps.cn/vas-ai-hub/contract-review">〔2014〕257号</modifiedWord>
      <trackRevisions xmlns="http://schemas.wps.cn/vas-ai-hub/contract-review">true</trackRevisions>
    </reviewItem>
    <reviewItem xmlns="http://schemas.wps.cn/vas-ai-hub/contract-review">
      <errorID xmlns="http://schemas.wps.cn/vas-ai-hub/contract-review">22710de6-645f-49de-8f5c-664dd534cb69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502A4A31</paraID>
      <start xmlns="http://schemas.wps.cn/vas-ai-hub/contract-review">4</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871c0f74-bf8a-4007-a434-de9c47b77f36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28BE0DFC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c49a467e-f069-4d92-adbc-d176f06ffe5e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48FC3959</paraID>
      <start xmlns="http://schemas.wps.cn/vas-ai-hub/contract-review">169</start>
      <end xmlns="http://schemas.wps.cn/vas-ai-hub/contract-review">170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69895be6-ee02-4c8c-aa6c-d713476a6cdf</errorID>
      <errorWord xmlns="http://schemas.wps.cn/vas-ai-hub/contract-review">吸纳带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吸纳</item>
      </candidateList>
      <explain xmlns="http://schemas.wps.cn/vas-ai-hub/contract-review"/>
      <paraID xmlns="http://schemas.wps.cn/vas-ai-hub/contract-review">48FC3959</paraID>
      <start xmlns="http://schemas.wps.cn/vas-ai-hub/contract-review">217</start>
      <end xmlns="http://schemas.wps.cn/vas-ai-hub/contract-review">220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aedaddc9-d605-4e50-86f3-8deecc8777a3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172B1505</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703cc2a7-6d80-4fc0-a9c6-b020b9232407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491F0652</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b960ff7c-2389-4154-a507-69d0e69c3d90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3E9C9D91</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be84ba4d-a9ed-4bfc-b50a-9a3c69714024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1C471C27</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8da65eac-e05f-45e5-8eb9-15cfa9b1be80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51D18E58</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35997e68-4b64-4466-a864-0f395f91b0a9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4C3F7B7A</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069dcf05-9e08-4cbe-9896-001d207ff989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655E6FE7</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e8fe9368-16ba-4e6e-8be6-070f68ef41a0</errorID>
      <errorWord xmlns="http://schemas.wps.cn/vas-ai-hub/contract-review">周围外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周围</item>
      </candidateList>
      <explain xmlns="http://schemas.wps.cn/vas-ai-hub/contract-review"/>
      <paraID xmlns="http://schemas.wps.cn/vas-ai-hub/contract-review">4C807819</paraID>
      <start xmlns="http://schemas.wps.cn/vas-ai-hub/contract-review">123</start>
      <end xmlns="http://schemas.wps.cn/vas-ai-hub/contract-review">126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099332e1-2f1f-4d5f-b14f-d54fd0345769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39E1D9A7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3c41b798-055f-4029-8942-a466187ae193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2B8B6FE0</paraID>
      <start xmlns="http://schemas.wps.cn/vas-ai-hub/contract-review">0</start>
      <end xmlns="http://schemas.wps.cn/vas-ai-hub/contract-review">6</end>
      <status xmlns="http://schemas.wps.cn/vas-ai-hub/contract-review">modified</status>
      <modifiedWord xmlns="http://schemas.wps.cn/vas-ai-hub/contract-review">（1）</modifiedWord>
      <trackRevisions xmlns="http://schemas.wps.cn/vas-ai-hub/contract-review">true</trackRevisions>
    </reviewItem>
    <reviewItem xmlns="http://schemas.wps.cn/vas-ai-hub/contract-review">
      <errorID xmlns="http://schemas.wps.cn/vas-ai-hub/contract-review">9a2ec5a8-cf64-4dde-9481-33c682440c16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35BC4190</paraID>
      <start xmlns="http://schemas.wps.cn/vas-ai-hub/contract-review">0</start>
      <end xmlns="http://schemas.wps.cn/vas-ai-hub/contract-review">6</end>
      <status xmlns="http://schemas.wps.cn/vas-ai-hub/contract-review">modified</status>
      <modifiedWord xmlns="http://schemas.wps.cn/vas-ai-hub/contract-review">（2）</modifiedWord>
      <trackRevisions xmlns="http://schemas.wps.cn/vas-ai-hub/contract-review">true</trackRevisions>
    </reviewItem>
    <reviewItem xmlns="http://schemas.wps.cn/vas-ai-hub/contract-review">
      <errorID xmlns="http://schemas.wps.cn/vas-ai-hub/contract-review">83bbeb01-2b78-44a0-9db7-6db52ecaee17</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45197946</paraID>
      <start xmlns="http://schemas.wps.cn/vas-ai-hub/contract-review">0</start>
      <end xmlns="http://schemas.wps.cn/vas-ai-hub/contract-review">6</end>
      <status xmlns="http://schemas.wps.cn/vas-ai-hub/contract-review">modified</status>
      <modifiedWord xmlns="http://schemas.wps.cn/vas-ai-hub/contract-review">（3）</modifiedWord>
      <trackRevisions xmlns="http://schemas.wps.cn/vas-ai-hub/contract-review">true</trackRevisions>
    </reviewItem>
    <reviewItem xmlns="http://schemas.wps.cn/vas-ai-hub/contract-review">
      <errorID xmlns="http://schemas.wps.cn/vas-ai-hub/contract-review">0002a0df-cb96-4d17-865d-6cf5d76c63b6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59DCE606</paraID>
      <start xmlns="http://schemas.wps.cn/vas-ai-hub/contract-review">0</start>
      <end xmlns="http://schemas.wps.cn/vas-ai-hub/contract-review">6</end>
      <status xmlns="http://schemas.wps.cn/vas-ai-hub/contract-review">modified</status>
      <modifiedWord xmlns="http://schemas.wps.cn/vas-ai-hub/contract-review">（4）</modifiedWord>
      <trackRevisions xmlns="http://schemas.wps.cn/vas-ai-hub/contract-review">true</trackRevisions>
    </reviewItem>
    <reviewItem xmlns="http://schemas.wps.cn/vas-ai-hub/contract-review">
      <errorID xmlns="http://schemas.wps.cn/vas-ai-hub/contract-review">815e413f-2665-4784-a60f-763c1005aafa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36AE190D</paraID>
      <start xmlns="http://schemas.wps.cn/vas-ai-hub/contract-review">0</start>
      <end xmlns="http://schemas.wps.cn/vas-ai-hub/contract-review">6</end>
      <status xmlns="http://schemas.wps.cn/vas-ai-hub/contract-review">modified</status>
      <modifiedWord xmlns="http://schemas.wps.cn/vas-ai-hub/contract-review">（5）</modifiedWord>
      <trackRevisions xmlns="http://schemas.wps.cn/vas-ai-hub/contract-review">true</trackRevisions>
    </reviewItem>
    <reviewItem xmlns="http://schemas.wps.cn/vas-ai-hub/contract-review">
      <errorID xmlns="http://schemas.wps.cn/vas-ai-hub/contract-review">87c916b7-f8ad-46c0-9c5b-ead7fa5ef17e</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56311831</paraID>
      <start xmlns="http://schemas.wps.cn/vas-ai-hub/contract-review">0</start>
      <end xmlns="http://schemas.wps.cn/vas-ai-hub/contract-review">6</end>
      <status xmlns="http://schemas.wps.cn/vas-ai-hub/contract-review">modified</status>
      <modifiedWord xmlns="http://schemas.wps.cn/vas-ai-hub/contract-review">（6）</modifiedWord>
      <trackRevisions xmlns="http://schemas.wps.cn/vas-ai-hub/contract-review">true</trackRevisions>
    </reviewItem>
    <reviewItem xmlns="http://schemas.wps.cn/vas-ai-hub/contract-review">
      <errorID xmlns="http://schemas.wps.cn/vas-ai-hub/contract-review">6adb2d25-0711-4012-bd4c-b85e977884e8</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3C11516D</paraID>
      <start xmlns="http://schemas.wps.cn/vas-ai-hub/contract-review">0</start>
      <end xmlns="http://schemas.wps.cn/vas-ai-hub/contract-review">6</end>
      <status xmlns="http://schemas.wps.cn/vas-ai-hub/contract-review">modified</status>
      <modifiedWord xmlns="http://schemas.wps.cn/vas-ai-hub/contract-review">（7）</modifiedWord>
      <trackRevisions xmlns="http://schemas.wps.cn/vas-ai-hub/contract-review">true</trackRevisions>
    </reviewItem>
    <reviewItem xmlns="http://schemas.wps.cn/vas-ai-hub/contract-review">
      <errorID xmlns="http://schemas.wps.cn/vas-ai-hub/contract-review">202cb738-4068-47bd-b8c6-6951711db066</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538E2201</paraID>
      <start xmlns="http://schemas.wps.cn/vas-ai-hub/contract-review">0</start>
      <end xmlns="http://schemas.wps.cn/vas-ai-hub/contract-review">6</end>
      <status xmlns="http://schemas.wps.cn/vas-ai-hub/contract-review">modified</status>
      <modifiedWord xmlns="http://schemas.wps.cn/vas-ai-hub/contract-review">（8）</modifiedWord>
      <trackRevisions xmlns="http://schemas.wps.cn/vas-ai-hub/contract-review">true</trackRevisions>
    </reviewItem>
    <reviewItem xmlns="http://schemas.wps.cn/vas-ai-hub/contract-review">
      <errorID xmlns="http://schemas.wps.cn/vas-ai-hub/contract-review">4984bfa5-e4b9-4264-b0ed-75ac6bbf4846</errorID>
      <errorWord xmlns="http://schemas.wps.cn/vas-ai-hub/contract-review">周围外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周围</item>
      </candidateList>
      <explain xmlns="http://schemas.wps.cn/vas-ai-hub/contract-review"/>
      <paraID xmlns="http://schemas.wps.cn/vas-ai-hub/contract-review"> 97B3F39</paraID>
      <start xmlns="http://schemas.wps.cn/vas-ai-hub/contract-review">142</start>
      <end xmlns="http://schemas.wps.cn/vas-ai-hub/contract-review">145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f7fa01c1-c666-4284-b32a-a3c5b1f9ed82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19AE8EA1</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2d5581f7-db86-4706-9bff-262d1ae0a0d5</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1C94AFA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c82272e2-3d59-4d23-a6ee-fabfb82be6f4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5FD73C9C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56b0b47d-297f-4ed6-b70a-db1141f3004d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546D1A21</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819d7986-1e45-4b03-9c96-cb7bca94cad3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14C0352D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b8c369d5-5d48-4fc2-8687-296925175b23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4E6A9BF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edd0bf27-edae-43be-a657-258c71c1121a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85A7382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fb708760-907c-4b31-aba0-24f200c07aca</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6A94FD3B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fa02fa72-8cf3-4562-a2b9-073cdaeea4b2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72DAFDD9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ce46e340-99dc-484a-a9dd-7c85f803fbad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524B9237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85f4879f-aa6b-408e-af8d-512ec258665f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518406F9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bfaab59b-cb7a-4032-a4da-af82a2760a50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2D59B89E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19661767-b210-4804-87e0-931628970db6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6D7035BB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e95fe179-79fa-49ad-b797-6e84129c6411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4CD1F278</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911d8b7e-92f9-4cec-a023-f2277900ec80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4CD1F278</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b012bfad-7ff9-47b0-b36b-65a1c1ce3c47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4CD1F278</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5b3710ea-7267-4684-9882-39e421eae2f1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6FE48D6A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84d82d1e-1257-4ea4-b23e-b3404d517fb8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2AC304DA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8af1c0af-f86a-4b43-902f-ccd820ae7a4a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776B006B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d1ce0ddf-a5ab-4228-b042-d23bb4057fa2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4E9FD252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193f61fc-fe31-4def-adc2-631e158d9484</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4E9FD252</paraID>
      <start xmlns="http://schemas.wps.cn/vas-ai-hub/contract-review">92</start>
      <end xmlns="http://schemas.wps.cn/vas-ai-hub/contract-review">93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94ae8767-f52a-4b54-a4a0-5f949299652d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33D050BA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81ff7091-ca5d-4b0c-b18e-ebabd31bc74a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50518B2A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b1e3fabc-3683-4061-8641-1baa60e8f8d6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182048D5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22b37234-a0d4-489a-8b2c-27d288857db3</errorID>
      <errorWord xmlns="http://schemas.wps.cn/vas-ai-hub/contract-review">农村面源污染</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农业面源污染</item>
      </candidateList>
      <explain xmlns="http://schemas.wps.cn/vas-ai-hub/contract-review">词汇“农业面源污染”在特定场景下为固定表述形式，请确认此处的“农村面源污染”是否存在不当。</explain>
      <paraID xmlns="http://schemas.wps.cn/vas-ai-hub/contract-review">182048D5</paraID>
      <start xmlns="http://schemas.wps.cn/vas-ai-hub/contract-review">4</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6c89836e-41d2-4ee3-9576-e93d7e9cd090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4D18BFF4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4582d10b-9bc5-4812-82c1-a0b967a26ae8</errorID>
      <errorWord xmlns="http://schemas.wps.cn/vas-ai-hub/contract-review">农村面源污染</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农业面源污染</item>
      </candidateList>
      <explain xmlns="http://schemas.wps.cn/vas-ai-hub/contract-review">词汇“农业面源污染”在特定场景下为固定表述形式，请确认此处的“农村面源污染”是否存在不当。</explain>
      <paraID xmlns="http://schemas.wps.cn/vas-ai-hub/contract-review">4D18BFF4</paraID>
      <start xmlns="http://schemas.wps.cn/vas-ai-hub/contract-review">8</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0e91f639-9ff3-4ec4-8adf-691009f1f7b1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101299FE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d6507493-5d60-4880-915e-9b42627bdb54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4E61F59C</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ab1b0386-e9c5-43fc-9c31-db989670482b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95BFCE7</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83bdaa6f-4888-48bb-855f-2ccb66d565f3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2AB95828</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50200aaa-6c9a-4b50-bec6-714634377e8f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744BFF00</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68db1a8f-df5c-419d-acb8-24ce7c5de82e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6E1B641A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bc32895a-025f-447e-83ab-e595a9250375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57E383F3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5ac8a329-ede2-49bf-a2f9-1813613ff0c9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2F824A36</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56d66fa2-deaa-4059-b2ea-4e02e0bb4290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236B6667</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ed05c291-fe4a-4c88-903d-abb2f78bde4b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D795A87</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61e6c01c-19c5-460a-83d6-767f2b7bc64b</errorID>
      <errorWord xmlns="http://schemas.wps.cn/vas-ai-hub/contract-review">引入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进入</item>
      </candidateList>
      <explain xmlns="http://schemas.wps.cn/vas-ai-hub/contract-review">〈动〉支进到某个范围或某个时期里：～学校｜～新阶段◇～角色。</explain>
      <paraID xmlns="http://schemas.wps.cn/vas-ai-hub/contract-review"> D795A87</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68cc2072-3fc3-42fd-b91e-42e683d36753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4A8E6107</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91f35704-b74b-49ee-b9ef-35d3f6f69500</errorID>
      <errorWord xmlns="http://schemas.wps.cn/vas-ai-hub/contract-review">、就</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4A8E6107</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ea7b8b4a-a928-4c61-adbb-3267d2c6c7c8</errorID>
      <errorWord xmlns="http://schemas.wps.cn/vas-ai-hub/contract-review">、就</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4A8E6107</paraID>
      <start xmlns="http://schemas.wps.cn/vas-ai-hub/contract-review">82</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7d044881-d907-47a0-9752-315cb2789b13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1AD67613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0bd23e27-11b2-494d-9895-835b882eecb5</errorID>
      <errorWord xmlns="http://schemas.wps.cn/vas-ai-hub/contract-review">微小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小微</item>
      </candidateList>
      <explain xmlns="http://schemas.wps.cn/vas-ai-hub/contract-review"/>
      <paraID xmlns="http://schemas.wps.cn/vas-ai-hub/contract-review">1AD67613</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71df530c-168c-4880-8567-7969b2b036fe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1DD54919</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2e5f9b1f-3546-450e-81ca-34882b421318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3BBCBC71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8f4cb75b-d275-4ffc-8f0c-3ad3e1abeb98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7BA92E67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2a63fe02-2c77-4e17-a7a8-fb561d43a82c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6C20AF3B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e4dfeb63-a597-4a9a-97c2-d5bffa5243a9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7538420F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13ae1472-ac11-4306-ad22-18cdc9be1e27</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31651A52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ff3729c8-9cc9-4c6e-b90f-468ab837413a</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28E8F328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0b0a7052-9f84-4592-82e5-e19f18c3356f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76B06260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a38f6622-1af6-4047-8f92-4926cc839a48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6AF865F6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65070b39-203e-4cd8-b2b1-3fbc66d3e451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4BD57F3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3f8b85b8-cff4-4192-b7f6-ccf3efec659c</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571926A1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2015826e-139a-491c-9bf5-403c32ccf8bc</errorID>
      <errorWord xmlns="http://schemas.wps.cn/vas-ai-hub/contract-review">、以及</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，以及</item>
      </candidateList>
      <explain xmlns="http://schemas.wps.cn/vas-ai-hub/contract-review">连接词前后不宜使用顿号，建议使用逗号。</explain>
      <paraID xmlns="http://schemas.wps.cn/vas-ai-hub/contract-review">60CF4F5E</paraID>
      <start xmlns="http://schemas.wps.cn/vas-ai-hub/contract-review">79</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76f7fda9-888f-493f-902d-9ffb33804c48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2D3580C2</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7a86d542-6da8-46d2-bbd3-7e7a45b920be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734C0012</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d325cd16-a2f1-4536-8985-7dd4e74cd5e4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13671088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5df06558-30b4-4b66-9db8-00504949a630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eed437e4-372a-4515-a4f8-aa47deec0d5f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203</start>
      <end xmlns="http://schemas.wps.cn/vas-ai-hub/contract-review">204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c98a272e-fdec-449e-878d-9510d3d89905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217</start>
      <end xmlns="http://schemas.wps.cn/vas-ai-hub/contract-review">218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6e4605f1-66c1-4086-a958-867de92f643d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303</start>
      <end xmlns="http://schemas.wps.cn/vas-ai-hub/contract-review">305</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629a4d0d-eae2-49cf-b830-43dd140eae08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312</start>
      <end xmlns="http://schemas.wps.cn/vas-ai-hub/contract-review">314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ba6322bc-b36f-4088-90be-ab574d49aee6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540D2FA4</paraID>
      <start xmlns="http://schemas.wps.cn/vas-ai-hub/contract-review">360</start>
      <end xmlns="http://schemas.wps.cn/vas-ai-hub/contract-review">362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01129312-4a2c-4ab1-806b-ec46e2456c70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2A6E52CF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1c1dff45-8cdd-47cc-bb82-1853eb0dfcf8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3008D189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21c40304-c4c6-49ee-a0b8-396f1e86d596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6937B4AD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e0ee742e-3e39-4d80-b0c3-d9f6d1467991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FCC5443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b79ae4bb-9908-420c-b347-508cbc8d3618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6A1F444E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5d3bd3fe-aa10-4438-8efc-38059ffefc35</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22162311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dc3a6d56-7850-4aba-bcf3-1ddc28ce5e4e</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771D05A7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152fc8d9-5815-4d4f-8e9e-bf6b825e95e1</errorID>
      <errorWord xmlns="http://schemas.wps.cn/vas-ai-hub/contract-review">形式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形势</item>
      </candidateList>
      <explain xmlns="http://schemas.wps.cn/vas-ai-hub/contract-review"/>
      <paraID xmlns="http://schemas.wps.cn/vas-ai-hub/contract-review">1A3E9681</paraID>
      <start xmlns="http://schemas.wps.cn/vas-ai-hub/contract-review">55</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d15b2b6c-d019-47c1-88d8-25b32136a8bf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668DF639</paraID>
      <start xmlns="http://schemas.wps.cn/vas-ai-hub/contract-review">10</start>
      <end xmlns="http://schemas.wps.cn/vas-ai-hub/contract-review">12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4294e672-ef2d-4f4f-83ad-6ec5973e9380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668DF639</paraID>
      <start xmlns="http://schemas.wps.cn/vas-ai-hub/contract-review">77</start>
      <end xmlns="http://schemas.wps.cn/vas-ai-hub/contract-review">82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28afab0a-9141-4ebd-8ba9-6432eefc6a02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668DF639</paraID>
      <start xmlns="http://schemas.wps.cn/vas-ai-hub/contract-review">93</start>
      <end xmlns="http://schemas.wps.cn/vas-ai-hub/contract-review">98</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8f4d4723-2784-400d-9ebf-b217d0c76d3d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668DF639</paraID>
      <start xmlns="http://schemas.wps.cn/vas-ai-hub/contract-review">185</start>
      <end xmlns="http://schemas.wps.cn/vas-ai-hub/contract-review">187</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02a5cd7a-9c58-414d-bbae-a599203cb765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668DF639</paraID>
      <start xmlns="http://schemas.wps.cn/vas-ai-hub/contract-review">324</start>
      <end xmlns="http://schemas.wps.cn/vas-ai-hub/contract-review">326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ef3d2afe-80e1-414e-a0fb-dce17e4dcaa3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56E4E878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8bb0a77c-1623-4647-98b9-c4f0c3faf778</errorID>
      <errorWord xmlns="http://schemas.wps.cn/vas-ai-hub/contract-review">设计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56E4E878</paraID>
      <start xmlns="http://schemas.wps.cn/vas-ai-hub/contract-review">5</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3d898ecd-3e30-4dfb-ae07-b85f3c21e971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90E1417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7a17cd88-7331-4b2e-8075-c0128540be7c</errorID>
      <errorWord xmlns="http://schemas.wps.cn/vas-ai-hub/contract-review">等行业等行业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等行业</item>
      </candidateList>
      <explain xmlns="http://schemas.wps.cn/vas-ai-hub/contract-review"/>
      <paraID xmlns="http://schemas.wps.cn/vas-ai-hub/contract-review"> 90E1417</paraID>
      <start xmlns="http://schemas.wps.cn/vas-ai-hub/contract-review">29</start>
      <end xmlns="http://schemas.wps.cn/vas-ai-hub/contract-review">38</end>
      <status xmlns="http://schemas.wps.cn/vas-ai-hub/contract-review">modified</status>
      <modifiedWord xmlns="http://schemas.wps.cn/vas-ai-hub/contract-review">等行业</modifiedWord>
      <trackRevisions xmlns="http://schemas.wps.cn/vas-ai-hub/contract-review">true</trackRevisions>
    </reviewItem>
    <reviewItem xmlns="http://schemas.wps.cn/vas-ai-hub/contract-review">
      <errorID xmlns="http://schemas.wps.cn/vas-ai-hub/contract-review">3016c533-228f-4750-80b5-740f46bea0ce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04de2ac8-d6ed-4f97-b5e9-fe4ddff95c3d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131</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a64dc8e1-9702-4717-861a-e0780e0fd610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173</start>
      <end xmlns="http://schemas.wps.cn/vas-ai-hub/contract-review">174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f95fa0fa-beb8-4a9e-a565-cea5c9430eb2</errorID>
      <errorWord xmlns="http://schemas.wps.cn/vas-ai-hub/contract-review">倍量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备量</item>
      </candidateList>
      <explain xmlns="http://schemas.wps.cn/vas-ai-hub/contract-review"/>
      <paraID xmlns="http://schemas.wps.cn/vas-ai-hub/contract-review">60DE6298</paraID>
      <start xmlns="http://schemas.wps.cn/vas-ai-hub/contract-review">227</start>
      <end xmlns="http://schemas.wps.cn/vas-ai-hub/contract-review">229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aab881c6-929f-4b2e-a950-24795ddd43b3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232</start>
      <end xmlns="http://schemas.wps.cn/vas-ai-hub/contract-review">233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310fa8e0-aef8-4b88-8298-ba64cdb87c24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271</start>
      <end xmlns="http://schemas.wps.cn/vas-ai-hub/contract-review">272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6a1c2539-511b-4a66-a52f-829e97a07650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327</start>
      <end xmlns="http://schemas.wps.cn/vas-ai-hub/contract-review">328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5e08a274-5400-4fa3-827d-6f0b16115475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352</start>
      <end xmlns="http://schemas.wps.cn/vas-ai-hub/contract-review">353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badd2e0b-f0f2-4ed9-8581-a287a0a81fca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60DE6298</paraID>
      <start xmlns="http://schemas.wps.cn/vas-ai-hub/contract-review">613</start>
      <end xmlns="http://schemas.wps.cn/vas-ai-hub/contract-review">614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a4fa4799-50a4-43c5-9589-fbc8a2063287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1E2315E5</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999d6bbe-d422-44b6-8c64-af37d4d7f04b</errorID>
      <errorWord xmlns="http://schemas.wps.cn/vas-ai-hub/contract-review">《高污染燃料目录》（2017）</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《高污染燃料目录（2017）》</item>
      </candidateList>
      <explain xmlns="http://schemas.wps.cn/vas-ai-hub/contract-review">疑似政策文件、法律法规名称等书写不规范，请注意检查。</explain>
      <paraID xmlns="http://schemas.wps.cn/vas-ai-hub/contract-review">1E2315E5</paraID>
      <start xmlns="http://schemas.wps.cn/vas-ai-hub/contract-review">18</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7bb727ae-dd67-4283-8c43-27d9138023e1</errorID>
      <errorWord xmlns="http://schemas.wps.cn/vas-ai-hub/contract-review">III类</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Ⅲ类</item>
      </candidateList>
      <explain xmlns="http://schemas.wps.cn/vas-ai-hub/contract-review"/>
      <paraID xmlns="http://schemas.wps.cn/vas-ai-hub/contract-review">1E2315E5</paraID>
      <start xmlns="http://schemas.wps.cn/vas-ai-hub/contract-review">34</start>
      <end xmlns="http://schemas.wps.cn/vas-ai-hub/contract-review">40</end>
      <status xmlns="http://schemas.wps.cn/vas-ai-hub/contract-review">modified</status>
      <modifiedWord xmlns="http://schemas.wps.cn/vas-ai-hub/contract-review">Ⅲ类</modifiedWord>
      <trackRevisions xmlns="http://schemas.wps.cn/vas-ai-hub/contract-review">true</trackRevisions>
    </reviewItem>
    <reviewItem xmlns="http://schemas.wps.cn/vas-ai-hub/contract-review">
      <errorID xmlns="http://schemas.wps.cn/vas-ai-hub/contract-review">d6d90302-049a-4434-b37d-7b35b3afed90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1E2315E5</paraID>
      <start xmlns="http://schemas.wps.cn/vas-ai-hub/contract-review">163</start>
      <end xmlns="http://schemas.wps.cn/vas-ai-hub/contract-review">164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68a2a9cd-ef91-4da8-b9d2-4dc24bd6863a</errorID>
      <errorWord xmlns="http://schemas.wps.cn/vas-ai-hub/contract-review">污染协同控制</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污染物协同控制</item>
      </candidateList>
      <explain xmlns="http://schemas.wps.cn/vas-ai-hub/contract-review">词汇“污染物协同控制”在特定场景下为固定表述形式，请确认此处的“污染协同控制”是否存在不当。</explain>
      <paraID xmlns="http://schemas.wps.cn/vas-ai-hub/contract-review">5F6708C7</paraID>
      <start xmlns="http://schemas.wps.cn/vas-ai-hub/contract-review">18</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f49e8955-face-48d7-91b6-4cdef3bbee0c</errorID>
      <errorWord xmlns="http://schemas.wps.cn/vas-ai-hub/contract-review">其它同</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其他同</item>
      </candidateList>
      <explain xmlns="http://schemas.wps.cn/vas-ai-hub/contract-review">词汇[其它同]为不规范表述或旧称，其规范书面表述为[其他同]。</explain>
      <paraID xmlns="http://schemas.wps.cn/vas-ai-hub/contract-review">1C447484</paraID>
      <start xmlns="http://schemas.wps.cn/vas-ai-hub/contract-review">14</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37e8bc11-93be-492c-bacc-ef0823f1dcaf</errorID>
      <errorWord xmlns="http://schemas.wps.cn/vas-ai-hub/contract-review">其它同</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其他同</item>
      </candidateList>
      <explain xmlns="http://schemas.wps.cn/vas-ai-hub/contract-review">词汇[其它同]为不规范表述或旧称，其规范书面表述为[其他同]。</explain>
      <paraID xmlns="http://schemas.wps.cn/vas-ai-hub/contract-review">183D94B6</paraID>
      <start xmlns="http://schemas.wps.cn/vas-ai-hub/contract-review">66</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81ecba10-9bde-4bbe-b474-09a85f669aa0</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 4AC5FE5</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1873b6bf-d6b5-468c-954f-9012dfab7654</errorID>
      <errorWord xmlns="http://schemas.wps.cn/vas-ai-hub/contract-review">其它同</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其他同</item>
      </candidateList>
      <explain xmlns="http://schemas.wps.cn/vas-ai-hub/contract-review">词汇[其它同]为不规范表述或旧称，其规范书面表述为[其他同]。</explain>
      <paraID xmlns="http://schemas.wps.cn/vas-ai-hub/contract-review"> 4AC5FE5</paraID>
      <start xmlns="http://schemas.wps.cn/vas-ai-hub/contract-review">83</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f7a44560-c704-4d24-a84d-ab3cd1631b18</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232EED86</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6673c809-d459-4f10-8d00-7d46aab7116c</errorID>
      <errorWord xmlns="http://schemas.wps.cn/vas-ai-hub/contract-review">其它同</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其他同</item>
      </candidateList>
      <explain xmlns="http://schemas.wps.cn/vas-ai-hub/contract-review">词汇[其它同]为不规范表述或旧称，其规范书面表述为[其他同]。</explain>
      <paraID xmlns="http://schemas.wps.cn/vas-ai-hub/contract-review">2207CFD9</paraID>
      <start xmlns="http://schemas.wps.cn/vas-ai-hub/contract-review">78</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f7ce5818-73dd-4bf2-a965-03840bd42007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24D02E0C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e95fe179-79fa-49ad-b797-6e84129c6411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692E5DD3</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911d8b7e-92f9-4cec-a023-f2277900ec80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692E5DD3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b012bfad-7ff9-47b0-b36b-65a1c1ce3c47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692E5DD3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dec3467f-5b44-472c-87a2-e3468d1b77e6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4D2EF5A3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9d35abb0-43ff-4efc-938b-c71756688060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，加</item>
      </candidateList>
      <explain xmlns="http://schemas.wps.cn/vas-ai-hub/contract-review"/>
      <paraID xmlns="http://schemas.wps.cn/vas-ai-hub/contract-review">4D2EF5A3</paraID>
      <start xmlns="http://schemas.wps.cn/vas-ai-hub/contract-review">186</start>
      <end xmlns="http://schemas.wps.cn/vas-ai-hub/contract-review">187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ac891932-0e53-455b-8ca3-83e09bb9b4e8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4D2EF5A3</paraID>
      <start xmlns="http://schemas.wps.cn/vas-ai-hub/contract-review">272</start>
      <end xmlns="http://schemas.wps.cn/vas-ai-hub/contract-review">273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344a6550-84b9-4f98-bea3-4b3418409c94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16B9C97B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c6942d64-c6a4-4f41-9161-f40f6b90a2b7</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16B9C97B</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4aa5b07f-9ab4-4280-b7bf-2e0912cbeb7b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24745EFB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5b7895c2-4e55-4473-8a84-4d73346a9bc1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5E0B78AF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780dccf2-933d-48ac-9536-88ccf9523998</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6A3CEF46</paraID>
      <start xmlns="http://schemas.wps.cn/vas-ai-hub/contract-review">19</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7bdb36db-c05a-449a-94e0-c0fe79bf57ce</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4FA4F985</paraID>
      <start xmlns="http://schemas.wps.cn/vas-ai-hub/contract-review">20</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25aa10a0-4ecb-41f4-af38-eca79cd57a42</errorID>
      <errorWord xmlns="http://schemas.wps.cn/vas-ai-hub/contract-review">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统筹</item>
      </candidateList>
      <explain xmlns="http://schemas.wps.cn/vas-ai-hub/contract-review">〈动〉统一筹划：～兼顾｜～全局。</explain>
      <paraID xmlns="http://schemas.wps.cn/vas-ai-hub/contract-review">6D19D00B</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780dccf2-933d-48ac-9536-88ccf9523998</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31E3A99A</paraID>
      <start xmlns="http://schemas.wps.cn/vas-ai-hub/contract-review">19</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7bdb36db-c05a-449a-94e0-c0fe79bf57ce</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362B67DE</paraID>
      <start xmlns="http://schemas.wps.cn/vas-ai-hub/contract-review">20</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dd1f09d3-f78a-4afa-9dc4-9a96a97077c4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3D425609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d5914097-ebd8-48ed-bf86-b6de6e797ee3</errorID>
      <errorWord xmlns="http://schemas.wps.cn/vas-ai-hub/contract-review">主动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主体</item>
      </candidateList>
      <explain xmlns="http://schemas.wps.cn/vas-ai-hub/contract-review"/>
      <paraID xmlns="http://schemas.wps.cn/vas-ai-hub/contract-review">5FC750C2</paraID>
      <start xmlns="http://schemas.wps.cn/vas-ai-hub/contract-review">75</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889fb1f0-bc1e-4a95-ba38-4bc03507a135</errorID>
      <errorWord xmlns="http://schemas.wps.cn/vas-ai-hub/contract-review">命令禁止</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明令禁止</item>
      </candidateList>
      <explain xmlns="http://schemas.wps.cn/vas-ai-hub/contract-review"/>
      <paraID xmlns="http://schemas.wps.cn/vas-ai-hub/contract-review">61665352</paraID>
      <start xmlns="http://schemas.wps.cn/vas-ai-hub/contract-review">16</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5c39fd85-b4f4-44f2-88e2-48f208eaf37f</errorID>
      <errorWord xmlns="http://schemas.wps.cn/vas-ai-hub/contract-review">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胜区</item>
      </candidateList>
      <explain xmlns="http://schemas.wps.cn/vas-ai-hub/contract-review"/>
      <paraID xmlns="http://schemas.wps.cn/vas-ai-hub/contract-review">3377DA7C</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c8e9ee76-8645-460a-8086-d2fe48ce3f3e</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53B887AC</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fa7463bc-df08-42b9-8649-3ce429dd8330</errorID>
      <errorWord xmlns="http://schemas.wps.cn/vas-ai-hub/contract-review">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制</item>
      </candidateList>
      <explain xmlns="http://schemas.wps.cn/vas-ai-hub/contract-review">存在发音相同字词的误用。</explain>
      <paraID xmlns="http://schemas.wps.cn/vas-ai-hub/contract-review">50707690</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e067f7a5-e2ee-480d-88e1-39eeafa89970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49D5CC32</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c8e9ee76-8645-460a-8086-d2fe48ce3f3e</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4C47E0B7</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d721eafa-944c-4c41-abb5-89daa21f2804</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48E81F58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c0c0150a-6bd3-47f8-92a0-972e4ad1abef</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10703AE2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b26bff74-f0a2-4539-b463-7398010a8176</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3C9DFA59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bcbdd7d1-9827-4be2-8ca1-8fc4ef2dc71f</errorID>
      <errorWord xmlns="http://schemas.wps.cn/vas-ai-hub/contract-review">户、2</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户2</item>
      </candidateList>
      <explain xmlns="http://schemas.wps.cn/vas-ai-hub/contract-review"/>
      <paraID xmlns="http://schemas.wps.cn/vas-ai-hub/contract-review">740F76C2</paraID>
      <start xmlns="http://schemas.wps.cn/vas-ai-hub/contract-review">1</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10fa07ed-b28d-4011-a856-193e58352ab9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19CB8FBB</paraID>
      <start xmlns="http://schemas.wps.cn/vas-ai-hub/contract-review">190</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95b334ab-d439-487c-8c33-f050936c0f16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19CB8FBB</paraID>
      <start xmlns="http://schemas.wps.cn/vas-ai-hub/contract-review">204</start>
      <end xmlns="http://schemas.wps.cn/vas-ai-hub/contract-review">205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05a68805-d938-4702-9ae8-abb7109af3da</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26A8857B</paraID>
      <start xmlns="http://schemas.wps.cn/vas-ai-hub/contract-review">124</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b7fa7cc8-9f8c-4cbb-876b-9a9bc1ded617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F881A92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039d9181-19bf-4a13-9d0f-a620cda1af7e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64BF4A67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5727f314-9420-4686-bbd1-63c721805a31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118FE2B5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566f631e-37a7-4153-b3de-227e065a48be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2EA03013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bb4caeaf-f2a1-4e75-9269-52c9dbb455df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52A77268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701e996c-87a7-4c9d-a7cb-798383d7b430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219B7FD9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60096bcd-e4eb-49d3-98e5-11b600e695b6</errorID>
      <errorWord xmlns="http://schemas.wps.cn/vas-ai-hub/contract-review">占地约为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占地约</item>
      </candidateList>
      <explain xmlns="http://schemas.wps.cn/vas-ai-hub/contract-review"/>
      <paraID xmlns="http://schemas.wps.cn/vas-ai-hub/contract-review"> 142CC4F</paraID>
      <start xmlns="http://schemas.wps.cn/vas-ai-hub/contract-review">11</start>
      <end xmlns="http://schemas.wps.cn/vas-ai-hub/contract-review">18</end>
      <status xmlns="http://schemas.wps.cn/vas-ai-hub/contract-review">modified</status>
      <modifiedWord xmlns="http://schemas.wps.cn/vas-ai-hub/contract-review">占地约</modifiedWord>
      <trackRevisions xmlns="http://schemas.wps.cn/vas-ai-hub/contract-review">true</trackRevisions>
    </reviewItem>
    <reviewItem xmlns="http://schemas.wps.cn/vas-ai-hub/contract-review">
      <errorID xmlns="http://schemas.wps.cn/vas-ai-hub/contract-review">b310cebf-4fa7-4e6e-a0af-b2e5dc7b4533</errorID>
      <errorWord xmlns="http://schemas.wps.cn/vas-ai-hub/contract-review">约为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约</item>
      </candidateList>
      <explain xmlns="http://schemas.wps.cn/vas-ai-hub/contract-review"/>
      <paraID xmlns="http://schemas.wps.cn/vas-ai-hub/contract-review">1BE1E1E8</paraID>
      <start xmlns="http://schemas.wps.cn/vas-ai-hub/contract-review">29</start>
      <end xmlns="http://schemas.wps.cn/vas-ai-hub/contract-review">32</end>
      <status xmlns="http://schemas.wps.cn/vas-ai-hub/contract-review">modified</status>
      <modifiedWord xmlns="http://schemas.wps.cn/vas-ai-hub/contract-review">约</modifiedWord>
      <trackRevisions xmlns="http://schemas.wps.cn/vas-ai-hub/contract-review">true</trackRevisions>
    </reviewItem>
    <reviewItem xmlns="http://schemas.wps.cn/vas-ai-hub/contract-review">
      <errorID xmlns="http://schemas.wps.cn/vas-ai-hub/contract-review">f0b56916-7296-49a5-8b17-7ce79c1929f6</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218C63FA</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3b94360e-87e9-47c2-8b43-e5566e95caf6</errorID>
      <errorWord xmlns="http://schemas.wps.cn/vas-ai-hub/contract-review">排入污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排入</item>
      </candidateList>
      <explain xmlns="http://schemas.wps.cn/vas-ai-hub/contract-review"/>
      <paraID xmlns="http://schemas.wps.cn/vas-ai-hub/contract-review">218C63FA</paraID>
      <start xmlns="http://schemas.wps.cn/vas-ai-hub/contract-review">114</start>
      <end xmlns="http://schemas.wps.cn/vas-ai-hub/contract-review">119</end>
      <status xmlns="http://schemas.wps.cn/vas-ai-hub/contract-review">modified</status>
      <modifiedWord xmlns="http://schemas.wps.cn/vas-ai-hub/contract-review">排入</modifiedWord>
      <trackRevisions xmlns="http://schemas.wps.cn/vas-ai-hub/contract-review">true</trackRevisions>
    </reviewItem>
    <reviewItem xmlns="http://schemas.wps.cn/vas-ai-hub/contract-review">
      <errorID xmlns="http://schemas.wps.cn/vas-ai-hub/contract-review">b1601655-89d8-416e-8311-5f7704a26c4b</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76EE18BD</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b19162bb-f07a-41ab-8e00-f1a541dac671</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540B3951</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54574d7f-1270-46fd-abe4-be45a9aa429a</errorID>
      <errorWord xmlns="http://schemas.wps.cn/vas-ai-hub/contract-review">排入污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排入</item>
      </candidateList>
      <explain xmlns="http://schemas.wps.cn/vas-ai-hub/contract-review"/>
      <paraID xmlns="http://schemas.wps.cn/vas-ai-hub/contract-review">540B3951</paraID>
      <start xmlns="http://schemas.wps.cn/vas-ai-hub/contract-review">53</start>
      <end xmlns="http://schemas.wps.cn/vas-ai-hub/contract-review">58</end>
      <status xmlns="http://schemas.wps.cn/vas-ai-hub/contract-review">modified</status>
      <modifiedWord xmlns="http://schemas.wps.cn/vas-ai-hub/contract-review">排入</modifiedWord>
      <trackRevisions xmlns="http://schemas.wps.cn/vas-ai-hub/contract-review">true</trackRevisions>
    </reviewItem>
    <reviewItem xmlns="http://schemas.wps.cn/vas-ai-hub/contract-review">
      <errorID xmlns="http://schemas.wps.cn/vas-ai-hub/contract-review">a509cfe1-d811-40e1-98c7-3e55cb70bf78</errorID>
      <errorWord xmlns="http://schemas.wps.cn/vas-ai-hub/contract-review">树脂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树酯</item>
      </candidateList>
      <explain xmlns="http://schemas.wps.cn/vas-ai-hub/contract-review"/>
      <paraID xmlns="http://schemas.wps.cn/vas-ai-hub/contract-review"> 353B5B7</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41041f57-4e53-4e9b-bb5d-23e582d13d94</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2817F81E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c09469b6-b241-40d9-a941-0aa3f32d4f09</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2616D45E</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264b8b83-cb37-4a45-8bfe-384fc63c57a8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5A50907C</paraID>
      <start xmlns="http://schemas.wps.cn/vas-ai-hub/contract-review">0</start>
      <end xmlns="http://schemas.wps.cn/vas-ai-hub/contract-review">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70661798-660c-4485-83b7-f7b70678d159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5A50907C</paraID>
      <start xmlns="http://schemas.wps.cn/vas-ai-hub/contract-review">6</start>
      <end xmlns="http://schemas.wps.cn/vas-ai-hub/contract-review">8</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10cb48ff-65d7-4e97-ae86-e6f3257043ad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654F54AA</paraID>
      <start xmlns="http://schemas.wps.cn/vas-ai-hub/contract-review">0</start>
      <end xmlns="http://schemas.wps.cn/vas-ai-hub/contract-review">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89deb790-d254-4921-bb2c-2b0a44cfa971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654F54AA</paraID>
      <start xmlns="http://schemas.wps.cn/vas-ai-hub/contract-review">6</start>
      <end xmlns="http://schemas.wps.cn/vas-ai-hub/contract-review">8</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cec0faa9-5245-4914-a0e4-5a44257d7120</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17CD47E2</paraID>
      <start xmlns="http://schemas.wps.cn/vas-ai-hub/contract-review">12</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e57cabb3-81ea-4c82-af74-642086ce2bda</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30F4EC73</paraID>
      <start xmlns="http://schemas.wps.cn/vas-ai-hub/contract-review">29</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92b4807d-4bae-4465-b757-10a1f114f99f</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30F4EC73</paraID>
      <start xmlns="http://schemas.wps.cn/vas-ai-hub/contract-review">132</start>
      <end xmlns="http://schemas.wps.cn/vas-ai-hub/contract-review">135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e1b7f74a-6e6a-496a-a6f9-798ccfb5a8ff</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313E54F9</paraID>
      <start xmlns="http://schemas.wps.cn/vas-ai-hub/contract-review">442</start>
      <end xmlns="http://schemas.wps.cn/vas-ai-hub/contract-review">445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7ed56c5f-1a33-458f-8aee-3039727c5a56</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5781567A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9002ac12-f50c-4485-af04-56fde304af3c</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276ADC4D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fa5463c6-af5e-4eb3-a5a8-18d4100a3cf7</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35F2E1F7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4c315861-4150-477e-b8aa-0d7c65333338</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E81CCFF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9a9c947f-97b9-4db9-b003-487b224e6aa2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49E371D2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3833f79c-6ae1-456b-9d85-cf1c5cfc5352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5C70CC2C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7ec14a85-d1f1-4422-9ac2-5b972c723238</errorID>
      <errorWord xmlns="http://schemas.wps.cn/vas-ai-hub/contract-review">热压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热源</item>
      </candidateList>
      <explain xmlns="http://schemas.wps.cn/vas-ai-hub/contract-review"/>
      <paraID xmlns="http://schemas.wps.cn/vas-ai-hub/contract-review">4340C5CD</paraID>
      <start xmlns="http://schemas.wps.cn/vas-ai-hub/contract-review">74</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2961d04b-7b42-4d00-bd2e-dc6511c7b71d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23F8AF2B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9ac44e3f-afd5-4fb4-a128-a4746a8bf6f1</errorID>
      <errorWord xmlns="http://schemas.wps.cn/vas-ai-hub/contract-review">塑件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塑料</item>
      </candidateList>
      <explain xmlns="http://schemas.wps.cn/vas-ai-hub/contract-review"/>
      <paraID xmlns="http://schemas.wps.cn/vas-ai-hub/contract-review">43567B29</paraID>
      <start xmlns="http://schemas.wps.cn/vas-ai-hub/contract-review">39</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5b8ab086-cbf0-4c42-92fc-d28219555b0a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2CC11010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a1ec9c34-2dc6-4a5e-bb6a-cadeb146c73e</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32C15566</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b4cdabd5-144f-4920-a62e-cc8868c9cc79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4CE5BCBA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92b1d63c-5f31-4e6a-be40-515b1e4e4c70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7CB42C8C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3cf61639-ab24-4e25-9a45-9e11d4f6f377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32C71031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c5db8dc8-d710-40c5-8b75-8ae046247ed2</errorID>
      <errorWord xmlns="http://schemas.wps.cn/vas-ai-hub/contract-review">调查结果表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调查结果</item>
      </candidateList>
      <explain xmlns="http://schemas.wps.cn/vas-ai-hub/contract-review"/>
      <paraID xmlns="http://schemas.wps.cn/vas-ai-hub/contract-review">6537927F</paraID>
      <start xmlns="http://schemas.wps.cn/vas-ai-hub/contract-review">59</start>
      <end xmlns="http://schemas.wps.cn/vas-ai-hub/contract-review">68</end>
      <status xmlns="http://schemas.wps.cn/vas-ai-hub/contract-review">modified</status>
      <modifiedWord xmlns="http://schemas.wps.cn/vas-ai-hub/contract-review">调查结果</modifiedWord>
      <trackRevisions xmlns="http://schemas.wps.cn/vas-ai-hub/contract-review">true</trackRevisions>
    </reviewItem>
    <reviewItem xmlns="http://schemas.wps.cn/vas-ai-hub/contract-review">
      <errorID xmlns="http://schemas.wps.cn/vas-ai-hub/contract-review">bc391951-9a1e-4339-a055-e5bcafc3833c</errorID>
      <errorWord xmlns="http://schemas.wps.cn/vas-ai-hub/contract-review">源源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源</item>
      </candidateList>
      <explain xmlns="http://schemas.wps.cn/vas-ai-hub/contract-review"/>
      <paraID xmlns="http://schemas.wps.cn/vas-ai-hub/contract-review">6C7DC43E</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8b0b7a5c-260c-46a1-acb5-b7a2006f12be</errorID>
      <errorWord xmlns="http://schemas.wps.cn/vas-ai-hub/contract-review">源源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源</item>
      </candidateList>
      <explain xmlns="http://schemas.wps.cn/vas-ai-hub/contract-review"/>
      <paraID xmlns="http://schemas.wps.cn/vas-ai-hub/contract-review"> E38ED48</paraID>
      <start xmlns="http://schemas.wps.cn/vas-ai-hub/contract-review">40</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65d283e3-7abb-4bfb-8d9e-073d2e1b4775</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6E3D4DDF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50fff7c4-4860-4db5-a2e2-4f0f39f27187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32289BB0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587874bf-5d68-4345-8c6d-228320c87c0b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69F1612D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062ee0e5-a24a-4a22-a59b-08f9f12a7649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18F2D24E</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f34aef7c-d94a-4714-8451-5c9b55431c51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26E9246E</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c8f93b81-b51d-4ea8-992c-3c2550a57c84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26E9246E</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f557b83f-ba96-46a7-8a12-e4871d146458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6640AAB1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56b1e20a-0c75-40bb-9e4f-4cf6127845c1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6640AAB1</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1ce0f087-c001-44f9-b953-e1c83a50c74a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2C10E541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218f0ab7-d85e-462a-8814-611914853bba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2C10E541</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dbcaf064-f585-4ad5-b06b-9d1909517449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4D0DD7C8</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61746207-9e56-4b34-91c9-ca44f47239b3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4D0DD7C8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e7ac1bee-fd92-4fd1-b06f-792e8a430a37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4B4B6253</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348f11f4-4842-4a78-994c-9eacb12b7337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4B4B6253</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66053e1e-3a2b-4738-ae4b-f3c16db64aca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357D3B8</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ed21b9cf-b313-4ba2-a9f2-e85c5cf88e36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5613DD62</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2754645f-fd56-4ea5-912f-fa2528f708fb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3980541E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1279b078-642d-4f86-867d-4a82ab175223</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 CEEBAE7</paraID>
      <start xmlns="http://schemas.wps.cn/vas-ai-hub/contract-review">80</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0f4e7536-71a3-4703-bba6-c06884ce7520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609B99F2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34ff124e-a159-42c6-9cad-29569c50e451</errorID>
      <errorWord xmlns="http://schemas.wps.cn/vas-ai-hub/contract-review">》（试行）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（试行）》</item>
      </candidateList>
      <explain xmlns="http://schemas.wps.cn/vas-ai-hub/contract-review"/>
      <paraID xmlns="http://schemas.wps.cn/vas-ai-hub/contract-review">4C6DB394</paraID>
      <start xmlns="http://schemas.wps.cn/vas-ai-hub/contract-review">45</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b42d4846-a0e8-491b-a555-4b915f375749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278F065D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32529e4c-dd72-4523-be52-869e822226cb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D52F39B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c6d716a6-41fb-49f9-b17b-4b8504edeb3a</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4AC30DA7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11765110-071a-4859-9a44-2c674f27d989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1146EC15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bfdfe755-f08b-4bcf-aca5-ab3b7b28968f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5CD78C40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8a39a005-3310-4616-9dee-288cea27058a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39DF19CE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255d038c-e3cd-423b-b1cb-333475642c4f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5F111B14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5d2d4cf7-be0a-4c26-967b-f81a26b0cab0</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340DC321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ac731cbf-7db2-4cad-96ed-0e173a651067</errorID>
      <errorWord xmlns="http://schemas.wps.cn/vas-ai-hub/contract-review">户、2</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户2</item>
      </candidateList>
      <explain xmlns="http://schemas.wps.cn/vas-ai-hub/contract-review"/>
      <paraID xmlns="http://schemas.wps.cn/vas-ai-hub/contract-review">60C1E32C</paraID>
      <start xmlns="http://schemas.wps.cn/vas-ai-hub/contract-review">1</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5b31b951-e919-4502-886d-e8180a3bed1b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FCE79F9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7539a981-9031-4801-9dbf-e5ed3b4434ce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3CF4BDDB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278ff9e0-350e-4293-9ce7-a2dba25f0bca</errorID>
      <errorWord xmlns="http://schemas.wps.cn/vas-ai-hub/contract-review">还应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不应</item>
      </candidateList>
      <explain xmlns="http://schemas.wps.cn/vas-ai-hub/contract-review"/>
      <paraID xmlns="http://schemas.wps.cn/vas-ai-hub/contract-review">1119C87D</paraID>
      <start xmlns="http://schemas.wps.cn/vas-ai-hub/contract-review">90</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758abb32-d8db-480f-bd49-497dc1b041e9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1119C87D</paraID>
      <start xmlns="http://schemas.wps.cn/vas-ai-hub/contract-review">177</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2b5b7817-87fe-4d62-97d8-d7848f429f57</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12D8ACFB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a681adf8-84f2-4899-b7aa-bcc78da129e9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38E1AA26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3e05fd45-50a7-4ea0-a31e-7e1a1066ffc3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435736C8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5b6c1efb-924b-4d02-a128-06ed99540578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6FD84FC8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5e77483d-3f65-46e9-bd8c-ddaa803e4e35</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E9190DF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e5ec3c82-0768-4e41-b921-dc37fa9a9e80</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6E229A46</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9fff00c1-60bd-4ac6-901e-6ee504b4038a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59C1BA8D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233b910c-2838-4144-9d3a-98ae227fa13c</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5A6CE80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8441de3a-8744-4f90-96e6-27d3c15d68de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1DADB933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77122650-af75-4eab-8d16-f14cf1622ce9</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48B2A549</paraID>
      <start xmlns="http://schemas.wps.cn/vas-ai-hub/contract-review">35</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ed15208b-3004-40c1-92d2-80df7b232a85</errorID>
      <errorWord xmlns="http://schemas.wps.cn/vas-ai-hub/contract-review">单组分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单组份</item>
      </candidateList>
      <explain xmlns="http://schemas.wps.cn/vas-ai-hub/contract-review"/>
      <paraID xmlns="http://schemas.wps.cn/vas-ai-hub/contract-review">48B2A549</paraID>
      <start xmlns="http://schemas.wps.cn/vas-ai-hub/contract-review">74</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527e3bc0-582a-4498-ba89-2ce50c7c6a8a</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6C0A0C67</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25c8fe9b-f9a1-4f60-a0d4-efa13686b1d0</errorID>
      <errorWord xmlns="http://schemas.wps.cn/vas-ai-hub/contract-review">单组份</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单组分</item>
      </candidateList>
      <explain xmlns="http://schemas.wps.cn/vas-ai-hub/contract-review">词汇[单组份]的规范词形写作[单组分]。</explain>
      <paraID xmlns="http://schemas.wps.cn/vas-ai-hub/contract-review">6C0A0C67</paraID>
      <start xmlns="http://schemas.wps.cn/vas-ai-hub/contract-review">94</start>
      <end xmlns="http://schemas.wps.cn/vas-ai-hub/contract-review">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d8b33153-ce67-4f63-b933-2d65e86fafaa</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515DE8CB</paraID>
      <start xmlns="http://schemas.wps.cn/vas-ai-hub/contract-review">29</start>
      <end xmlns="http://schemas.wps.cn/vas-ai-hub/contract-review">31</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bfb62897-b970-4c9f-9248-76ea5fb3f4f5</errorID>
      <errorWord xmlns="http://schemas.wps.cn/vas-ai-hub/contract-review">&gt;的通知》</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〉的通知》</item>
      </candidateList>
      <explain xmlns="http://schemas.wps.cn/vas-ai-hub/contract-review"/>
      <paraID xmlns="http://schemas.wps.cn/vas-ai-hub/contract-review">515DE8CB</paraID>
      <start xmlns="http://schemas.wps.cn/vas-ai-hub/contract-review">55</start>
      <end xmlns="http://schemas.wps.cn/vas-ai-hub/contract-review">65</end>
      <status xmlns="http://schemas.wps.cn/vas-ai-hub/contract-review">modified</status>
      <modifiedWord xmlns="http://schemas.wps.cn/vas-ai-hub/contract-review">〉的通知》</modifiedWord>
      <trackRevisions xmlns="http://schemas.wps.cn/vas-ai-hub/contract-review">true</trackRevisions>
    </reviewItem>
    <reviewItem xmlns="http://schemas.wps.cn/vas-ai-hub/contract-review">
      <errorID xmlns="http://schemas.wps.cn/vas-ai-hub/contract-review">55fceb4a-1e53-4d42-b9ae-87e67474db67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3C844ADB</paraID>
      <start xmlns="http://schemas.wps.cn/vas-ai-hub/contract-review">29</start>
      <end xmlns="http://schemas.wps.cn/vas-ai-hub/contract-review">31</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a50d61d4-5784-4070-be41-d3bbf46b11e7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3C844ADB</paraID>
      <start xmlns="http://schemas.wps.cn/vas-ai-hub/contract-review">38</start>
      <end xmlns="http://schemas.wps.cn/vas-ai-hub/contract-review">40</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a0a70fdd-61f4-46e8-aee2-4e450b235556</errorID>
      <errorWord xmlns="http://schemas.wps.cn/vas-ai-hub/contract-review">间</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个</item>
      </candidateList>
      <explain xmlns="http://schemas.wps.cn/vas-ai-hub/contract-review">请检查“间”是否为量词使用错误，建议修改为“个”。</explain>
      <paraID xmlns="http://schemas.wps.cn/vas-ai-hub/contract-review">4495E8CC</paraID>
      <start xmlns="http://schemas.wps.cn/vas-ai-hub/contract-review">17</start>
      <end xmlns="http://schemas.wps.cn/vas-ai-hub/contract-review">19</end>
      <status xmlns="http://schemas.wps.cn/vas-ai-hub/contract-review">modified</status>
      <modifiedWord xmlns="http://schemas.wps.cn/vas-ai-hub/contract-review">个</modifiedWord>
      <trackRevisions xmlns="http://schemas.wps.cn/vas-ai-hub/contract-review">true</trackRevisions>
    </reviewItem>
    <reviewItem xmlns="http://schemas.wps.cn/vas-ai-hub/contract-review">
      <errorID xmlns="http://schemas.wps.cn/vas-ai-hub/contract-review">ce672e5c-3e3c-41e7-9730-4b3d7a0ce17a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55FF2F40</paraID>
      <start xmlns="http://schemas.wps.cn/vas-ai-hub/contract-review">2</start>
      <end xmlns="http://schemas.wps.cn/vas-ai-hub/contract-review">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32b1f3dc-4a8d-4af8-911b-a794699f2b01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3767992A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572f4a83-9cb8-49be-b1b6-46f1b8605feb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29F0D715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957830f5-c995-4c08-8fdf-ed52a9f23eff</errorID>
      <errorWord xmlns="http://schemas.wps.cn/vas-ai-hub/contract-review">海拔高度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海拔</item>
      </candidateList>
      <explain xmlns="http://schemas.wps.cn/vas-ai-hub/contract-review">〈名〉从平均海平面起算的高度。</explain>
      <paraID xmlns="http://schemas.wps.cn/vas-ai-hub/contract-review">37617E3A</paraID>
      <start xmlns="http://schemas.wps.cn/vas-ai-hub/contract-review">5</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ae319218-86f8-48ee-8d0e-d7afad3d297b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2A994B13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241bf30a-0d27-43f5-b8fd-45fda0c60f99</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1BF98E52</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e6899b03-b940-4260-b488-57faa24d3e22</errorID>
      <errorWord xmlns="http://schemas.wps.cn/vas-ai-hub/contract-review">进入的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进入</item>
      </candidateList>
      <explain xmlns="http://schemas.wps.cn/vas-ai-hub/contract-review">〈动〉支进到某个范围或某个时期里：～学校｜～新阶段◇～角色。</explain>
      <paraID xmlns="http://schemas.wps.cn/vas-ai-hub/contract-review"> F0B8C3F</paraID>
      <start xmlns="http://schemas.wps.cn/vas-ai-hub/contract-review">4</start>
      <end xmlns="http://schemas.wps.cn/vas-ai-hub/contract-review">9</end>
      <status xmlns="http://schemas.wps.cn/vas-ai-hub/contract-review">modified</status>
      <modifiedWord xmlns="http://schemas.wps.cn/vas-ai-hub/contract-review">进入</modifiedWord>
      <trackRevisions xmlns="http://schemas.wps.cn/vas-ai-hub/contract-review">true</trackRevisions>
    </reviewItem>
    <reviewItem xmlns="http://schemas.wps.cn/vas-ai-hub/contract-review">
      <errorID xmlns="http://schemas.wps.cn/vas-ai-hub/contract-review">c3d31860-b869-4530-b828-ea34ab7cbeec</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 F0B8C3F</paraID>
      <start xmlns="http://schemas.wps.cn/vas-ai-hub/contract-review">62</start>
      <end xmlns="http://schemas.wps.cn/vas-ai-hub/contract-review">65</end>
      <status xmlns="http://schemas.wps.cn/vas-ai-hub/contract-review">modified</status>
      <modifiedWord xmlns="http://schemas.wps.cn/vas-ai-hub/contract-review">达到</modifiedWord>
      <trackRevisions xmlns="http://schemas.wps.cn/vas-ai-hub/contract-review">true</trackRevisions>
    </reviewItem>
    <reviewItem xmlns="http://schemas.wps.cn/vas-ai-hub/contract-review">
      <errorID xmlns="http://schemas.wps.cn/vas-ai-hub/contract-review">0ffb79dd-c151-4852-8b09-c629a17acbdb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64BD12F4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bc391951-9a1e-4339-a055-e5bcafc3833c</errorID>
      <errorWord xmlns="http://schemas.wps.cn/vas-ai-hub/contract-review">源源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源</item>
      </candidateList>
      <explain xmlns="http://schemas.wps.cn/vas-ai-hub/contract-review"/>
      <paraID xmlns="http://schemas.wps.cn/vas-ai-hub/contract-review"> 7A46C0E</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6f2d6aad-6865-4f7a-9388-d1439fa0d04c</errorID>
      <errorWord xmlns="http://schemas.wps.cn/vas-ai-hub/contract-review">监测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检测</item>
      </candidateList>
      <explain xmlns="http://schemas.wps.cn/vas-ai-hub/contract-review"/>
      <paraID xmlns="http://schemas.wps.cn/vas-ai-hub/contract-review">11580E23</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3471ee20-90d1-4208-8514-d0c042a635df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6D174016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8035a155-45f9-4a35-90a3-09be02f4cd42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4A736AEA</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03bc9d43-4e4b-48a4-be96-04c7744cf0ab</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4A736AEA</paraID>
      <start xmlns="http://schemas.wps.cn/vas-ai-hub/contract-review">157</start>
      <end xmlns="http://schemas.wps.cn/vas-ai-hub/contract-review">161</end>
      <status xmlns="http://schemas.wps.cn/vas-ai-hub/contract-review">modified</status>
      <modifiedWord xmlns="http://schemas.wps.cn/vas-ai-hub/contract-review">翔实</modifiedWord>
      <trackRevisions xmlns="http://schemas.wps.cn/vas-ai-hub/contract-review">true</trackRevisions>
    </reviewItem>
    <reviewItem xmlns="http://schemas.wps.cn/vas-ai-hub/contract-review">
      <errorID xmlns="http://schemas.wps.cn/vas-ai-hub/contract-review">f98904ab-4dd1-4664-96fd-f6734b5d5f61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345730F5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eed765a0-65f8-4437-b8be-e0a3b71bb652</errorID>
      <errorWord xmlns="http://schemas.wps.cn/vas-ai-hub/contract-review">，加</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25544284</paraID>
      <start xmlns="http://schemas.wps.cn/vas-ai-hub/contract-review">26</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d668ba07-e21b-4a32-ad3b-ab056a3e2f9c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25544284</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b1e53a4a-d6af-4ed8-8967-c42d77dbfa1f</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6DEFFAF4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3cf54443-f52a-4f03-8ef8-92b824dce662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2D77B71C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d6b8baff-66ff-40e5-8e3f-9299ada85416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7E5260E0</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68195b10-b0d1-45da-aabf-b7ca11e0cdc2</errorID>
      <errorWord xmlns="http://schemas.wps.cn/vas-ai-hub/contract-review">区内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屋内</item>
      </candidateList>
      <explain xmlns="http://schemas.wps.cn/vas-ai-hub/contract-review"/>
      <paraID xmlns="http://schemas.wps.cn/vas-ai-hub/contract-review">619B4BEA</paraID>
      <start xmlns="http://schemas.wps.cn/vas-ai-hub/contract-review">103</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be7987a9-1006-489a-84b7-de0be53290cf</errorID>
      <errorWord xmlns="http://schemas.wps.cn/vas-ai-hub/contract-review">提高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增强</item>
      </candidateList>
      <explain xmlns="http://schemas.wps.cn/vas-ai-hub/contract-review">“提高～意识”搭配不当，建议修改为“增强～意识”。</explain>
      <paraID xmlns="http://schemas.wps.cn/vas-ai-hub/contract-review">23233102</paraID>
      <start xmlns="http://schemas.wps.cn/vas-ai-hub/contract-review">49</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588351bd-3719-4724-8324-740f8d040aae</errorID>
      <errorWord xmlns="http://schemas.wps.cn/vas-ai-hub/contract-review">其它人员</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其他人员</item>
      </candidateList>
      <explain xmlns="http://schemas.wps.cn/vas-ai-hub/contract-review">词汇[其它人员]为不规范表述或旧称，其规范书面表述为[其他人员]。</explain>
      <paraID xmlns="http://schemas.wps.cn/vas-ai-hub/contract-review">5453C66D</paraID>
      <start xmlns="http://schemas.wps.cn/vas-ai-hub/contract-review">22</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c730ad9e-0538-40ef-81cd-23800b22fca7</errorID>
      <errorWord xmlns="http://schemas.wps.cn/vas-ai-hub/contract-review">及时地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及时</item>
      </candidateList>
      <explain xmlns="http://schemas.wps.cn/vas-ai-hub/contract-review">❶〈形〉正赶上时候；适合需要：～雨｜他来得很～。❷〈副〉不拖延；马上；立刻：有问题就～解决。</explain>
      <paraID xmlns="http://schemas.wps.cn/vas-ai-hub/contract-review">5453C66D</paraID>
      <start xmlns="http://schemas.wps.cn/vas-ai-hub/contract-review">62</start>
      <end xmlns="http://schemas.wps.cn/vas-ai-hub/contract-review">67</end>
      <status xmlns="http://schemas.wps.cn/vas-ai-hub/contract-review">modified</status>
      <modifiedWord xmlns="http://schemas.wps.cn/vas-ai-hub/contract-review">及时</modifiedWord>
      <trackRevisions xmlns="http://schemas.wps.cn/vas-ai-hub/contract-review">true</trackRevisions>
    </reviewItem>
    <reviewItem xmlns="http://schemas.wps.cn/vas-ai-hub/contract-review">
      <errorID xmlns="http://schemas.wps.cn/vas-ai-hub/contract-review">cda40715-8875-4962-9c7b-116c907184b6</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6E794BEE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8e2e86b2-dbf4-4d24-aad3-d44f9ed5d5ca</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36B55018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1a2f7b17-9d6f-42c3-b3d7-f3fc099471e6</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46382D8F</paraID>
      <start xmlns="http://schemas.wps.cn/vas-ai-hub/contract-review">76</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bc1e30be-c11c-4aab-a830-49c35fbce4d5</errorID>
      <errorWord xmlns="http://schemas.wps.cn/vas-ai-hub/contract-review">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7F7CB020</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3d13d50f-6666-4f67-bba1-463e63ead619</errorID>
      <errorWord xmlns="http://schemas.wps.cn/vas-ai-hub/contract-review">，加</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43EB2659</paraID>
      <start xmlns="http://schemas.wps.cn/vas-ai-hub/contract-review">26</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c89851b3-a2c5-4da1-8686-be63c4cc34e9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43EB2659</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3b6db4-4730-4cb6-bf41-d8a03625baf2}">
  <ds:schemaRefs/>
</ds:datastoreItem>
</file>

<file path=docProps/app.xml><?xml version="1.0" encoding="utf-8"?>
<Properties xmlns="http://schemas.openxmlformats.org/officeDocument/2006/extended-properties" xmlns:vt="http://schemas.openxmlformats.org/officeDocument/2006/docPropsVTypes">
  <Template>Normal.dotm</Template>
  <Pages>93</Pages>
  <Words>55773</Words>
  <Characters>61557</Characters>
  <Lines>0</Lines>
  <Paragraphs>0</Paragraphs>
  <TotalTime>12</TotalTime>
  <ScaleCrop>false</ScaleCrop>
  <LinksUpToDate>false</LinksUpToDate>
  <CharactersWithSpaces>62021</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2025-10-21T02:09:00Z</dcterms:created>
  <dc:creator>danli Li</dc:creator>
  <cp:lastModifiedBy>tcq</cp:lastModifiedBy>
  <dcterms:modified xsi:type="dcterms:W3CDTF">2025-11-21T15:32:13Z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D73EE34DF7358BC0490C20699228D6A3_43</vt:lpwstr>
  </property>
  <property fmtid="{D5CDD505-2E9C-101B-9397-08002B2CF9AE}" pid="4" name="KSOTemplateDocerSaveRecord">
    <vt:lpwstr>eyJoZGlkIjoiMDVlNWRkNTZhNzExOTdlMGM2M2M0OWEwMDVkODhkOGUiLCJ1c2VySWQiOiIxNTgwMzE3MTcxIn0=</vt:lpwstr>
  </property>
</Properties>
</file>