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color w:val="auto"/>
          <w:sz w:val="28"/>
          <w:szCs w:val="28"/>
          <w:highlight w:val="none"/>
        </w:rPr>
      </w:pPr>
    </w:p>
    <w:p>
      <w:pPr>
        <w:rPr>
          <w:rFonts w:ascii="华文仿宋" w:hAnsi="华文仿宋" w:eastAsia="华文仿宋"/>
          <w:color w:val="auto"/>
          <w:sz w:val="28"/>
          <w:szCs w:val="28"/>
          <w:highlight w:val="none"/>
        </w:rPr>
      </w:pPr>
    </w:p>
    <w:p>
      <w:pPr>
        <w:rPr>
          <w:rFonts w:ascii="华文仿宋" w:hAnsi="华文仿宋" w:eastAsia="华文仿宋"/>
          <w:color w:val="auto"/>
          <w:sz w:val="28"/>
          <w:szCs w:val="28"/>
          <w:highlight w:val="none"/>
        </w:rPr>
      </w:pPr>
    </w:p>
    <w:p>
      <w:pPr>
        <w:rPr>
          <w:rFonts w:ascii="华文仿宋" w:hAnsi="华文仿宋" w:eastAsia="华文仿宋"/>
          <w:color w:val="auto"/>
          <w:sz w:val="28"/>
          <w:szCs w:val="28"/>
          <w:highlight w:val="none"/>
        </w:rPr>
      </w:pPr>
    </w:p>
    <w:p>
      <w:pPr>
        <w:jc w:val="center"/>
        <w:rPr>
          <w:rFonts w:ascii="黑体" w:hAnsi="黑体" w:eastAsia="黑体"/>
          <w:b/>
          <w:bCs/>
          <w:color w:val="auto"/>
          <w:sz w:val="44"/>
          <w:szCs w:val="44"/>
          <w:highlight w:val="none"/>
        </w:rPr>
      </w:pPr>
      <w:r>
        <w:rPr>
          <w:rFonts w:hint="eastAsia" w:ascii="黑体" w:hAnsi="黑体" w:eastAsia="黑体"/>
          <w:b/>
          <w:bCs/>
          <w:color w:val="auto"/>
          <w:sz w:val="44"/>
          <w:szCs w:val="44"/>
          <w:highlight w:val="none"/>
        </w:rPr>
        <w:t>达州市通川区数字经济发展“十四五”规划</w:t>
      </w:r>
    </w:p>
    <w:p>
      <w:pPr>
        <w:jc w:val="center"/>
        <w:rPr>
          <w:rFonts w:ascii="黑体" w:hAnsi="黑体" w:eastAsia="黑体"/>
          <w:b/>
          <w:bCs/>
          <w:color w:val="auto"/>
          <w:sz w:val="44"/>
          <w:szCs w:val="44"/>
          <w:highlight w:val="none"/>
        </w:rPr>
      </w:pPr>
      <w:r>
        <w:rPr>
          <w:rFonts w:hint="eastAsia" w:ascii="黑体" w:hAnsi="黑体" w:eastAsia="黑体"/>
          <w:b/>
          <w:bCs/>
          <w:color w:val="auto"/>
          <w:sz w:val="44"/>
          <w:szCs w:val="44"/>
          <w:highlight w:val="none"/>
        </w:rPr>
        <w:t>（2</w:t>
      </w:r>
      <w:r>
        <w:rPr>
          <w:rFonts w:ascii="黑体" w:hAnsi="黑体" w:eastAsia="黑体"/>
          <w:b/>
          <w:bCs/>
          <w:color w:val="auto"/>
          <w:sz w:val="44"/>
          <w:szCs w:val="44"/>
          <w:highlight w:val="none"/>
        </w:rPr>
        <w:t>02</w:t>
      </w:r>
      <w:r>
        <w:rPr>
          <w:rFonts w:hint="eastAsia" w:ascii="黑体" w:hAnsi="黑体" w:eastAsia="黑体"/>
          <w:b/>
          <w:bCs/>
          <w:color w:val="auto"/>
          <w:sz w:val="44"/>
          <w:szCs w:val="44"/>
          <w:highlight w:val="none"/>
        </w:rPr>
        <w:t>1-</w:t>
      </w:r>
      <w:r>
        <w:rPr>
          <w:rFonts w:ascii="黑体" w:hAnsi="黑体" w:eastAsia="黑体"/>
          <w:b/>
          <w:bCs/>
          <w:color w:val="auto"/>
          <w:sz w:val="44"/>
          <w:szCs w:val="44"/>
          <w:highlight w:val="none"/>
        </w:rPr>
        <w:t>2025</w:t>
      </w:r>
      <w:r>
        <w:rPr>
          <w:rFonts w:hint="eastAsia" w:ascii="黑体" w:hAnsi="黑体" w:eastAsia="黑体"/>
          <w:b/>
          <w:bCs/>
          <w:color w:val="auto"/>
          <w:sz w:val="44"/>
          <w:szCs w:val="44"/>
          <w:highlight w:val="none"/>
        </w:rPr>
        <w:t>年）</w:t>
      </w:r>
    </w:p>
    <w:p>
      <w:pPr>
        <w:jc w:val="center"/>
        <w:rPr>
          <w:rFonts w:ascii="仿宋" w:hAnsi="仿宋" w:eastAsia="仿宋" w:cs="仿宋"/>
          <w:b/>
          <w:bCs/>
          <w:color w:val="auto"/>
          <w:sz w:val="28"/>
          <w:szCs w:val="28"/>
          <w:highlight w:val="none"/>
        </w:rPr>
      </w:pPr>
    </w:p>
    <w:p>
      <w:pPr>
        <w:jc w:val="center"/>
        <w:rPr>
          <w:rFonts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lang w:eastAsia="zh-CN"/>
        </w:rPr>
        <w:t>（</w:t>
      </w:r>
      <w:r>
        <w:rPr>
          <w:rFonts w:hint="eastAsia" w:ascii="楷体" w:hAnsi="楷体" w:eastAsia="楷体" w:cs="楷体"/>
          <w:b/>
          <w:bCs/>
          <w:color w:val="auto"/>
          <w:sz w:val="36"/>
          <w:szCs w:val="36"/>
          <w:highlight w:val="none"/>
        </w:rPr>
        <w:t>征求意见稿</w:t>
      </w:r>
      <w:r>
        <w:rPr>
          <w:rFonts w:hint="eastAsia" w:ascii="楷体" w:hAnsi="楷体" w:eastAsia="楷体" w:cs="楷体"/>
          <w:b/>
          <w:bCs/>
          <w:color w:val="auto"/>
          <w:sz w:val="36"/>
          <w:szCs w:val="36"/>
          <w:highlight w:val="none"/>
          <w:lang w:eastAsia="zh-CN"/>
        </w:rPr>
        <w:t>）</w:t>
      </w: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华文仿宋" w:hAnsi="华文仿宋" w:eastAsia="华文仿宋"/>
          <w:color w:val="auto"/>
          <w:sz w:val="28"/>
          <w:szCs w:val="28"/>
          <w:highlight w:val="none"/>
        </w:rPr>
      </w:pPr>
    </w:p>
    <w:p>
      <w:pPr>
        <w:jc w:val="center"/>
        <w:rPr>
          <w:rFonts w:ascii="黑体" w:hAnsi="黑体" w:eastAsia="黑体"/>
          <w:b/>
          <w:bCs/>
          <w:color w:val="auto"/>
          <w:sz w:val="28"/>
          <w:szCs w:val="28"/>
          <w:highlight w:val="none"/>
        </w:rPr>
      </w:pPr>
    </w:p>
    <w:p>
      <w:pPr>
        <w:jc w:val="center"/>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2</w:t>
      </w:r>
      <w:r>
        <w:rPr>
          <w:rFonts w:ascii="黑体" w:hAnsi="黑体" w:eastAsia="黑体"/>
          <w:b/>
          <w:bCs/>
          <w:color w:val="auto"/>
          <w:sz w:val="28"/>
          <w:szCs w:val="28"/>
          <w:highlight w:val="none"/>
        </w:rPr>
        <w:t>021</w:t>
      </w:r>
      <w:r>
        <w:rPr>
          <w:rFonts w:hint="eastAsia" w:ascii="黑体" w:hAnsi="黑体" w:eastAsia="黑体"/>
          <w:b/>
          <w:bCs/>
          <w:color w:val="auto"/>
          <w:sz w:val="28"/>
          <w:szCs w:val="28"/>
          <w:highlight w:val="none"/>
        </w:rPr>
        <w:t>年9月</w:t>
      </w:r>
    </w:p>
    <w:p>
      <w:pPr>
        <w:widowControl/>
        <w:rPr>
          <w:rFonts w:ascii="华文仿宋" w:hAnsi="华文仿宋" w:eastAsia="华文仿宋"/>
          <w:color w:val="auto"/>
          <w:sz w:val="28"/>
          <w:szCs w:val="28"/>
          <w:highlight w:val="none"/>
        </w:rPr>
      </w:pPr>
    </w:p>
    <w:sdt>
      <w:sdtPr>
        <w:rPr>
          <w:rFonts w:asciiTheme="minorHAnsi" w:hAnsiTheme="minorHAnsi" w:eastAsiaTheme="minorEastAsia" w:cstheme="minorBidi"/>
          <w:color w:val="auto"/>
          <w:kern w:val="2"/>
          <w:sz w:val="21"/>
          <w:szCs w:val="22"/>
          <w:highlight w:val="none"/>
          <w:lang w:val="zh-CN"/>
        </w:rPr>
        <w:id w:val="421067750"/>
        <w:docPartObj>
          <w:docPartGallery w:val="Table of Contents"/>
          <w:docPartUnique/>
        </w:docPartObj>
      </w:sdtPr>
      <w:sdtEndPr>
        <w:rPr>
          <w:rFonts w:ascii="仿宋" w:hAnsi="仿宋" w:eastAsia="仿宋" w:cstheme="minorBidi"/>
          <w:b/>
          <w:bCs/>
          <w:color w:val="auto"/>
          <w:kern w:val="2"/>
          <w:sz w:val="21"/>
          <w:szCs w:val="22"/>
          <w:highlight w:val="none"/>
          <w:lang w:val="zh-CN"/>
        </w:rPr>
      </w:sdtEndPr>
      <w:sdtContent>
        <w:p>
          <w:pPr>
            <w:pStyle w:val="14"/>
            <w:spacing w:line="240" w:lineRule="auto"/>
            <w:jc w:val="center"/>
            <w:rPr>
              <w:rFonts w:ascii="仿宋" w:hAnsi="仿宋" w:eastAsia="仿宋" w:cs="黑体"/>
              <w:b/>
              <w:bCs/>
              <w:color w:val="auto"/>
              <w:highlight w:val="none"/>
              <w:lang w:val="zh-CN"/>
            </w:rPr>
          </w:pPr>
          <w:r>
            <w:rPr>
              <w:rFonts w:hint="eastAsia" w:ascii="仿宋" w:hAnsi="仿宋" w:eastAsia="仿宋" w:cs="黑体"/>
              <w:b/>
              <w:bCs/>
              <w:color w:val="auto"/>
              <w:highlight w:val="none"/>
              <w:lang w:val="zh-CN"/>
            </w:rPr>
            <w:t>目</w:t>
          </w:r>
          <w:r>
            <w:rPr>
              <w:rFonts w:hint="eastAsia" w:ascii="仿宋" w:hAnsi="仿宋" w:eastAsia="仿宋" w:cs="黑体"/>
              <w:b/>
              <w:bCs/>
              <w:color w:val="auto"/>
              <w:highlight w:val="none"/>
            </w:rPr>
            <w:t xml:space="preserve">  </w:t>
          </w:r>
          <w:r>
            <w:rPr>
              <w:rFonts w:hint="eastAsia" w:ascii="仿宋" w:hAnsi="仿宋" w:eastAsia="仿宋" w:cs="黑体"/>
              <w:b/>
              <w:bCs/>
              <w:color w:val="auto"/>
              <w:highlight w:val="none"/>
              <w:lang w:val="zh-CN"/>
            </w:rPr>
            <w:t>录</w:t>
          </w:r>
        </w:p>
        <w:p>
          <w:pPr>
            <w:pStyle w:val="8"/>
            <w:rPr>
              <w:rFonts w:ascii="仿宋" w:hAnsi="仿宋" w:eastAsia="仿宋"/>
              <w:color w:val="auto"/>
              <w:highlight w:val="none"/>
            </w:rPr>
          </w:pPr>
          <w:r>
            <w:rPr>
              <w:rFonts w:ascii="仿宋" w:hAnsi="仿宋" w:eastAsia="仿宋"/>
              <w:color w:val="auto"/>
              <w:highlight w:val="none"/>
            </w:rPr>
            <w:fldChar w:fldCharType="begin"/>
          </w:r>
          <w:r>
            <w:rPr>
              <w:rFonts w:ascii="仿宋" w:hAnsi="仿宋" w:eastAsia="仿宋"/>
              <w:color w:val="auto"/>
              <w:highlight w:val="none"/>
            </w:rPr>
            <w:instrText xml:space="preserve"> TOC \o "1-3" \h \z \u </w:instrText>
          </w:r>
          <w:r>
            <w:rPr>
              <w:rFonts w:ascii="仿宋" w:hAnsi="仿宋" w:eastAsia="仿宋"/>
              <w:color w:val="auto"/>
              <w:highlight w:val="none"/>
            </w:rPr>
            <w:fldChar w:fldCharType="separate"/>
          </w:r>
          <w:r>
            <w:rPr>
              <w:color w:val="auto"/>
              <w:highlight w:val="none"/>
            </w:rPr>
            <w:fldChar w:fldCharType="begin"/>
          </w:r>
          <w:r>
            <w:rPr>
              <w:color w:val="auto"/>
              <w:highlight w:val="none"/>
            </w:rPr>
            <w:instrText xml:space="preserve"> HYPERLINK \l "_Toc81298628" </w:instrText>
          </w:r>
          <w:r>
            <w:rPr>
              <w:color w:val="auto"/>
              <w:highlight w:val="none"/>
            </w:rPr>
            <w:fldChar w:fldCharType="separate"/>
          </w:r>
          <w:r>
            <w:rPr>
              <w:rStyle w:val="13"/>
              <w:rFonts w:ascii="仿宋" w:hAnsi="仿宋" w:eastAsia="仿宋" w:cs="宋体"/>
              <w:color w:val="auto"/>
              <w:highlight w:val="none"/>
            </w:rPr>
            <w:t>一、背景形势</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_Toc81298628 \h </w:instrText>
          </w:r>
          <w:r>
            <w:rPr>
              <w:rFonts w:ascii="仿宋" w:hAnsi="仿宋" w:eastAsia="仿宋"/>
              <w:color w:val="auto"/>
              <w:highlight w:val="none"/>
            </w:rPr>
            <w:fldChar w:fldCharType="separate"/>
          </w:r>
          <w:r>
            <w:rPr>
              <w:rFonts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"_Toc81298629" </w:instrText>
          </w:r>
          <w:r>
            <w:rPr>
              <w:color w:val="auto"/>
              <w:highlight w:val="none"/>
            </w:rPr>
            <w:fldChar w:fldCharType="separate"/>
          </w:r>
          <w:r>
            <w:rPr>
              <w:rStyle w:val="13"/>
              <w:rFonts w:ascii="仿宋" w:hAnsi="仿宋" w:eastAsia="仿宋" w:cs="仿宋_GB2312"/>
              <w:color w:val="auto"/>
              <w:highlight w:val="none"/>
            </w:rPr>
            <w:t>（一）国内数字经济成为经济增长新引擎</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_Toc81298629 \h </w:instrText>
          </w:r>
          <w:r>
            <w:rPr>
              <w:rFonts w:ascii="仿宋" w:hAnsi="仿宋" w:eastAsia="仿宋"/>
              <w:color w:val="auto"/>
              <w:highlight w:val="none"/>
            </w:rPr>
            <w:fldChar w:fldCharType="separate"/>
          </w:r>
          <w:r>
            <w:rPr>
              <w:rFonts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"_Toc81298630" </w:instrText>
          </w:r>
          <w:r>
            <w:rPr>
              <w:color w:val="auto"/>
              <w:highlight w:val="none"/>
            </w:rPr>
            <w:fldChar w:fldCharType="separate"/>
          </w:r>
          <w:r>
            <w:rPr>
              <w:rStyle w:val="13"/>
              <w:rFonts w:ascii="仿宋" w:hAnsi="仿宋" w:eastAsia="仿宋" w:cs="仿宋_GB2312"/>
              <w:color w:val="auto"/>
              <w:highlight w:val="none"/>
            </w:rPr>
            <w:t>（二）四川省推进数字经济走向新阶段</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_Toc81298630 \h </w:instrText>
          </w:r>
          <w:r>
            <w:rPr>
              <w:rFonts w:ascii="仿宋" w:hAnsi="仿宋" w:eastAsia="仿宋"/>
              <w:color w:val="auto"/>
              <w:highlight w:val="none"/>
            </w:rPr>
            <w:fldChar w:fldCharType="separate"/>
          </w:r>
          <w:r>
            <w:rPr>
              <w:rFonts w:ascii="仿宋" w:hAnsi="仿宋" w:eastAsia="仿宋"/>
              <w:color w:val="auto"/>
              <w:highlight w:val="none"/>
            </w:rPr>
            <w:t>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"_Toc81298631" </w:instrText>
          </w:r>
          <w:r>
            <w:rPr>
              <w:color w:val="auto"/>
              <w:highlight w:val="none"/>
            </w:rPr>
            <w:fldChar w:fldCharType="separate"/>
          </w:r>
          <w:r>
            <w:rPr>
              <w:rStyle w:val="13"/>
              <w:rFonts w:ascii="仿宋" w:hAnsi="仿宋" w:eastAsia="仿宋" w:cs="仿宋_GB2312"/>
              <w:color w:val="auto"/>
              <w:highlight w:val="none"/>
            </w:rPr>
            <w:t>（三）达州市抢抓数字经济新机遇</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_Toc81298631 \h </w:instrText>
          </w:r>
          <w:r>
            <w:rPr>
              <w:rFonts w:ascii="仿宋" w:hAnsi="仿宋" w:eastAsia="仿宋"/>
              <w:color w:val="auto"/>
              <w:highlight w:val="none"/>
            </w:rPr>
            <w:fldChar w:fldCharType="separate"/>
          </w:r>
          <w:r>
            <w:rPr>
              <w:rFonts w:ascii="仿宋" w:hAnsi="仿宋" w:eastAsia="仿宋"/>
              <w:color w:val="auto"/>
              <w:highlight w:val="none"/>
            </w:rPr>
            <w:t>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"_Toc81298632" </w:instrText>
          </w:r>
          <w:r>
            <w:rPr>
              <w:color w:val="auto"/>
              <w:highlight w:val="none"/>
            </w:rPr>
            <w:fldChar w:fldCharType="separate"/>
          </w:r>
          <w:r>
            <w:rPr>
              <w:rStyle w:val="13"/>
              <w:rFonts w:ascii="仿宋" w:hAnsi="仿宋" w:eastAsia="仿宋" w:cs="仿宋_GB2312"/>
              <w:color w:val="auto"/>
              <w:highlight w:val="none"/>
            </w:rPr>
            <w:t>（四）数字经济成为通川区发展新动能</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_Toc81298632 \h </w:instrText>
          </w:r>
          <w:r>
            <w:rPr>
              <w:rFonts w:ascii="仿宋" w:hAnsi="仿宋" w:eastAsia="仿宋"/>
              <w:color w:val="auto"/>
              <w:highlight w:val="none"/>
            </w:rPr>
            <w:fldChar w:fldCharType="separate"/>
          </w:r>
          <w:r>
            <w:rPr>
              <w:rFonts w:ascii="仿宋" w:hAnsi="仿宋" w:eastAsia="仿宋"/>
              <w:color w:val="auto"/>
              <w:highlight w:val="none"/>
            </w:rPr>
            <w:t>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8"/>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"_Toc81298633" </w:instrText>
          </w:r>
          <w:r>
            <w:rPr>
              <w:color w:val="auto"/>
              <w:highlight w:val="none"/>
            </w:rPr>
            <w:fldChar w:fldCharType="separate"/>
          </w:r>
          <w:r>
            <w:rPr>
              <w:rStyle w:val="13"/>
              <w:rFonts w:ascii="仿宋" w:hAnsi="仿宋" w:eastAsia="仿宋" w:cs="宋体"/>
              <w:color w:val="auto"/>
              <w:highlight w:val="none"/>
            </w:rPr>
            <w:t>二、发展基础</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_Toc81298633 \h </w:instrText>
          </w:r>
          <w:r>
            <w:rPr>
              <w:rFonts w:ascii="仿宋" w:hAnsi="仿宋" w:eastAsia="仿宋"/>
              <w:color w:val="auto"/>
              <w:highlight w:val="none"/>
            </w:rPr>
            <w:fldChar w:fldCharType="separate"/>
          </w:r>
          <w:r>
            <w:rPr>
              <w:rFonts w:ascii="仿宋" w:hAnsi="仿宋" w:eastAsia="仿宋"/>
              <w:color w:val="auto"/>
              <w:highlight w:val="none"/>
            </w:rPr>
            <w:t>3</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"_Toc81298634" </w:instrText>
          </w:r>
          <w:r>
            <w:rPr>
              <w:color w:val="auto"/>
              <w:highlight w:val="none"/>
            </w:rPr>
            <w:fldChar w:fldCharType="separate"/>
          </w:r>
          <w:r>
            <w:rPr>
              <w:rStyle w:val="13"/>
              <w:rFonts w:ascii="仿宋" w:hAnsi="仿宋" w:eastAsia="仿宋" w:cs="仿宋_GB2312"/>
              <w:color w:val="auto"/>
              <w:highlight w:val="none"/>
            </w:rPr>
            <w:t>（一）发展现状</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_Toc81298634 \h </w:instrText>
          </w:r>
          <w:r>
            <w:rPr>
              <w:rFonts w:ascii="仿宋" w:hAnsi="仿宋" w:eastAsia="仿宋"/>
              <w:color w:val="auto"/>
              <w:highlight w:val="none"/>
            </w:rPr>
            <w:fldChar w:fldCharType="separate"/>
          </w:r>
          <w:r>
            <w:rPr>
              <w:rFonts w:ascii="仿宋" w:hAnsi="仿宋" w:eastAsia="仿宋"/>
              <w:color w:val="auto"/>
              <w:highlight w:val="none"/>
            </w:rPr>
            <w:t>3</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"_Toc81298635" </w:instrText>
          </w:r>
          <w:r>
            <w:rPr>
              <w:color w:val="auto"/>
              <w:highlight w:val="none"/>
            </w:rPr>
            <w:fldChar w:fldCharType="separate"/>
          </w:r>
          <w:r>
            <w:rPr>
              <w:rStyle w:val="13"/>
              <w:rFonts w:ascii="仿宋" w:hAnsi="仿宋" w:eastAsia="仿宋" w:cs="仿宋_GB2312"/>
              <w:color w:val="auto"/>
              <w:highlight w:val="none"/>
            </w:rPr>
            <w:t>（二）优势与机遇</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_Toc81298635 \h </w:instrText>
          </w:r>
          <w:r>
            <w:rPr>
              <w:rFonts w:ascii="仿宋" w:hAnsi="仿宋" w:eastAsia="仿宋"/>
              <w:color w:val="auto"/>
              <w:highlight w:val="none"/>
            </w:rPr>
            <w:fldChar w:fldCharType="separate"/>
          </w:r>
          <w:r>
            <w:rPr>
              <w:rFonts w:ascii="仿宋" w:hAnsi="仿宋" w:eastAsia="仿宋"/>
              <w:color w:val="auto"/>
              <w:highlight w:val="none"/>
            </w:rPr>
            <w:t>5</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"_Toc81298636" </w:instrText>
          </w:r>
          <w:r>
            <w:rPr>
              <w:color w:val="auto"/>
              <w:highlight w:val="none"/>
            </w:rPr>
            <w:fldChar w:fldCharType="separate"/>
          </w:r>
          <w:r>
            <w:rPr>
              <w:rStyle w:val="13"/>
              <w:rFonts w:ascii="仿宋" w:hAnsi="仿宋" w:eastAsia="仿宋" w:cs="仿宋_GB2312"/>
              <w:color w:val="auto"/>
              <w:highlight w:val="none"/>
            </w:rPr>
            <w:t>（三）问题与挑战</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_Toc81298636 \h </w:instrText>
          </w:r>
          <w:r>
            <w:rPr>
              <w:rFonts w:ascii="仿宋" w:hAnsi="仿宋" w:eastAsia="仿宋"/>
              <w:color w:val="auto"/>
              <w:highlight w:val="none"/>
            </w:rPr>
            <w:fldChar w:fldCharType="separate"/>
          </w:r>
          <w:r>
            <w:rPr>
              <w:rFonts w:ascii="仿宋" w:hAnsi="仿宋" w:eastAsia="仿宋"/>
              <w:color w:val="auto"/>
              <w:highlight w:val="none"/>
            </w:rPr>
            <w:t>6</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8"/>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"_Toc81298637" </w:instrText>
          </w:r>
          <w:r>
            <w:rPr>
              <w:color w:val="auto"/>
              <w:highlight w:val="none"/>
            </w:rPr>
            <w:fldChar w:fldCharType="separate"/>
          </w:r>
          <w:r>
            <w:rPr>
              <w:rStyle w:val="13"/>
              <w:rFonts w:ascii="仿宋" w:hAnsi="仿宋" w:eastAsia="仿宋" w:cs="宋体"/>
              <w:color w:val="auto"/>
              <w:highlight w:val="none"/>
            </w:rPr>
            <w:t>三、总体要求</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_Toc81298637 \h </w:instrText>
          </w:r>
          <w:r>
            <w:rPr>
              <w:rFonts w:ascii="仿宋" w:hAnsi="仿宋" w:eastAsia="仿宋"/>
              <w:color w:val="auto"/>
              <w:highlight w:val="none"/>
            </w:rPr>
            <w:fldChar w:fldCharType="separate"/>
          </w:r>
          <w:r>
            <w:rPr>
              <w:rFonts w:ascii="仿宋" w:hAnsi="仿宋" w:eastAsia="仿宋"/>
              <w:color w:val="auto"/>
              <w:highlight w:val="none"/>
            </w:rPr>
            <w:t>7</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"_Toc81298638" </w:instrText>
          </w:r>
          <w:r>
            <w:rPr>
              <w:color w:val="auto"/>
              <w:highlight w:val="none"/>
            </w:rPr>
            <w:fldChar w:fldCharType="separate"/>
          </w:r>
          <w:r>
            <w:rPr>
              <w:rStyle w:val="13"/>
              <w:rFonts w:ascii="仿宋" w:hAnsi="仿宋" w:eastAsia="仿宋" w:cs="仿宋_GB2312"/>
              <w:color w:val="auto"/>
              <w:highlight w:val="none"/>
            </w:rPr>
            <w:t>（一）指导思想</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_Toc81298638 \h </w:instrText>
          </w:r>
          <w:r>
            <w:rPr>
              <w:rFonts w:ascii="仿宋" w:hAnsi="仿宋" w:eastAsia="仿宋"/>
              <w:color w:val="auto"/>
              <w:highlight w:val="none"/>
            </w:rPr>
            <w:fldChar w:fldCharType="separate"/>
          </w:r>
          <w:r>
            <w:rPr>
              <w:rFonts w:ascii="仿宋" w:hAnsi="仿宋" w:eastAsia="仿宋"/>
              <w:color w:val="auto"/>
              <w:highlight w:val="none"/>
            </w:rPr>
            <w:t>7</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"_Toc81298639" </w:instrText>
          </w:r>
          <w:r>
            <w:rPr>
              <w:color w:val="auto"/>
              <w:highlight w:val="none"/>
            </w:rPr>
            <w:fldChar w:fldCharType="separate"/>
          </w:r>
          <w:r>
            <w:rPr>
              <w:rStyle w:val="13"/>
              <w:rFonts w:ascii="仿宋" w:hAnsi="仿宋" w:eastAsia="仿宋" w:cs="仿宋_GB2312"/>
              <w:color w:val="auto"/>
              <w:highlight w:val="none"/>
            </w:rPr>
            <w:t>（二）基本原则</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_Toc81298639 \h </w:instrText>
          </w:r>
          <w:r>
            <w:rPr>
              <w:rFonts w:ascii="仿宋" w:hAnsi="仿宋" w:eastAsia="仿宋"/>
              <w:color w:val="auto"/>
              <w:highlight w:val="none"/>
            </w:rPr>
            <w:fldChar w:fldCharType="separate"/>
          </w:r>
          <w:r>
            <w:rPr>
              <w:rFonts w:ascii="仿宋" w:hAnsi="仿宋" w:eastAsia="仿宋"/>
              <w:color w:val="auto"/>
              <w:highlight w:val="none"/>
            </w:rPr>
            <w:t>8</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"_Toc81298640" </w:instrText>
          </w:r>
          <w:r>
            <w:rPr>
              <w:color w:val="auto"/>
              <w:highlight w:val="none"/>
            </w:rPr>
            <w:fldChar w:fldCharType="separate"/>
          </w:r>
          <w:r>
            <w:rPr>
              <w:rStyle w:val="13"/>
              <w:rFonts w:ascii="仿宋" w:hAnsi="仿宋" w:eastAsia="仿宋" w:cs="仿宋_GB2312"/>
              <w:color w:val="auto"/>
              <w:highlight w:val="none"/>
            </w:rPr>
            <w:t>（三）总体思路</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_Toc81298640 \h </w:instrText>
          </w:r>
          <w:r>
            <w:rPr>
              <w:rFonts w:ascii="仿宋" w:hAnsi="仿宋" w:eastAsia="仿宋"/>
              <w:color w:val="auto"/>
              <w:highlight w:val="none"/>
            </w:rPr>
            <w:fldChar w:fldCharType="separate"/>
          </w:r>
          <w:r>
            <w:rPr>
              <w:rFonts w:ascii="仿宋" w:hAnsi="仿宋" w:eastAsia="仿宋"/>
              <w:color w:val="auto"/>
              <w:highlight w:val="none"/>
            </w:rPr>
            <w:t>8</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"_Toc81298641" </w:instrText>
          </w:r>
          <w:r>
            <w:rPr>
              <w:color w:val="auto"/>
              <w:highlight w:val="none"/>
            </w:rPr>
            <w:fldChar w:fldCharType="separate"/>
          </w:r>
          <w:r>
            <w:rPr>
              <w:rStyle w:val="13"/>
              <w:rFonts w:ascii="仿宋" w:hAnsi="仿宋" w:eastAsia="仿宋" w:cs="仿宋_GB2312"/>
              <w:color w:val="auto"/>
              <w:highlight w:val="none"/>
            </w:rPr>
            <w:t>（四）发展目标</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_Toc81298641 \h </w:instrText>
          </w:r>
          <w:r>
            <w:rPr>
              <w:rFonts w:ascii="仿宋" w:hAnsi="仿宋" w:eastAsia="仿宋"/>
              <w:color w:val="auto"/>
              <w:highlight w:val="none"/>
            </w:rPr>
            <w:fldChar w:fldCharType="separate"/>
          </w:r>
          <w:r>
            <w:rPr>
              <w:rFonts w:ascii="仿宋" w:hAnsi="仿宋" w:eastAsia="仿宋"/>
              <w:color w:val="auto"/>
              <w:highlight w:val="none"/>
            </w:rPr>
            <w:t>9</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8"/>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"_Toc81298642" </w:instrText>
          </w:r>
          <w:r>
            <w:rPr>
              <w:color w:val="auto"/>
              <w:highlight w:val="none"/>
            </w:rPr>
            <w:fldChar w:fldCharType="separate"/>
          </w:r>
          <w:r>
            <w:rPr>
              <w:rStyle w:val="13"/>
              <w:rFonts w:ascii="仿宋" w:hAnsi="仿宋" w:eastAsia="仿宋" w:cs="宋体"/>
              <w:color w:val="auto"/>
              <w:highlight w:val="none"/>
            </w:rPr>
            <w:t>四、主要任务</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_Toc81298642 \h </w:instrText>
          </w:r>
          <w:r>
            <w:rPr>
              <w:rFonts w:ascii="仿宋" w:hAnsi="仿宋" w:eastAsia="仿宋"/>
              <w:color w:val="auto"/>
              <w:highlight w:val="none"/>
            </w:rPr>
            <w:fldChar w:fldCharType="separate"/>
          </w:r>
          <w:r>
            <w:rPr>
              <w:rFonts w:ascii="仿宋" w:hAnsi="仿宋" w:eastAsia="仿宋"/>
              <w:color w:val="auto"/>
              <w:highlight w:val="none"/>
            </w:rPr>
            <w:t>12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"_Toc81298643" </w:instrText>
          </w:r>
          <w:r>
            <w:rPr>
              <w:color w:val="auto"/>
              <w:highlight w:val="none"/>
            </w:rPr>
            <w:fldChar w:fldCharType="separate"/>
          </w:r>
          <w:r>
            <w:rPr>
              <w:rStyle w:val="13"/>
              <w:rFonts w:ascii="仿宋" w:hAnsi="仿宋" w:eastAsia="仿宋" w:cs="仿宋_GB2312"/>
              <w:color w:val="auto"/>
              <w:highlight w:val="none"/>
            </w:rPr>
            <w:t>（一）壮大核心产业，取得数字产业化发展重大突破</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_Toc81298643 \h </w:instrText>
          </w:r>
          <w:r>
            <w:rPr>
              <w:rFonts w:ascii="仿宋" w:hAnsi="仿宋" w:eastAsia="仿宋"/>
              <w:color w:val="auto"/>
              <w:highlight w:val="none"/>
            </w:rPr>
            <w:fldChar w:fldCharType="separate"/>
          </w:r>
          <w:r>
            <w:rPr>
              <w:rFonts w:ascii="仿宋" w:hAnsi="仿宋" w:eastAsia="仿宋"/>
              <w:color w:val="auto"/>
              <w:highlight w:val="none"/>
            </w:rPr>
            <w:t>12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"_Toc81298644" </w:instrText>
          </w:r>
          <w:r>
            <w:rPr>
              <w:color w:val="auto"/>
              <w:highlight w:val="none"/>
            </w:rPr>
            <w:fldChar w:fldCharType="separate"/>
          </w:r>
          <w:r>
            <w:rPr>
              <w:rStyle w:val="13"/>
              <w:rFonts w:ascii="仿宋" w:hAnsi="仿宋" w:eastAsia="仿宋"/>
              <w:color w:val="auto"/>
              <w:highlight w:val="none"/>
            </w:rPr>
            <w:t>1. 大力发展智能设备装备制造产业</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_Toc81298644 \h </w:instrText>
          </w:r>
          <w:r>
            <w:rPr>
              <w:rFonts w:ascii="仿宋" w:hAnsi="仿宋" w:eastAsia="仿宋"/>
              <w:color w:val="auto"/>
              <w:highlight w:val="none"/>
            </w:rPr>
            <w:fldChar w:fldCharType="separate"/>
          </w:r>
          <w:r>
            <w:rPr>
              <w:rFonts w:ascii="仿宋" w:hAnsi="仿宋" w:eastAsia="仿宋"/>
              <w:color w:val="auto"/>
              <w:highlight w:val="none"/>
            </w:rPr>
            <w:t>12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"_Toc81298645" </w:instrText>
          </w:r>
          <w:r>
            <w:rPr>
              <w:color w:val="auto"/>
              <w:highlight w:val="none"/>
            </w:rPr>
            <w:fldChar w:fldCharType="separate"/>
          </w:r>
          <w:r>
            <w:rPr>
              <w:rStyle w:val="13"/>
              <w:rFonts w:ascii="仿宋" w:hAnsi="仿宋" w:eastAsia="仿宋"/>
              <w:color w:val="auto"/>
              <w:highlight w:val="none"/>
            </w:rPr>
            <w:t>2. 持续发展信息通信与新媒体产业</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_Toc81298645 \h </w:instrText>
          </w:r>
          <w:r>
            <w:rPr>
              <w:rFonts w:ascii="仿宋" w:hAnsi="仿宋" w:eastAsia="仿宋"/>
              <w:color w:val="auto"/>
              <w:highlight w:val="none"/>
            </w:rPr>
            <w:fldChar w:fldCharType="separate"/>
          </w:r>
          <w:r>
            <w:rPr>
              <w:rFonts w:ascii="仿宋" w:hAnsi="仿宋" w:eastAsia="仿宋"/>
              <w:color w:val="auto"/>
              <w:highlight w:val="none"/>
            </w:rPr>
            <w:t>12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"_Toc81298646" </w:instrText>
          </w:r>
          <w:r>
            <w:rPr>
              <w:color w:val="auto"/>
              <w:highlight w:val="none"/>
            </w:rPr>
            <w:fldChar w:fldCharType="separate"/>
          </w:r>
          <w:r>
            <w:rPr>
              <w:rStyle w:val="13"/>
              <w:rFonts w:ascii="仿宋" w:hAnsi="仿宋" w:eastAsia="仿宋"/>
              <w:color w:val="auto"/>
              <w:highlight w:val="none"/>
            </w:rPr>
            <w:t>3. 纵深推进新兴数字产业发展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_Toc81298646 \h </w:instrText>
          </w:r>
          <w:r>
            <w:rPr>
              <w:rFonts w:ascii="仿宋" w:hAnsi="仿宋" w:eastAsia="仿宋"/>
              <w:color w:val="auto"/>
              <w:highlight w:val="none"/>
            </w:rPr>
            <w:fldChar w:fldCharType="separate"/>
          </w:r>
          <w:r>
            <w:rPr>
              <w:rFonts w:ascii="仿宋" w:hAnsi="仿宋" w:eastAsia="仿宋"/>
              <w:color w:val="auto"/>
              <w:highlight w:val="none"/>
            </w:rPr>
            <w:t>13</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"_Toc81298647" </w:instrText>
          </w:r>
          <w:r>
            <w:rPr>
              <w:color w:val="auto"/>
              <w:highlight w:val="none"/>
            </w:rPr>
            <w:fldChar w:fldCharType="separate"/>
          </w:r>
          <w:r>
            <w:rPr>
              <w:rStyle w:val="13"/>
              <w:rFonts w:ascii="仿宋" w:hAnsi="仿宋" w:eastAsia="仿宋"/>
              <w:color w:val="auto"/>
              <w:highlight w:val="none"/>
            </w:rPr>
            <w:t>4. 推进引导新业态新模式发展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_Toc81298647 \h </w:instrText>
          </w:r>
          <w:r>
            <w:rPr>
              <w:rFonts w:ascii="仿宋" w:hAnsi="仿宋" w:eastAsia="仿宋"/>
              <w:color w:val="auto"/>
              <w:highlight w:val="none"/>
            </w:rPr>
            <w:fldChar w:fldCharType="separate"/>
          </w:r>
          <w:r>
            <w:rPr>
              <w:rFonts w:ascii="仿宋" w:hAnsi="仿宋" w:eastAsia="仿宋"/>
              <w:color w:val="auto"/>
              <w:highlight w:val="none"/>
            </w:rPr>
            <w:t>14</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"_Toc81298648" </w:instrText>
          </w:r>
          <w:r>
            <w:rPr>
              <w:color w:val="auto"/>
              <w:highlight w:val="none"/>
            </w:rPr>
            <w:fldChar w:fldCharType="separate"/>
          </w:r>
          <w:r>
            <w:rPr>
              <w:rStyle w:val="13"/>
              <w:rFonts w:ascii="仿宋" w:hAnsi="仿宋" w:eastAsia="仿宋" w:cs="仿宋_GB2312"/>
              <w:color w:val="auto"/>
              <w:highlight w:val="none"/>
            </w:rPr>
            <w:t>（二）秉承融合赋能，构建产业数字化转型新路径</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_Toc81298648 \h </w:instrText>
          </w:r>
          <w:r>
            <w:rPr>
              <w:rFonts w:ascii="仿宋" w:hAnsi="仿宋" w:eastAsia="仿宋"/>
              <w:color w:val="auto"/>
              <w:highlight w:val="none"/>
            </w:rPr>
            <w:fldChar w:fldCharType="separate"/>
          </w:r>
          <w:r>
            <w:rPr>
              <w:rFonts w:ascii="仿宋" w:hAnsi="仿宋" w:eastAsia="仿宋"/>
              <w:color w:val="auto"/>
              <w:highlight w:val="none"/>
            </w:rPr>
            <w:t>15</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"_Toc81298649" </w:instrText>
          </w:r>
          <w:r>
            <w:rPr>
              <w:color w:val="auto"/>
              <w:highlight w:val="none"/>
            </w:rPr>
            <w:fldChar w:fldCharType="separate"/>
          </w:r>
          <w:r>
            <w:rPr>
              <w:rStyle w:val="13"/>
              <w:rFonts w:ascii="仿宋" w:hAnsi="仿宋" w:eastAsia="仿宋"/>
              <w:color w:val="auto"/>
              <w:highlight w:val="none"/>
            </w:rPr>
            <w:t>1. 推进工业数字化转型升级</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_Toc81298649 \h </w:instrText>
          </w:r>
          <w:r>
            <w:rPr>
              <w:rFonts w:ascii="仿宋" w:hAnsi="仿宋" w:eastAsia="仿宋"/>
              <w:color w:val="auto"/>
              <w:highlight w:val="none"/>
            </w:rPr>
            <w:fldChar w:fldCharType="separate"/>
          </w:r>
          <w:r>
            <w:rPr>
              <w:rFonts w:ascii="仿宋" w:hAnsi="仿宋" w:eastAsia="仿宋"/>
              <w:color w:val="auto"/>
              <w:highlight w:val="none"/>
            </w:rPr>
            <w:t>15</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"_Toc81298650" </w:instrText>
          </w:r>
          <w:r>
            <w:rPr>
              <w:color w:val="auto"/>
              <w:highlight w:val="none"/>
            </w:rPr>
            <w:fldChar w:fldCharType="separate"/>
          </w:r>
          <w:r>
            <w:rPr>
              <w:rStyle w:val="13"/>
              <w:rFonts w:ascii="仿宋" w:hAnsi="仿宋" w:eastAsia="仿宋"/>
              <w:color w:val="auto"/>
              <w:highlight w:val="none"/>
            </w:rPr>
            <w:t>2. 提升本地特色农业数字化水平</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_Toc81298650 \h </w:instrText>
          </w:r>
          <w:r>
            <w:rPr>
              <w:rFonts w:ascii="仿宋" w:hAnsi="仿宋" w:eastAsia="仿宋"/>
              <w:color w:val="auto"/>
              <w:highlight w:val="none"/>
            </w:rPr>
            <w:fldChar w:fldCharType="separate"/>
          </w:r>
          <w:r>
            <w:rPr>
              <w:rFonts w:ascii="仿宋" w:hAnsi="仿宋" w:eastAsia="仿宋"/>
              <w:color w:val="auto"/>
              <w:highlight w:val="none"/>
            </w:rPr>
            <w:t>16</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"_Toc81298651" </w:instrText>
          </w:r>
          <w:r>
            <w:rPr>
              <w:color w:val="auto"/>
              <w:highlight w:val="none"/>
            </w:rPr>
            <w:fldChar w:fldCharType="separate"/>
          </w:r>
          <w:r>
            <w:rPr>
              <w:rStyle w:val="13"/>
              <w:rFonts w:ascii="仿宋" w:hAnsi="仿宋" w:eastAsia="仿宋"/>
              <w:color w:val="auto"/>
              <w:highlight w:val="none"/>
            </w:rPr>
            <w:t>3. 助力现代服务业提质发展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_Toc81298651 \h </w:instrText>
          </w:r>
          <w:r>
            <w:rPr>
              <w:rFonts w:ascii="仿宋" w:hAnsi="仿宋" w:eastAsia="仿宋"/>
              <w:color w:val="auto"/>
              <w:highlight w:val="none"/>
            </w:rPr>
            <w:fldChar w:fldCharType="separate"/>
          </w:r>
          <w:r>
            <w:rPr>
              <w:rFonts w:ascii="仿宋" w:hAnsi="仿宋" w:eastAsia="仿宋"/>
              <w:color w:val="auto"/>
              <w:highlight w:val="none"/>
            </w:rPr>
            <w:t>17</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"_Toc81298652" </w:instrText>
          </w:r>
          <w:r>
            <w:rPr>
              <w:color w:val="auto"/>
              <w:highlight w:val="none"/>
            </w:rPr>
            <w:fldChar w:fldCharType="separate"/>
          </w:r>
          <w:r>
            <w:rPr>
              <w:rStyle w:val="13"/>
              <w:rFonts w:ascii="仿宋" w:hAnsi="仿宋" w:eastAsia="仿宋" w:cs="仿宋_GB2312"/>
              <w:color w:val="auto"/>
              <w:highlight w:val="none"/>
            </w:rPr>
            <w:t>（三）坚持以人为本，推进数字治理高质量变革</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_Toc81298652 \h </w:instrText>
          </w:r>
          <w:r>
            <w:rPr>
              <w:rFonts w:ascii="仿宋" w:hAnsi="仿宋" w:eastAsia="仿宋"/>
              <w:color w:val="auto"/>
              <w:highlight w:val="none"/>
            </w:rPr>
            <w:fldChar w:fldCharType="separate"/>
          </w:r>
          <w:r>
            <w:rPr>
              <w:rFonts w:ascii="仿宋" w:hAnsi="仿宋" w:eastAsia="仿宋"/>
              <w:color w:val="auto"/>
              <w:highlight w:val="none"/>
            </w:rPr>
            <w:t>19</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"_Toc81298653" </w:instrText>
          </w:r>
          <w:r>
            <w:rPr>
              <w:color w:val="auto"/>
              <w:highlight w:val="none"/>
            </w:rPr>
            <w:fldChar w:fldCharType="separate"/>
          </w:r>
          <w:r>
            <w:rPr>
              <w:rStyle w:val="13"/>
              <w:rFonts w:ascii="仿宋" w:hAnsi="仿宋" w:eastAsia="仿宋"/>
              <w:color w:val="auto"/>
              <w:highlight w:val="none"/>
            </w:rPr>
            <w:t>1. 纵深推进一体化数字政府建设</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_Toc81298653 \h </w:instrText>
          </w:r>
          <w:r>
            <w:rPr>
              <w:rFonts w:ascii="仿宋" w:hAnsi="仿宋" w:eastAsia="仿宋"/>
              <w:color w:val="auto"/>
              <w:highlight w:val="none"/>
            </w:rPr>
            <w:fldChar w:fldCharType="separate"/>
          </w:r>
          <w:r>
            <w:rPr>
              <w:rFonts w:ascii="仿宋" w:hAnsi="仿宋" w:eastAsia="仿宋"/>
              <w:color w:val="auto"/>
              <w:highlight w:val="none"/>
            </w:rPr>
            <w:t>19</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"_Toc81298654" </w:instrText>
          </w:r>
          <w:r>
            <w:rPr>
              <w:color w:val="auto"/>
              <w:highlight w:val="none"/>
            </w:rPr>
            <w:fldChar w:fldCharType="separate"/>
          </w:r>
          <w:r>
            <w:rPr>
              <w:rStyle w:val="13"/>
              <w:rFonts w:ascii="仿宋" w:hAnsi="仿宋" w:eastAsia="仿宋"/>
              <w:color w:val="auto"/>
              <w:highlight w:val="none"/>
            </w:rPr>
            <w:t>2. 加快实现城乡协同治理</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_Toc81298654 \h </w:instrText>
          </w:r>
          <w:r>
            <w:rPr>
              <w:rFonts w:ascii="仿宋" w:hAnsi="仿宋" w:eastAsia="仿宋"/>
              <w:color w:val="auto"/>
              <w:highlight w:val="none"/>
            </w:rPr>
            <w:fldChar w:fldCharType="separate"/>
          </w:r>
          <w:r>
            <w:rPr>
              <w:rFonts w:ascii="仿宋" w:hAnsi="仿宋" w:eastAsia="仿宋"/>
              <w:color w:val="auto"/>
              <w:highlight w:val="none"/>
            </w:rPr>
            <w:t>21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"_Toc81298655" </w:instrText>
          </w:r>
          <w:r>
            <w:rPr>
              <w:color w:val="auto"/>
              <w:highlight w:val="none"/>
            </w:rPr>
            <w:fldChar w:fldCharType="separate"/>
          </w:r>
          <w:r>
            <w:rPr>
              <w:rStyle w:val="13"/>
              <w:rFonts w:ascii="仿宋" w:hAnsi="仿宋" w:eastAsia="仿宋"/>
              <w:color w:val="auto"/>
              <w:highlight w:val="none"/>
            </w:rPr>
            <w:t>3. 提升民生服务数字化水平</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_Toc81298655 \h </w:instrText>
          </w:r>
          <w:r>
            <w:rPr>
              <w:rFonts w:ascii="仿宋" w:hAnsi="仿宋" w:eastAsia="仿宋"/>
              <w:color w:val="auto"/>
              <w:highlight w:val="none"/>
            </w:rPr>
            <w:fldChar w:fldCharType="separate"/>
          </w:r>
          <w:r>
            <w:rPr>
              <w:rFonts w:ascii="仿宋" w:hAnsi="仿宋" w:eastAsia="仿宋"/>
              <w:color w:val="auto"/>
              <w:highlight w:val="none"/>
            </w:rPr>
            <w:t>24</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"_Toc81298656" </w:instrText>
          </w:r>
          <w:r>
            <w:rPr>
              <w:color w:val="auto"/>
              <w:highlight w:val="none"/>
            </w:rPr>
            <w:fldChar w:fldCharType="separate"/>
          </w:r>
          <w:r>
            <w:rPr>
              <w:rStyle w:val="13"/>
              <w:rFonts w:ascii="仿宋" w:hAnsi="仿宋" w:eastAsia="仿宋" w:cs="仿宋_GB2312"/>
              <w:color w:val="auto"/>
              <w:highlight w:val="none"/>
            </w:rPr>
            <w:t>（四） 优化产业生态，助力数字经济全面发展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_Toc81298656 \h </w:instrText>
          </w:r>
          <w:r>
            <w:rPr>
              <w:rFonts w:ascii="仿宋" w:hAnsi="仿宋" w:eastAsia="仿宋"/>
              <w:color w:val="auto"/>
              <w:highlight w:val="none"/>
            </w:rPr>
            <w:fldChar w:fldCharType="separate"/>
          </w:r>
          <w:r>
            <w:rPr>
              <w:rFonts w:ascii="仿宋" w:hAnsi="仿宋" w:eastAsia="仿宋"/>
              <w:color w:val="auto"/>
              <w:highlight w:val="none"/>
            </w:rPr>
            <w:t>26</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"_Toc81298657" </w:instrText>
          </w:r>
          <w:r>
            <w:rPr>
              <w:color w:val="auto"/>
              <w:highlight w:val="none"/>
            </w:rPr>
            <w:fldChar w:fldCharType="separate"/>
          </w:r>
          <w:r>
            <w:rPr>
              <w:rStyle w:val="13"/>
              <w:rFonts w:ascii="仿宋" w:hAnsi="仿宋" w:eastAsia="仿宋"/>
              <w:color w:val="auto"/>
              <w:highlight w:val="none"/>
            </w:rPr>
            <w:t>1. 探索产业集群发展</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_Toc81298657 \h </w:instrText>
          </w:r>
          <w:r>
            <w:rPr>
              <w:rFonts w:ascii="仿宋" w:hAnsi="仿宋" w:eastAsia="仿宋"/>
              <w:color w:val="auto"/>
              <w:highlight w:val="none"/>
            </w:rPr>
            <w:fldChar w:fldCharType="separate"/>
          </w:r>
          <w:r>
            <w:rPr>
              <w:rFonts w:ascii="仿宋" w:hAnsi="仿宋" w:eastAsia="仿宋"/>
              <w:color w:val="auto"/>
              <w:highlight w:val="none"/>
            </w:rPr>
            <w:t>26</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"_Toc81298658" </w:instrText>
          </w:r>
          <w:r>
            <w:rPr>
              <w:color w:val="auto"/>
              <w:highlight w:val="none"/>
            </w:rPr>
            <w:fldChar w:fldCharType="separate"/>
          </w:r>
          <w:r>
            <w:rPr>
              <w:rStyle w:val="13"/>
              <w:rFonts w:ascii="仿宋" w:hAnsi="仿宋" w:eastAsia="仿宋"/>
              <w:color w:val="auto"/>
              <w:highlight w:val="none"/>
            </w:rPr>
            <w:t>2. 持续优化营商环境</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_Toc81298658 \h </w:instrText>
          </w:r>
          <w:r>
            <w:rPr>
              <w:rFonts w:ascii="仿宋" w:hAnsi="仿宋" w:eastAsia="仿宋"/>
              <w:color w:val="auto"/>
              <w:highlight w:val="none"/>
            </w:rPr>
            <w:fldChar w:fldCharType="separate"/>
          </w:r>
          <w:r>
            <w:rPr>
              <w:rFonts w:ascii="仿宋" w:hAnsi="仿宋" w:eastAsia="仿宋"/>
              <w:color w:val="auto"/>
              <w:highlight w:val="none"/>
            </w:rPr>
            <w:t>27</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"_Toc81298659" </w:instrText>
          </w:r>
          <w:r>
            <w:rPr>
              <w:color w:val="auto"/>
              <w:highlight w:val="none"/>
            </w:rPr>
            <w:fldChar w:fldCharType="separate"/>
          </w:r>
          <w:r>
            <w:rPr>
              <w:rStyle w:val="13"/>
              <w:rFonts w:ascii="仿宋" w:hAnsi="仿宋" w:eastAsia="仿宋"/>
              <w:color w:val="auto"/>
              <w:highlight w:val="none"/>
            </w:rPr>
            <w:t>3. 提升开放合作实效</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_Toc81298659 \h </w:instrText>
          </w:r>
          <w:r>
            <w:rPr>
              <w:rFonts w:ascii="仿宋" w:hAnsi="仿宋" w:eastAsia="仿宋"/>
              <w:color w:val="auto"/>
              <w:highlight w:val="none"/>
            </w:rPr>
            <w:fldChar w:fldCharType="separate"/>
          </w:r>
          <w:r>
            <w:rPr>
              <w:rFonts w:ascii="仿宋" w:hAnsi="仿宋" w:eastAsia="仿宋"/>
              <w:color w:val="auto"/>
              <w:highlight w:val="none"/>
            </w:rPr>
            <w:t>28</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"_Toc81298660" </w:instrText>
          </w:r>
          <w:r>
            <w:rPr>
              <w:color w:val="auto"/>
              <w:highlight w:val="none"/>
            </w:rPr>
            <w:fldChar w:fldCharType="separate"/>
          </w:r>
          <w:r>
            <w:rPr>
              <w:rStyle w:val="13"/>
              <w:rFonts w:ascii="仿宋" w:hAnsi="仿宋" w:eastAsia="仿宋" w:cs="仿宋_GB2312"/>
              <w:color w:val="auto"/>
              <w:highlight w:val="none"/>
            </w:rPr>
            <w:t>（五）发挥数字牵引，夯实数字基础设施建设</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_Toc81298660 \h </w:instrText>
          </w:r>
          <w:r>
            <w:rPr>
              <w:rFonts w:ascii="仿宋" w:hAnsi="仿宋" w:eastAsia="仿宋"/>
              <w:color w:val="auto"/>
              <w:highlight w:val="none"/>
            </w:rPr>
            <w:fldChar w:fldCharType="separate"/>
          </w:r>
          <w:r>
            <w:rPr>
              <w:rFonts w:ascii="仿宋" w:hAnsi="仿宋" w:eastAsia="仿宋"/>
              <w:color w:val="auto"/>
              <w:highlight w:val="none"/>
            </w:rPr>
            <w:t>30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"_Toc81298661" </w:instrText>
          </w:r>
          <w:r>
            <w:rPr>
              <w:color w:val="auto"/>
              <w:highlight w:val="none"/>
            </w:rPr>
            <w:fldChar w:fldCharType="separate"/>
          </w:r>
          <w:r>
            <w:rPr>
              <w:rStyle w:val="13"/>
              <w:rFonts w:ascii="仿宋" w:hAnsi="仿宋" w:eastAsia="仿宋"/>
              <w:color w:val="auto"/>
              <w:highlight w:val="none"/>
            </w:rPr>
            <w:t>1. 加快通信网络基础设施建设</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_Toc81298661 \h </w:instrText>
          </w:r>
          <w:r>
            <w:rPr>
              <w:rFonts w:ascii="仿宋" w:hAnsi="仿宋" w:eastAsia="仿宋"/>
              <w:color w:val="auto"/>
              <w:highlight w:val="none"/>
            </w:rPr>
            <w:fldChar w:fldCharType="separate"/>
          </w:r>
          <w:r>
            <w:rPr>
              <w:rFonts w:ascii="仿宋" w:hAnsi="仿宋" w:eastAsia="仿宋"/>
              <w:color w:val="auto"/>
              <w:highlight w:val="none"/>
            </w:rPr>
            <w:t>30</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"_Toc81298662" </w:instrText>
          </w:r>
          <w:r>
            <w:rPr>
              <w:color w:val="auto"/>
              <w:highlight w:val="none"/>
            </w:rPr>
            <w:fldChar w:fldCharType="separate"/>
          </w:r>
          <w:r>
            <w:rPr>
              <w:rStyle w:val="13"/>
              <w:rFonts w:ascii="仿宋" w:hAnsi="仿宋" w:eastAsia="仿宋"/>
              <w:color w:val="auto"/>
              <w:highlight w:val="none"/>
            </w:rPr>
            <w:t>2. 开展新技术基础设施建设</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_Toc81298662 \h </w:instrText>
          </w:r>
          <w:r>
            <w:rPr>
              <w:rFonts w:ascii="仿宋" w:hAnsi="仿宋" w:eastAsia="仿宋"/>
              <w:color w:val="auto"/>
              <w:highlight w:val="none"/>
            </w:rPr>
            <w:fldChar w:fldCharType="separate"/>
          </w:r>
          <w:r>
            <w:rPr>
              <w:rFonts w:ascii="仿宋" w:hAnsi="仿宋" w:eastAsia="仿宋"/>
              <w:color w:val="auto"/>
              <w:highlight w:val="none"/>
            </w:rPr>
            <w:t>31</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"_Toc81298663" </w:instrText>
          </w:r>
          <w:r>
            <w:rPr>
              <w:color w:val="auto"/>
              <w:highlight w:val="none"/>
            </w:rPr>
            <w:fldChar w:fldCharType="separate"/>
          </w:r>
          <w:r>
            <w:rPr>
              <w:rStyle w:val="13"/>
              <w:rFonts w:ascii="仿宋" w:hAnsi="仿宋" w:eastAsia="仿宋"/>
              <w:color w:val="auto"/>
              <w:highlight w:val="none"/>
            </w:rPr>
            <w:t>3. 布局新型数字基础设施建设</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_Toc81298663 \h </w:instrText>
          </w:r>
          <w:r>
            <w:rPr>
              <w:rFonts w:ascii="仿宋" w:hAnsi="仿宋" w:eastAsia="仿宋"/>
              <w:color w:val="auto"/>
              <w:highlight w:val="none"/>
            </w:rPr>
            <w:fldChar w:fldCharType="separate"/>
          </w:r>
          <w:r>
            <w:rPr>
              <w:rFonts w:ascii="仿宋" w:hAnsi="仿宋" w:eastAsia="仿宋"/>
              <w:color w:val="auto"/>
              <w:highlight w:val="none"/>
            </w:rPr>
            <w:t>32</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6"/>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"_Toc81298664" </w:instrText>
          </w:r>
          <w:r>
            <w:rPr>
              <w:color w:val="auto"/>
              <w:highlight w:val="none"/>
            </w:rPr>
            <w:fldChar w:fldCharType="separate"/>
          </w:r>
          <w:r>
            <w:rPr>
              <w:rStyle w:val="13"/>
              <w:rFonts w:ascii="仿宋" w:hAnsi="仿宋" w:eastAsia="仿宋"/>
              <w:color w:val="auto"/>
              <w:highlight w:val="none"/>
            </w:rPr>
            <w:t>4. 构建数字经济安全体系</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_Toc81298664 \h </w:instrText>
          </w:r>
          <w:r>
            <w:rPr>
              <w:rFonts w:ascii="仿宋" w:hAnsi="仿宋" w:eastAsia="仿宋"/>
              <w:color w:val="auto"/>
              <w:highlight w:val="none"/>
            </w:rPr>
            <w:fldChar w:fldCharType="separate"/>
          </w:r>
          <w:r>
            <w:rPr>
              <w:rFonts w:ascii="仿宋" w:hAnsi="仿宋" w:eastAsia="仿宋"/>
              <w:color w:val="auto"/>
              <w:highlight w:val="none"/>
            </w:rPr>
            <w:t>33</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8"/>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"_Toc81298665" </w:instrText>
          </w:r>
          <w:r>
            <w:rPr>
              <w:color w:val="auto"/>
              <w:highlight w:val="none"/>
            </w:rPr>
            <w:fldChar w:fldCharType="separate"/>
          </w:r>
          <w:r>
            <w:rPr>
              <w:rStyle w:val="13"/>
              <w:rFonts w:ascii="仿宋" w:hAnsi="仿宋" w:eastAsia="仿宋" w:cs="宋体"/>
              <w:color w:val="auto"/>
              <w:highlight w:val="none"/>
            </w:rPr>
            <w:t>五、保障措施</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_Toc81298665 \h </w:instrText>
          </w:r>
          <w:r>
            <w:rPr>
              <w:rFonts w:ascii="仿宋" w:hAnsi="仿宋" w:eastAsia="仿宋"/>
              <w:color w:val="auto"/>
              <w:highlight w:val="none"/>
            </w:rPr>
            <w:fldChar w:fldCharType="separate"/>
          </w:r>
          <w:r>
            <w:rPr>
              <w:rFonts w:ascii="仿宋" w:hAnsi="仿宋" w:eastAsia="仿宋"/>
              <w:color w:val="auto"/>
              <w:highlight w:val="none"/>
            </w:rPr>
            <w:t>34</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"_Toc81298666" </w:instrText>
          </w:r>
          <w:r>
            <w:rPr>
              <w:color w:val="auto"/>
              <w:highlight w:val="none"/>
            </w:rPr>
            <w:fldChar w:fldCharType="separate"/>
          </w:r>
          <w:r>
            <w:rPr>
              <w:rStyle w:val="13"/>
              <w:rFonts w:ascii="仿宋" w:hAnsi="仿宋" w:eastAsia="仿宋" w:cs="仿宋_GB2312"/>
              <w:color w:val="auto"/>
              <w:highlight w:val="none"/>
            </w:rPr>
            <w:t>（一）加强组织保障</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_Toc81298666 \h </w:instrText>
          </w:r>
          <w:r>
            <w:rPr>
              <w:rFonts w:ascii="仿宋" w:hAnsi="仿宋" w:eastAsia="仿宋"/>
              <w:color w:val="auto"/>
              <w:highlight w:val="none"/>
            </w:rPr>
            <w:fldChar w:fldCharType="separate"/>
          </w:r>
          <w:r>
            <w:rPr>
              <w:rFonts w:ascii="仿宋" w:hAnsi="仿宋" w:eastAsia="仿宋"/>
              <w:color w:val="auto"/>
              <w:highlight w:val="none"/>
            </w:rPr>
            <w:t>34</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"_Toc81298667" </w:instrText>
          </w:r>
          <w:r>
            <w:rPr>
              <w:color w:val="auto"/>
              <w:highlight w:val="none"/>
            </w:rPr>
            <w:fldChar w:fldCharType="separate"/>
          </w:r>
          <w:r>
            <w:rPr>
              <w:rStyle w:val="13"/>
              <w:rFonts w:ascii="仿宋" w:hAnsi="仿宋" w:eastAsia="仿宋" w:cs="仿宋_GB2312"/>
              <w:color w:val="auto"/>
              <w:highlight w:val="none"/>
            </w:rPr>
            <w:t>（二）强化财政支持</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_Toc81298667 \h </w:instrText>
          </w:r>
          <w:r>
            <w:rPr>
              <w:rFonts w:ascii="仿宋" w:hAnsi="仿宋" w:eastAsia="仿宋"/>
              <w:color w:val="auto"/>
              <w:highlight w:val="none"/>
            </w:rPr>
            <w:fldChar w:fldCharType="separate"/>
          </w:r>
          <w:r>
            <w:rPr>
              <w:rFonts w:ascii="仿宋" w:hAnsi="仿宋" w:eastAsia="仿宋"/>
              <w:color w:val="auto"/>
              <w:highlight w:val="none"/>
            </w:rPr>
            <w:t>34</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"_Toc81298668" </w:instrText>
          </w:r>
          <w:r>
            <w:rPr>
              <w:color w:val="auto"/>
              <w:highlight w:val="none"/>
            </w:rPr>
            <w:fldChar w:fldCharType="separate"/>
          </w:r>
          <w:r>
            <w:rPr>
              <w:rStyle w:val="13"/>
              <w:rFonts w:ascii="仿宋" w:hAnsi="仿宋" w:eastAsia="仿宋" w:cs="仿宋_GB2312"/>
              <w:color w:val="auto"/>
              <w:highlight w:val="none"/>
            </w:rPr>
            <w:t>（三）夯实人才队伍</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_Toc81298668 \h </w:instrText>
          </w:r>
          <w:r>
            <w:rPr>
              <w:rFonts w:ascii="仿宋" w:hAnsi="仿宋" w:eastAsia="仿宋"/>
              <w:color w:val="auto"/>
              <w:highlight w:val="none"/>
            </w:rPr>
            <w:fldChar w:fldCharType="separate"/>
          </w:r>
          <w:r>
            <w:rPr>
              <w:rFonts w:ascii="仿宋" w:hAnsi="仿宋" w:eastAsia="仿宋"/>
              <w:color w:val="auto"/>
              <w:highlight w:val="none"/>
            </w:rPr>
            <w:t>35</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9"/>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"_Toc81298669" </w:instrText>
          </w:r>
          <w:r>
            <w:rPr>
              <w:color w:val="auto"/>
              <w:highlight w:val="none"/>
            </w:rPr>
            <w:fldChar w:fldCharType="separate"/>
          </w:r>
          <w:r>
            <w:rPr>
              <w:rStyle w:val="13"/>
              <w:rFonts w:ascii="仿宋" w:hAnsi="仿宋" w:eastAsia="仿宋" w:cs="仿宋_GB2312"/>
              <w:color w:val="auto"/>
              <w:highlight w:val="none"/>
            </w:rPr>
            <w:t>（四）优化发展环境</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_Toc81298669 \h </w:instrText>
          </w:r>
          <w:r>
            <w:rPr>
              <w:rFonts w:ascii="仿宋" w:hAnsi="仿宋" w:eastAsia="仿宋"/>
              <w:color w:val="auto"/>
              <w:highlight w:val="none"/>
            </w:rPr>
            <w:fldChar w:fldCharType="separate"/>
          </w:r>
          <w:r>
            <w:rPr>
              <w:rFonts w:ascii="仿宋" w:hAnsi="仿宋" w:eastAsia="仿宋"/>
              <w:color w:val="auto"/>
              <w:highlight w:val="none"/>
            </w:rPr>
            <w:t>35</w:t>
          </w:r>
          <w:r>
            <w:rPr>
              <w:rFonts w:ascii="仿宋" w:hAnsi="仿宋" w:eastAsia="仿宋"/>
              <w:color w:val="auto"/>
              <w:highlight w:val="none"/>
            </w:rPr>
            <w:fldChar w:fldCharType="end"/>
          </w:r>
          <w:r>
            <w:rPr>
              <w:rFonts w:ascii="仿宋" w:hAnsi="仿宋" w:eastAsia="仿宋"/>
              <w:color w:val="auto"/>
              <w:highlight w:val="none"/>
            </w:rPr>
            <w:fldChar w:fldCharType="end"/>
          </w:r>
        </w:p>
        <w:p>
          <w:pPr>
            <w:pStyle w:val="8"/>
            <w:rPr>
              <w:rFonts w:ascii="仿宋" w:hAnsi="仿宋" w:eastAsia="仿宋"/>
              <w:color w:val="auto"/>
              <w:highlight w:val="none"/>
            </w:rPr>
          </w:pPr>
          <w:r>
            <w:rPr>
              <w:color w:val="auto"/>
              <w:highlight w:val="none"/>
            </w:rPr>
            <w:fldChar w:fldCharType="begin"/>
          </w:r>
          <w:r>
            <w:rPr>
              <w:color w:val="auto"/>
              <w:highlight w:val="none"/>
            </w:rPr>
            <w:instrText xml:space="preserve"> HYPERLINK \l "_Toc81298670" </w:instrText>
          </w:r>
          <w:r>
            <w:rPr>
              <w:color w:val="auto"/>
              <w:highlight w:val="none"/>
            </w:rPr>
            <w:fldChar w:fldCharType="separate"/>
          </w:r>
          <w:r>
            <w:rPr>
              <w:rStyle w:val="13"/>
              <w:rFonts w:ascii="仿宋" w:hAnsi="仿宋" w:eastAsia="仿宋"/>
              <w:color w:val="auto"/>
              <w:highlight w:val="none"/>
            </w:rPr>
            <w:t>附录1：通川区数字经济重大建设项目</w:t>
          </w:r>
          <w:r>
            <w:rPr>
              <w:rFonts w:ascii="仿宋" w:hAnsi="仿宋" w:eastAsia="仿宋"/>
              <w:color w:val="auto"/>
              <w:highlight w:val="none"/>
            </w:rPr>
            <w:tab/>
          </w:r>
          <w:r>
            <w:rPr>
              <w:rFonts w:ascii="仿宋" w:hAnsi="仿宋" w:eastAsia="仿宋"/>
              <w:color w:val="auto"/>
              <w:highlight w:val="none"/>
            </w:rPr>
            <w:fldChar w:fldCharType="begin"/>
          </w:r>
          <w:r>
            <w:rPr>
              <w:rFonts w:ascii="仿宋" w:hAnsi="仿宋" w:eastAsia="仿宋"/>
              <w:color w:val="auto"/>
              <w:highlight w:val="none"/>
            </w:rPr>
            <w:instrText xml:space="preserve"> PAGEREF _Toc81298670 \h </w:instrText>
          </w:r>
          <w:r>
            <w:rPr>
              <w:rFonts w:ascii="仿宋" w:hAnsi="仿宋" w:eastAsia="仿宋"/>
              <w:color w:val="auto"/>
              <w:highlight w:val="none"/>
            </w:rPr>
            <w:fldChar w:fldCharType="separate"/>
          </w:r>
          <w:r>
            <w:rPr>
              <w:rFonts w:ascii="仿宋" w:hAnsi="仿宋" w:eastAsia="仿宋"/>
              <w:color w:val="auto"/>
              <w:highlight w:val="none"/>
            </w:rPr>
            <w:t>37</w:t>
          </w:r>
          <w:r>
            <w:rPr>
              <w:rFonts w:ascii="仿宋" w:hAnsi="仿宋" w:eastAsia="仿宋"/>
              <w:color w:val="auto"/>
              <w:highlight w:val="none"/>
            </w:rPr>
            <w:fldChar w:fldCharType="end"/>
          </w:r>
          <w:r>
            <w:rPr>
              <w:rFonts w:ascii="仿宋" w:hAnsi="仿宋" w:eastAsia="仿宋"/>
              <w:color w:val="auto"/>
              <w:highlight w:val="none"/>
            </w:rPr>
            <w:fldChar w:fldCharType="end"/>
          </w:r>
        </w:p>
        <w:p>
          <w:pPr>
            <w:rPr>
              <w:rFonts w:ascii="仿宋" w:hAnsi="仿宋" w:eastAsia="仿宋"/>
              <w:color w:val="auto"/>
              <w:highlight w:val="none"/>
            </w:rPr>
            <w:sectPr>
              <w:footerReference r:id="rId3" w:type="default"/>
              <w:pgSz w:w="11906" w:h="16838"/>
              <w:pgMar w:top="1440" w:right="2103" w:bottom="1440" w:left="2103" w:header="851" w:footer="992" w:gutter="0"/>
              <w:cols w:space="425" w:num="1"/>
              <w:docGrid w:type="lines" w:linePitch="312" w:charSpace="0"/>
            </w:sectPr>
          </w:pPr>
          <w:r>
            <w:rPr>
              <w:rFonts w:ascii="仿宋" w:hAnsi="仿宋" w:eastAsia="仿宋"/>
              <w:bCs/>
              <w:color w:val="auto"/>
              <w:highlight w:val="none"/>
              <w:lang w:val="zh-CN"/>
            </w:rPr>
            <w:fldChar w:fldCharType="end"/>
          </w:r>
        </w:p>
      </w:sdtContent>
    </w:sdt>
    <w:p>
      <w:pPr>
        <w:pStyle w:val="2"/>
        <w:spacing w:before="300" w:after="200" w:line="560" w:lineRule="exact"/>
        <w:rPr>
          <w:color w:val="auto"/>
          <w:sz w:val="36"/>
          <w:szCs w:val="36"/>
          <w:highlight w:val="none"/>
        </w:rPr>
      </w:pPr>
      <w:bookmarkStart w:id="0" w:name="_Toc73119011"/>
      <w:bookmarkStart w:id="1" w:name="_Toc59043562"/>
      <w:bookmarkStart w:id="2" w:name="_Toc73544004"/>
      <w:bookmarkStart w:id="3" w:name="_Toc81298628"/>
      <w:bookmarkStart w:id="4" w:name="_Toc59043107"/>
      <w:r>
        <w:rPr>
          <w:rFonts w:hint="eastAsia" w:ascii="宋体" w:hAnsi="宋体" w:eastAsia="宋体" w:cs="宋体"/>
          <w:color w:val="auto"/>
          <w:sz w:val="36"/>
          <w:szCs w:val="36"/>
          <w:highlight w:val="none"/>
        </w:rPr>
        <w:t>一、背景形势</w:t>
      </w:r>
      <w:bookmarkEnd w:id="0"/>
      <w:bookmarkEnd w:id="1"/>
      <w:bookmarkEnd w:id="2"/>
      <w:bookmarkEnd w:id="3"/>
      <w:bookmarkEnd w:id="4"/>
    </w:p>
    <w:p>
      <w:pPr>
        <w:pStyle w:val="3"/>
        <w:spacing w:before="200" w:after="100" w:line="560" w:lineRule="exact"/>
        <w:rPr>
          <w:rFonts w:ascii="仿宋_GB2312" w:hAnsi="仿宋_GB2312" w:eastAsia="仿宋_GB2312" w:cs="仿宋_GB2312"/>
          <w:color w:val="auto"/>
          <w:sz w:val="32"/>
          <w:highlight w:val="none"/>
        </w:rPr>
      </w:pPr>
      <w:bookmarkStart w:id="5" w:name="_Toc73544005"/>
      <w:bookmarkStart w:id="6" w:name="_Toc81298629"/>
      <w:bookmarkStart w:id="7" w:name="_Toc73119012"/>
      <w:bookmarkStart w:id="8" w:name="_Toc59043564"/>
      <w:bookmarkStart w:id="9" w:name="_Toc59043109"/>
      <w:r>
        <w:rPr>
          <w:rFonts w:hint="eastAsia" w:ascii="仿宋_GB2312" w:hAnsi="仿宋_GB2312" w:eastAsia="仿宋_GB2312" w:cs="仿宋_GB2312"/>
          <w:color w:val="auto"/>
          <w:sz w:val="32"/>
          <w:highlight w:val="none"/>
        </w:rPr>
        <w:t>（一）国内数字经济成为经济增长新引擎</w:t>
      </w:r>
      <w:bookmarkEnd w:id="5"/>
      <w:bookmarkEnd w:id="6"/>
      <w:bookmarkEnd w:id="7"/>
    </w:p>
    <w:p>
      <w:pPr>
        <w:spacing w:line="540" w:lineRule="exact"/>
        <w:ind w:firstLine="560" w:firstLineChars="200"/>
        <w:rPr>
          <w:rStyle w:val="15"/>
          <w:color w:val="auto"/>
          <w:highlight w:val="none"/>
        </w:rPr>
      </w:pPr>
      <w:bookmarkStart w:id="10" w:name="_Toc73119013"/>
      <w:bookmarkStart w:id="11" w:name="_Toc73544006"/>
      <w:r>
        <w:rPr>
          <w:rStyle w:val="15"/>
          <w:color w:val="auto"/>
          <w:highlight w:val="none"/>
        </w:rPr>
        <w:t>202</w:t>
      </w:r>
      <w:r>
        <w:rPr>
          <w:rStyle w:val="15"/>
          <w:rFonts w:hint="eastAsia" w:eastAsia="仿宋"/>
          <w:color w:val="auto"/>
          <w:highlight w:val="none"/>
          <w:lang w:val="en-US" w:eastAsia="zh-CN"/>
        </w:rPr>
        <w:t>1</w:t>
      </w:r>
      <w:r>
        <w:rPr>
          <w:rStyle w:val="15"/>
          <w:color w:val="auto"/>
          <w:highlight w:val="none"/>
        </w:rPr>
        <w:t>年我国</w:t>
      </w:r>
      <w:r>
        <w:rPr>
          <w:rStyle w:val="15"/>
          <w:rFonts w:hint="eastAsia"/>
          <w:color w:val="auto"/>
          <w:highlight w:val="none"/>
        </w:rPr>
        <w:t>经济保持恢复发展</w:t>
      </w:r>
      <w:r>
        <w:rPr>
          <w:rStyle w:val="15"/>
          <w:b w:val="0"/>
          <w:bCs w:val="0"/>
          <w:color w:val="auto"/>
          <w:highlight w:val="none"/>
        </w:rPr>
        <w:t>，</w:t>
      </w:r>
      <w:r>
        <w:rPr>
          <w:rStyle w:val="15"/>
          <w:rFonts w:hint="eastAsia"/>
          <w:b w:val="0"/>
          <w:bCs w:val="0"/>
          <w:color w:val="auto"/>
          <w:highlight w:val="none"/>
        </w:rPr>
        <w:t>国内生产总值达到114万亿元，增长8.1%</w:t>
      </w:r>
      <w:r>
        <w:rPr>
          <w:rStyle w:val="15"/>
          <w:color w:val="auto"/>
          <w:highlight w:val="none"/>
        </w:rPr>
        <w:t>，其中尤以数字经济为关键动力</w:t>
      </w:r>
      <w:r>
        <w:rPr>
          <w:rStyle w:val="15"/>
          <w:rFonts w:hint="eastAsia" w:eastAsia="仿宋"/>
          <w:color w:val="auto"/>
          <w:highlight w:val="none"/>
          <w:lang w:eastAsia="zh-CN"/>
        </w:rPr>
        <w:t>，数字技术与实体经济加速融合</w:t>
      </w:r>
      <w:r>
        <w:rPr>
          <w:rStyle w:val="15"/>
          <w:color w:val="auto"/>
          <w:highlight w:val="none"/>
        </w:rPr>
        <w:t>。202</w:t>
      </w:r>
      <w:r>
        <w:rPr>
          <w:rStyle w:val="15"/>
          <w:rFonts w:hint="eastAsia" w:eastAsia="仿宋"/>
          <w:color w:val="auto"/>
          <w:highlight w:val="none"/>
          <w:lang w:val="en-US" w:eastAsia="zh-CN"/>
        </w:rPr>
        <w:t>1</w:t>
      </w:r>
      <w:r>
        <w:rPr>
          <w:rStyle w:val="15"/>
          <w:color w:val="auto"/>
          <w:highlight w:val="none"/>
        </w:rPr>
        <w:t>年我国数字经济规模达到39.2万亿元，同比增速9.7%，超过同期GDP名义增速的3倍，占GDP比重为38.6%，同比提升2.4个百分点。“十四五”规划和二〇三五远景目标纲要指出，要推动数字经济与实体经济深度融合，加快构建以国内大循环为主体，国内国际双循环经济相互促进的新发展格局，为基本实现二〇三五年社会主义现代化远景目标奠定基础。</w:t>
      </w:r>
    </w:p>
    <w:p>
      <w:pPr>
        <w:spacing w:line="540" w:lineRule="exact"/>
        <w:ind w:firstLine="560" w:firstLineChars="200"/>
        <w:rPr>
          <w:rStyle w:val="15"/>
          <w:color w:val="auto"/>
          <w:highlight w:val="none"/>
        </w:rPr>
      </w:pPr>
      <w:r>
        <w:rPr>
          <w:rStyle w:val="15"/>
          <w:rFonts w:hint="eastAsia"/>
          <w:color w:val="auto"/>
          <w:highlight w:val="none"/>
        </w:rPr>
        <w:t>我国数字经济发展水平以广州、深圳为双核带动的珠三角城市群数字化程度最高，京津冀和长三角地区保持稳步加速发展；中西部数字经济发展持续推进，以大数据为手段实现发展弯道超车，成渝城市群近年来赶超态势显著，贵州省数字经济增速领跑全国。其中，</w:t>
      </w:r>
      <w:r>
        <w:rPr>
          <w:rStyle w:val="15"/>
          <w:color w:val="auto"/>
          <w:highlight w:val="none"/>
        </w:rPr>
        <w:t>成渝地区双城经济圈是习近平总书记亲自谋划部署建设的区域发展新格局，两地将联合创建国家数字经济创新发展试验区，成为具有全国影响力的重要经济中心、科技创新中心、改革开放新高地、高品质生活宜居地。</w:t>
      </w:r>
    </w:p>
    <w:p>
      <w:pPr>
        <w:pStyle w:val="3"/>
        <w:spacing w:before="200" w:after="100" w:line="560" w:lineRule="exact"/>
        <w:rPr>
          <w:rFonts w:ascii="仿宋_GB2312" w:hAnsi="仿宋_GB2312" w:eastAsia="仿宋_GB2312" w:cs="仿宋_GB2312"/>
          <w:color w:val="auto"/>
          <w:sz w:val="32"/>
          <w:highlight w:val="none"/>
        </w:rPr>
      </w:pPr>
      <w:bookmarkStart w:id="12" w:name="_Toc81298630"/>
      <w:r>
        <w:rPr>
          <w:rFonts w:hint="eastAsia" w:ascii="仿宋_GB2312" w:hAnsi="仿宋_GB2312" w:eastAsia="仿宋_GB2312" w:cs="仿宋_GB2312"/>
          <w:color w:val="auto"/>
          <w:sz w:val="32"/>
          <w:highlight w:val="none"/>
        </w:rPr>
        <w:t>（二）四川省推进数字经济走向新阶段</w:t>
      </w:r>
      <w:bookmarkEnd w:id="10"/>
      <w:bookmarkEnd w:id="11"/>
      <w:bookmarkEnd w:id="12"/>
    </w:p>
    <w:p>
      <w:pPr>
        <w:pStyle w:val="16"/>
        <w:spacing w:line="560" w:lineRule="exact"/>
        <w:ind w:firstLine="560"/>
        <w:rPr>
          <w:rStyle w:val="15"/>
          <w:rFonts w:hint="eastAsia" w:eastAsia="仿宋"/>
          <w:color w:val="auto"/>
          <w:highlight w:val="none"/>
          <w:lang w:val="en-US" w:eastAsia="zh-CN"/>
        </w:rPr>
      </w:pPr>
      <w:r>
        <w:rPr>
          <w:rStyle w:val="15"/>
          <w:color w:val="auto"/>
          <w:highlight w:val="none"/>
        </w:rPr>
        <w:t>四川省深入贯彻落实党中央国务院关于加快发展数字经济的战略部署，2019年8月发布《四川省人民政府关于加快推进数字经济发展的指导意见》，提出加快建设网络强省、数字四川、智慧社会，形成具有较强核心竞争力的数字经济生态体系。2</w:t>
      </w:r>
      <w:r>
        <w:rPr>
          <w:rStyle w:val="15"/>
          <w:rFonts w:hint="default"/>
          <w:color w:val="auto"/>
          <w:highlight w:val="none"/>
        </w:rPr>
        <w:t>020</w:t>
      </w:r>
      <w:r>
        <w:rPr>
          <w:rStyle w:val="15"/>
          <w:color w:val="auto"/>
          <w:highlight w:val="none"/>
        </w:rPr>
        <w:t>年1</w:t>
      </w:r>
      <w:r>
        <w:rPr>
          <w:rStyle w:val="15"/>
          <w:rFonts w:hint="default"/>
          <w:color w:val="auto"/>
          <w:highlight w:val="none"/>
        </w:rPr>
        <w:t>0</w:t>
      </w:r>
      <w:r>
        <w:rPr>
          <w:rStyle w:val="15"/>
          <w:color w:val="auto"/>
          <w:highlight w:val="none"/>
        </w:rPr>
        <w:t>月《国家数字经济创新发展试验区（四川）建设工作方案》获得批复。</w:t>
      </w:r>
      <w:r>
        <w:rPr>
          <w:rStyle w:val="15"/>
          <w:rFonts w:hint="eastAsia" w:eastAsia="仿宋"/>
          <w:color w:val="auto"/>
          <w:highlight w:val="none"/>
          <w:lang w:val="en-US" w:eastAsia="zh-CN"/>
        </w:rPr>
        <w:t>2021年11月《四川省“十四五”数字经济发展规划》发布，到2025年，全省数字经济总量将超3万亿元、占GDP比重达到43%。以2019年全省电子信息产业主营业务收入超万亿元为新起点，继续在提质、引强、补链、建圈等方面持续发力。截至</w:t>
      </w:r>
      <w:r>
        <w:rPr>
          <w:rStyle w:val="15"/>
          <w:color w:val="auto"/>
          <w:highlight w:val="none"/>
        </w:rPr>
        <w:t>2</w:t>
      </w:r>
      <w:r>
        <w:rPr>
          <w:rStyle w:val="15"/>
          <w:rFonts w:hint="default" w:eastAsia="仿宋"/>
          <w:color w:val="auto"/>
          <w:highlight w:val="none"/>
          <w:lang w:val="en-US" w:eastAsia="zh-CN"/>
        </w:rPr>
        <w:t>022</w:t>
      </w:r>
      <w:r>
        <w:rPr>
          <w:rStyle w:val="15"/>
          <w:rFonts w:hint="eastAsia" w:eastAsia="仿宋"/>
          <w:color w:val="auto"/>
          <w:highlight w:val="none"/>
          <w:lang w:val="en-US" w:eastAsia="zh-CN"/>
        </w:rPr>
        <w:t>年10月，四川省数字经济增加值规模已突破1.9万亿元，近5年年均增速超12%、始终保持在全国前五，占四川省GDP比重已超过35%。</w:t>
      </w:r>
    </w:p>
    <w:p>
      <w:pPr>
        <w:pStyle w:val="3"/>
        <w:spacing w:before="200" w:after="100" w:line="560" w:lineRule="exact"/>
        <w:rPr>
          <w:rFonts w:ascii="仿宋_GB2312" w:hAnsi="仿宋_GB2312" w:eastAsia="仿宋_GB2312" w:cs="仿宋_GB2312"/>
          <w:color w:val="auto"/>
          <w:sz w:val="32"/>
          <w:highlight w:val="none"/>
        </w:rPr>
      </w:pPr>
      <w:bookmarkStart w:id="13" w:name="_Toc73119014"/>
      <w:bookmarkStart w:id="14" w:name="_Toc73544007"/>
      <w:bookmarkStart w:id="15" w:name="_Toc81298631"/>
      <w:r>
        <w:rPr>
          <w:rFonts w:hint="eastAsia" w:ascii="仿宋_GB2312" w:hAnsi="仿宋_GB2312" w:eastAsia="仿宋_GB2312" w:cs="仿宋_GB2312"/>
          <w:color w:val="auto"/>
          <w:sz w:val="32"/>
          <w:highlight w:val="none"/>
        </w:rPr>
        <w:t>（三）达州市抢抓数字经济新机遇</w:t>
      </w:r>
      <w:bookmarkEnd w:id="13"/>
      <w:bookmarkEnd w:id="14"/>
      <w:bookmarkEnd w:id="15"/>
    </w:p>
    <w:p>
      <w:pPr>
        <w:pStyle w:val="16"/>
        <w:spacing w:line="560" w:lineRule="exact"/>
        <w:ind w:firstLine="560"/>
        <w:rPr>
          <w:rStyle w:val="15"/>
          <w:rFonts w:hint="default" w:cstheme="minorBidi"/>
          <w:color w:val="auto"/>
          <w:highlight w:val="none"/>
        </w:rPr>
      </w:pPr>
      <w:r>
        <w:rPr>
          <w:rStyle w:val="15"/>
          <w:color w:val="auto"/>
          <w:highlight w:val="none"/>
        </w:rPr>
        <w:t>达州市作为川东北城市群区域中心城市和全省数字经济“1+7+1”的重要支点，先后出台《达州市数字经济发展规划（2020-2025年）》《关于加快推进数字经济发展的意见》，在数字经济顶层设计引导方面持续发力。陆续发布《达州市数字政府建设三年行动方案》、《达州市公共数据管理办法》，着力数字政府建设和数据共享开放，有效推进数字化治理能力建设。达州市政府深化组织机制保障，成立数字经济发展领导小组、数字经济产业联盟，设立数字经济发展专项资金，制定数字经济统计监测标准，签署万达开大数据区域合作框架协议，建立“万达开”大数据创新发展协作机制。到202</w:t>
      </w:r>
      <w:r>
        <w:rPr>
          <w:rStyle w:val="15"/>
          <w:rFonts w:hint="eastAsia" w:eastAsia="仿宋"/>
          <w:color w:val="auto"/>
          <w:highlight w:val="none"/>
          <w:lang w:val="en-US" w:eastAsia="zh-CN"/>
        </w:rPr>
        <w:t>3</w:t>
      </w:r>
      <w:r>
        <w:rPr>
          <w:rStyle w:val="15"/>
          <w:color w:val="auto"/>
          <w:highlight w:val="none"/>
        </w:rPr>
        <w:t>年将实现数字经济总量超1000亿元，达州将成为川东区域数字经济发展高地。</w:t>
      </w:r>
    </w:p>
    <w:p>
      <w:pPr>
        <w:pStyle w:val="3"/>
        <w:spacing w:before="200" w:after="100" w:line="560" w:lineRule="exact"/>
        <w:rPr>
          <w:rFonts w:ascii="仿宋_GB2312" w:hAnsi="仿宋_GB2312" w:eastAsia="仿宋_GB2312" w:cs="仿宋_GB2312"/>
          <w:color w:val="auto"/>
          <w:sz w:val="32"/>
          <w:highlight w:val="none"/>
        </w:rPr>
      </w:pPr>
      <w:bookmarkStart w:id="16" w:name="_Toc73544008"/>
      <w:bookmarkStart w:id="17" w:name="_Toc73119015"/>
      <w:bookmarkStart w:id="18" w:name="_Toc81298632"/>
      <w:r>
        <w:rPr>
          <w:rFonts w:hint="eastAsia" w:ascii="仿宋_GB2312" w:hAnsi="仿宋_GB2312" w:eastAsia="仿宋_GB2312" w:cs="仿宋_GB2312"/>
          <w:color w:val="auto"/>
          <w:sz w:val="32"/>
          <w:highlight w:val="none"/>
        </w:rPr>
        <w:t>（四）数字经济成为通川区发展新动能</w:t>
      </w:r>
      <w:bookmarkEnd w:id="16"/>
      <w:bookmarkEnd w:id="17"/>
      <w:bookmarkEnd w:id="18"/>
    </w:p>
    <w:bookmarkEnd w:id="8"/>
    <w:bookmarkEnd w:id="9"/>
    <w:p>
      <w:pPr>
        <w:pStyle w:val="16"/>
        <w:spacing w:line="560" w:lineRule="exact"/>
        <w:ind w:firstLine="560"/>
        <w:rPr>
          <w:rStyle w:val="15"/>
          <w:rFonts w:hint="default"/>
          <w:color w:val="auto"/>
          <w:highlight w:val="none"/>
        </w:rPr>
      </w:pPr>
      <w:r>
        <w:rPr>
          <w:rStyle w:val="15"/>
          <w:color w:val="auto"/>
          <w:highlight w:val="none"/>
        </w:rPr>
        <w:t>2</w:t>
      </w:r>
      <w:r>
        <w:rPr>
          <w:rStyle w:val="15"/>
          <w:rFonts w:hint="default"/>
          <w:color w:val="auto"/>
          <w:highlight w:val="none"/>
        </w:rPr>
        <w:t>02</w:t>
      </w:r>
      <w:r>
        <w:rPr>
          <w:rStyle w:val="15"/>
          <w:rFonts w:hint="eastAsia" w:eastAsia="仿宋"/>
          <w:color w:val="auto"/>
          <w:highlight w:val="none"/>
          <w:lang w:val="en-US" w:eastAsia="zh-CN"/>
        </w:rPr>
        <w:t>1</w:t>
      </w:r>
      <w:r>
        <w:rPr>
          <w:rStyle w:val="15"/>
          <w:color w:val="auto"/>
          <w:highlight w:val="none"/>
        </w:rPr>
        <w:t>年，通川区</w:t>
      </w:r>
      <w:r>
        <w:rPr>
          <w:rStyle w:val="15"/>
          <w:rFonts w:hint="eastAsia"/>
          <w:color w:val="auto"/>
          <w:highlight w:val="none"/>
        </w:rPr>
        <w:t>攻坚克难、拼搏实干，顺利完成各项目标任务</w:t>
      </w:r>
      <w:r>
        <w:rPr>
          <w:rStyle w:val="15"/>
          <w:color w:val="auto"/>
          <w:highlight w:val="none"/>
        </w:rPr>
        <w:t>。</w:t>
      </w:r>
      <w:r>
        <w:rPr>
          <w:rStyle w:val="15"/>
          <w:rFonts w:hint="eastAsia"/>
          <w:color w:val="auto"/>
          <w:highlight w:val="none"/>
        </w:rPr>
        <w:t>全年实现地区生产总值371.4亿元、增长8.5%</w:t>
      </w:r>
      <w:r>
        <w:rPr>
          <w:rStyle w:val="15"/>
          <w:color w:val="auto"/>
          <w:highlight w:val="none"/>
        </w:rPr>
        <w:t>。全社会固定资产投资、一般公共预算收入、全社会固定资产投资等指标增速稳居全市第一，经济社会发展成效显赫。“十四五”开局之年，通川区明确指出要加快数字化整体转型，紧盯“智能装备、数字经济、现代物流”等新兴业态，通过数字新基建推动数字经济与实体经济深度融合，为城市扩容提质、新旧动能转换、建设现代化强区奠定坚实基础。</w:t>
      </w:r>
      <w:r>
        <w:rPr>
          <w:rStyle w:val="15"/>
          <w:rFonts w:hint="eastAsia" w:eastAsia="仿宋"/>
          <w:color w:val="auto"/>
          <w:highlight w:val="none"/>
          <w:lang w:val="en-US" w:eastAsia="zh-CN"/>
        </w:rPr>
        <w:t>区委、</w:t>
      </w:r>
      <w:r>
        <w:rPr>
          <w:rStyle w:val="15"/>
          <w:color w:val="auto"/>
          <w:highlight w:val="none"/>
        </w:rPr>
        <w:t>区政府成立了由区委书记、区长担任组长的数字经济发展领导小组，多次召开数字经济工作调度会，抢抓重点历史机遇，落实省市政策精神，部署各项工作任务，全力争创四川省数字经济发展先导示范区。</w:t>
      </w:r>
    </w:p>
    <w:p>
      <w:pPr>
        <w:pStyle w:val="2"/>
        <w:spacing w:before="300" w:after="200" w:line="560" w:lineRule="exact"/>
        <w:rPr>
          <w:color w:val="auto"/>
          <w:highlight w:val="none"/>
        </w:rPr>
      </w:pPr>
      <w:bookmarkStart w:id="19" w:name="_Toc62743726"/>
      <w:bookmarkEnd w:id="19"/>
      <w:bookmarkStart w:id="20" w:name="_Toc60215397"/>
      <w:bookmarkEnd w:id="20"/>
      <w:bookmarkStart w:id="21" w:name="_Toc59043567"/>
      <w:bookmarkStart w:id="22" w:name="_Toc59043112"/>
      <w:bookmarkStart w:id="23" w:name="_Toc73119016"/>
      <w:bookmarkStart w:id="24" w:name="_Toc73544009"/>
      <w:bookmarkStart w:id="25" w:name="_Toc81298633"/>
      <w:r>
        <w:rPr>
          <w:rFonts w:hint="eastAsia" w:ascii="宋体" w:hAnsi="宋体" w:eastAsia="宋体" w:cs="宋体"/>
          <w:color w:val="auto"/>
          <w:sz w:val="36"/>
          <w:szCs w:val="36"/>
          <w:highlight w:val="none"/>
        </w:rPr>
        <w:t>二、发展基础</w:t>
      </w:r>
      <w:bookmarkEnd w:id="21"/>
      <w:bookmarkEnd w:id="22"/>
      <w:bookmarkEnd w:id="23"/>
      <w:bookmarkEnd w:id="24"/>
      <w:bookmarkEnd w:id="25"/>
    </w:p>
    <w:p>
      <w:pPr>
        <w:pStyle w:val="3"/>
        <w:spacing w:before="200" w:after="100" w:line="560" w:lineRule="exact"/>
        <w:rPr>
          <w:rFonts w:ascii="仿宋_GB2312" w:hAnsi="仿宋_GB2312" w:eastAsia="仿宋_GB2312" w:cs="仿宋_GB2312"/>
          <w:color w:val="auto"/>
          <w:sz w:val="32"/>
          <w:highlight w:val="none"/>
        </w:rPr>
      </w:pPr>
      <w:bookmarkStart w:id="26" w:name="_Toc73544010"/>
      <w:bookmarkStart w:id="27" w:name="_Toc81298634"/>
      <w:bookmarkStart w:id="28" w:name="_Toc59043568"/>
      <w:bookmarkStart w:id="29" w:name="_Toc73119017"/>
      <w:bookmarkStart w:id="30" w:name="_Toc59043113"/>
      <w:r>
        <w:rPr>
          <w:rFonts w:hint="eastAsia" w:ascii="仿宋_GB2312" w:hAnsi="仿宋_GB2312" w:eastAsia="仿宋_GB2312" w:cs="仿宋_GB2312"/>
          <w:color w:val="auto"/>
          <w:sz w:val="32"/>
          <w:highlight w:val="none"/>
        </w:rPr>
        <w:t>（一）发展现状</w:t>
      </w:r>
      <w:bookmarkEnd w:id="26"/>
      <w:bookmarkEnd w:id="27"/>
      <w:bookmarkEnd w:id="28"/>
      <w:bookmarkEnd w:id="29"/>
      <w:bookmarkEnd w:id="30"/>
    </w:p>
    <w:p>
      <w:pPr>
        <w:pStyle w:val="10"/>
        <w:spacing w:line="560" w:lineRule="exact"/>
        <w:ind w:firstLine="560" w:firstLineChars="200"/>
        <w:jc w:val="both"/>
        <w:rPr>
          <w:rFonts w:hint="eastAsia" w:ascii="仿宋" w:hAnsi="仿宋" w:eastAsia="仿宋" w:cs="仿宋"/>
          <w:color w:val="auto"/>
          <w:kern w:val="2"/>
          <w:sz w:val="28"/>
          <w:szCs w:val="22"/>
          <w:highlight w:val="none"/>
          <w:lang w:bidi="ar"/>
        </w:rPr>
      </w:pPr>
      <w:bookmarkStart w:id="31" w:name="_Toc59043114"/>
      <w:bookmarkStart w:id="32" w:name="_Toc73544011"/>
      <w:bookmarkStart w:id="33" w:name="_Toc59043569"/>
      <w:bookmarkStart w:id="34" w:name="_Toc73119018"/>
      <w:r>
        <w:rPr>
          <w:rFonts w:hint="eastAsia" w:ascii="仿宋" w:hAnsi="仿宋" w:eastAsia="仿宋" w:cs="仿宋"/>
          <w:color w:val="auto"/>
          <w:kern w:val="2"/>
          <w:sz w:val="28"/>
          <w:szCs w:val="22"/>
          <w:highlight w:val="none"/>
          <w:lang w:bidi="ar"/>
        </w:rPr>
        <w:t>党的十九大以来，区委、区政府高度重视数字经济发展，坚决贯彻落实习近平总书记关于数字经济的一系列重要论述精神，牢固树立新发展理念，以增强数字化治理能力和产业数字化、数字产业化发展为主攻方向，以数字业态创新为驱动力，以数字产业示范项目建设为主抓手，持续优化发展环境，全面完善基础设施，加快推动经济社会的数字化、网络化、智能化进程，为大力实施“三城三地三片区”发展战略，加快建设达州促进共同富裕示范区这一奋斗目标</w:t>
      </w:r>
      <w:r>
        <w:rPr>
          <w:rFonts w:hint="eastAsia" w:ascii="仿宋" w:hAnsi="仿宋" w:eastAsia="仿宋" w:cs="仿宋"/>
          <w:color w:val="auto"/>
          <w:kern w:val="2"/>
          <w:sz w:val="28"/>
          <w:szCs w:val="22"/>
          <w:highlight w:val="none"/>
          <w:lang w:eastAsia="zh-CN" w:bidi="ar"/>
        </w:rPr>
        <w:t>，</w:t>
      </w:r>
      <w:r>
        <w:rPr>
          <w:rFonts w:hint="eastAsia" w:ascii="仿宋" w:hAnsi="仿宋" w:eastAsia="仿宋" w:cs="仿宋"/>
          <w:color w:val="auto"/>
          <w:kern w:val="2"/>
          <w:sz w:val="28"/>
          <w:szCs w:val="22"/>
          <w:highlight w:val="none"/>
          <w:lang w:bidi="ar"/>
        </w:rPr>
        <w:t>打下坚实基础。</w:t>
      </w:r>
    </w:p>
    <w:p>
      <w:pPr>
        <w:pStyle w:val="10"/>
        <w:spacing w:line="560" w:lineRule="exact"/>
        <w:ind w:firstLine="562" w:firstLineChars="200"/>
        <w:jc w:val="both"/>
        <w:rPr>
          <w:rFonts w:ascii="仿宋" w:hAnsi="仿宋" w:eastAsia="仿宋" w:cs="仿宋"/>
          <w:color w:val="auto"/>
          <w:sz w:val="28"/>
          <w:szCs w:val="28"/>
          <w:highlight w:val="none"/>
          <w:lang w:bidi="ar"/>
        </w:rPr>
      </w:pPr>
      <w:r>
        <w:rPr>
          <w:rFonts w:hint="eastAsia" w:ascii="仿宋" w:hAnsi="仿宋" w:eastAsia="仿宋" w:cs="仿宋"/>
          <w:b/>
          <w:color w:val="auto"/>
          <w:kern w:val="2"/>
          <w:sz w:val="28"/>
          <w:szCs w:val="28"/>
          <w:highlight w:val="none"/>
          <w:lang w:bidi="ar"/>
        </w:rPr>
        <w:t>数字经济发展基础不断完善。</w:t>
      </w:r>
      <w:r>
        <w:rPr>
          <w:rFonts w:hint="eastAsia" w:ascii="仿宋" w:hAnsi="仿宋" w:eastAsia="仿宋" w:cs="仿宋"/>
          <w:color w:val="auto"/>
          <w:kern w:val="2"/>
          <w:sz w:val="28"/>
          <w:szCs w:val="28"/>
          <w:highlight w:val="none"/>
          <w:lang w:bidi="ar"/>
        </w:rPr>
        <w:t>截止</w:t>
      </w:r>
      <w:r>
        <w:rPr>
          <w:rFonts w:ascii="仿宋" w:hAnsi="仿宋" w:eastAsia="仿宋" w:cs="仿宋"/>
          <w:color w:val="auto"/>
          <w:kern w:val="2"/>
          <w:sz w:val="28"/>
          <w:szCs w:val="28"/>
          <w:highlight w:val="none"/>
          <w:lang w:bidi="ar"/>
        </w:rPr>
        <w:t>202</w:t>
      </w:r>
      <w:r>
        <w:rPr>
          <w:rFonts w:hint="eastAsia" w:ascii="仿宋" w:hAnsi="仿宋" w:eastAsia="仿宋" w:cs="仿宋"/>
          <w:color w:val="auto"/>
          <w:kern w:val="2"/>
          <w:sz w:val="28"/>
          <w:szCs w:val="28"/>
          <w:highlight w:val="none"/>
          <w:lang w:val="en-US" w:eastAsia="zh-CN" w:bidi="ar"/>
        </w:rPr>
        <w:t>1</w:t>
      </w:r>
      <w:r>
        <w:rPr>
          <w:rFonts w:hint="eastAsia" w:ascii="仿宋" w:hAnsi="仿宋" w:eastAsia="仿宋" w:cs="仿宋"/>
          <w:color w:val="auto"/>
          <w:kern w:val="2"/>
          <w:sz w:val="28"/>
          <w:szCs w:val="28"/>
          <w:highlight w:val="none"/>
          <w:lang w:bidi="ar"/>
        </w:rPr>
        <w:t>年底，</w:t>
      </w:r>
      <w:r>
        <w:rPr>
          <w:rFonts w:ascii="仿宋" w:hAnsi="仿宋" w:eastAsia="仿宋" w:cs="仿宋"/>
          <w:color w:val="auto"/>
          <w:kern w:val="2"/>
          <w:sz w:val="28"/>
          <w:szCs w:val="28"/>
          <w:highlight w:val="none"/>
          <w:lang w:bidi="ar"/>
        </w:rPr>
        <w:t>通川区</w:t>
      </w:r>
      <w:r>
        <w:rPr>
          <w:rFonts w:hint="eastAsia" w:ascii="仿宋" w:hAnsi="仿宋" w:eastAsia="仿宋" w:cs="仿宋"/>
          <w:color w:val="auto"/>
          <w:kern w:val="2"/>
          <w:sz w:val="28"/>
          <w:szCs w:val="28"/>
          <w:highlight w:val="none"/>
          <w:lang w:bidi="ar"/>
        </w:rPr>
        <w:t>建成通信站址1</w:t>
      </w:r>
      <w:r>
        <w:rPr>
          <w:rFonts w:ascii="仿宋" w:hAnsi="仿宋" w:eastAsia="仿宋" w:cs="仿宋"/>
          <w:color w:val="auto"/>
          <w:kern w:val="2"/>
          <w:sz w:val="28"/>
          <w:szCs w:val="28"/>
          <w:highlight w:val="none"/>
          <w:lang w:bidi="ar"/>
        </w:rPr>
        <w:t>384</w:t>
      </w:r>
      <w:r>
        <w:rPr>
          <w:rFonts w:hint="eastAsia" w:ascii="仿宋" w:hAnsi="仿宋" w:eastAsia="仿宋" w:cs="仿宋"/>
          <w:color w:val="auto"/>
          <w:kern w:val="2"/>
          <w:sz w:val="28"/>
          <w:szCs w:val="28"/>
          <w:highlight w:val="none"/>
          <w:lang w:bidi="ar"/>
        </w:rPr>
        <w:t>个，实现全区各社区（行政村）光纤宽带与4G网络全覆盖。</w:t>
      </w:r>
      <w:r>
        <w:rPr>
          <w:rFonts w:ascii="仿宋" w:hAnsi="仿宋" w:eastAsia="仿宋" w:cs="仿宋"/>
          <w:color w:val="auto"/>
          <w:kern w:val="2"/>
          <w:sz w:val="28"/>
          <w:szCs w:val="28"/>
          <w:highlight w:val="none"/>
          <w:lang w:bidi="ar"/>
        </w:rPr>
        <w:t>5G网络初具规模，</w:t>
      </w:r>
      <w:r>
        <w:rPr>
          <w:rFonts w:hint="eastAsia" w:ascii="仿宋" w:hAnsi="仿宋" w:eastAsia="仿宋" w:cs="仿宋"/>
          <w:color w:val="auto"/>
          <w:kern w:val="2"/>
          <w:sz w:val="28"/>
          <w:szCs w:val="28"/>
          <w:highlight w:val="none"/>
          <w:lang w:bidi="ar"/>
        </w:rPr>
        <w:t>已建成了</w:t>
      </w:r>
      <w:r>
        <w:rPr>
          <w:rFonts w:ascii="仿宋" w:hAnsi="仿宋" w:eastAsia="仿宋" w:cs="仿宋"/>
          <w:color w:val="auto"/>
          <w:kern w:val="2"/>
          <w:sz w:val="28"/>
          <w:szCs w:val="28"/>
          <w:highlight w:val="none"/>
          <w:lang w:bidi="ar"/>
        </w:rPr>
        <w:t>5G</w:t>
      </w:r>
      <w:r>
        <w:rPr>
          <w:rFonts w:hint="eastAsia" w:ascii="仿宋" w:hAnsi="仿宋" w:eastAsia="仿宋" w:cs="仿宋"/>
          <w:color w:val="auto"/>
          <w:kern w:val="2"/>
          <w:sz w:val="28"/>
          <w:szCs w:val="28"/>
          <w:highlight w:val="none"/>
          <w:lang w:bidi="ar"/>
        </w:rPr>
        <w:t>通信基站</w:t>
      </w:r>
      <w:r>
        <w:rPr>
          <w:rFonts w:hint="eastAsia" w:ascii="仿宋" w:hAnsi="仿宋" w:eastAsia="仿宋" w:cs="仿宋"/>
          <w:color w:val="auto"/>
          <w:kern w:val="2"/>
          <w:sz w:val="28"/>
          <w:szCs w:val="28"/>
          <w:highlight w:val="none"/>
          <w:lang w:val="en-US" w:eastAsia="zh-CN" w:bidi="ar"/>
        </w:rPr>
        <w:t>800</w:t>
      </w:r>
      <w:r>
        <w:rPr>
          <w:rFonts w:hint="eastAsia" w:ascii="仿宋" w:hAnsi="仿宋" w:eastAsia="仿宋" w:cs="仿宋"/>
          <w:color w:val="auto"/>
          <w:kern w:val="2"/>
          <w:sz w:val="28"/>
          <w:szCs w:val="28"/>
          <w:highlight w:val="none"/>
          <w:lang w:bidi="ar"/>
        </w:rPr>
        <w:t>个，覆盖了主城区、重点园区及部分重点乡镇。</w:t>
      </w:r>
      <w:r>
        <w:rPr>
          <w:rStyle w:val="15"/>
          <w:rFonts w:hint="eastAsia"/>
          <w:color w:val="auto"/>
          <w:highlight w:val="none"/>
        </w:rPr>
        <w:t>达州市级云计算中心（政务云平台）和川东大数据中心落户区内马踏洞新区，成为区域通信枢纽和国家及省级云计算、大数据、物联网重要基地。</w:t>
      </w:r>
    </w:p>
    <w:p>
      <w:pPr>
        <w:pStyle w:val="10"/>
        <w:widowControl w:val="0"/>
        <w:spacing w:before="0" w:beforeAutospacing="0" w:after="0" w:afterAutospacing="0" w:line="560" w:lineRule="exact"/>
        <w:ind w:firstLine="562" w:firstLineChars="200"/>
        <w:jc w:val="both"/>
        <w:rPr>
          <w:rFonts w:ascii="仿宋" w:hAnsi="仿宋" w:eastAsia="仿宋" w:cs="仿宋"/>
          <w:color w:val="auto"/>
          <w:kern w:val="2"/>
          <w:sz w:val="28"/>
          <w:szCs w:val="28"/>
          <w:highlight w:val="none"/>
          <w:lang w:bidi="ar"/>
        </w:rPr>
      </w:pPr>
      <w:r>
        <w:rPr>
          <w:rFonts w:hint="eastAsia" w:ascii="仿宋" w:hAnsi="仿宋" w:eastAsia="仿宋" w:cs="仿宋"/>
          <w:b/>
          <w:color w:val="auto"/>
          <w:kern w:val="2"/>
          <w:sz w:val="28"/>
          <w:szCs w:val="28"/>
          <w:highlight w:val="none"/>
          <w:lang w:bidi="ar"/>
        </w:rPr>
        <w:t>数字经济核心产业有序发展。</w:t>
      </w:r>
      <w:r>
        <w:rPr>
          <w:rFonts w:hint="eastAsia" w:ascii="仿宋" w:hAnsi="仿宋" w:eastAsia="仿宋" w:cs="仿宋"/>
          <w:color w:val="auto"/>
          <w:kern w:val="2"/>
          <w:sz w:val="28"/>
          <w:szCs w:val="28"/>
          <w:highlight w:val="none"/>
          <w:lang w:bidi="ar"/>
        </w:rPr>
        <w:t>202</w:t>
      </w:r>
      <w:r>
        <w:rPr>
          <w:rFonts w:hint="eastAsia" w:ascii="仿宋" w:hAnsi="仿宋" w:eastAsia="仿宋" w:cs="仿宋"/>
          <w:color w:val="auto"/>
          <w:kern w:val="2"/>
          <w:sz w:val="28"/>
          <w:szCs w:val="28"/>
          <w:highlight w:val="none"/>
          <w:lang w:val="en-US" w:eastAsia="zh-CN" w:bidi="ar"/>
        </w:rPr>
        <w:t>1</w:t>
      </w:r>
      <w:r>
        <w:rPr>
          <w:rFonts w:hint="eastAsia" w:ascii="仿宋" w:hAnsi="仿宋" w:eastAsia="仿宋" w:cs="仿宋"/>
          <w:color w:val="auto"/>
          <w:kern w:val="2"/>
          <w:sz w:val="28"/>
          <w:szCs w:val="28"/>
          <w:highlight w:val="none"/>
          <w:lang w:bidi="ar"/>
        </w:rPr>
        <w:t>年全区信息传输、软件和信息技术服务业收入达到11.37亿元，同比增长24.53%。达州圈、九千集等电商网络平台飞速发展，区内网络平台企业达到19家，家用电器、音像通信器材等数字设备批发零售总额再创新高，全区影视媒体制作企业及个体工商户达到316家。哈工大机器人达州科创城、西部通用航空飞行器组装生产项目等高端制造项目已完成洽谈签约。</w:t>
      </w:r>
    </w:p>
    <w:p>
      <w:pPr>
        <w:pStyle w:val="10"/>
        <w:widowControl w:val="0"/>
        <w:spacing w:before="0" w:beforeAutospacing="0" w:after="0" w:afterAutospacing="0" w:line="560" w:lineRule="exact"/>
        <w:ind w:firstLine="562" w:firstLineChars="200"/>
        <w:jc w:val="both"/>
        <w:rPr>
          <w:rFonts w:ascii="仿宋" w:hAnsi="仿宋" w:eastAsia="仿宋" w:cs="仿宋"/>
          <w:color w:val="auto"/>
          <w:sz w:val="28"/>
          <w:szCs w:val="28"/>
          <w:highlight w:val="none"/>
        </w:rPr>
      </w:pPr>
      <w:r>
        <w:rPr>
          <w:rFonts w:hint="eastAsia" w:ascii="仿宋" w:hAnsi="仿宋" w:eastAsia="仿宋" w:cs="仿宋"/>
          <w:b/>
          <w:color w:val="auto"/>
          <w:kern w:val="2"/>
          <w:sz w:val="28"/>
          <w:szCs w:val="28"/>
          <w:highlight w:val="none"/>
          <w:lang w:bidi="ar"/>
        </w:rPr>
        <w:t>数字技术赋能产业全面提升。</w:t>
      </w:r>
      <w:r>
        <w:rPr>
          <w:rFonts w:hint="eastAsia" w:ascii="仿宋" w:hAnsi="仿宋" w:eastAsia="仿宋" w:cs="仿宋"/>
          <w:color w:val="auto"/>
          <w:kern w:val="2"/>
          <w:sz w:val="28"/>
          <w:szCs w:val="28"/>
          <w:highlight w:val="none"/>
          <w:lang w:bidi="ar"/>
        </w:rPr>
        <w:t>智慧农业发展稳步推进，统筹升级建设了数字“三农”军情室、数字星空等8个农业大数据分析平台，成为全省2个数字“三农”试点县之一。工业企业技改投资完成21.79亿元，同比增速30%，数控自动化设备全面普及，金税、安防等系统覆盖各类生产企业。智慧物流园区、无人零售终端、弦乐博物馆等一批数字化服务业项目投资进展顺利。APP、网站、新媒体已成为各企业单位日常经营、品牌塑造、营销宣传的重要手段。</w:t>
      </w:r>
    </w:p>
    <w:p>
      <w:pPr>
        <w:pStyle w:val="10"/>
        <w:widowControl w:val="0"/>
        <w:spacing w:before="0" w:beforeAutospacing="0" w:after="0" w:afterAutospacing="0" w:line="560" w:lineRule="exact"/>
        <w:ind w:firstLine="562" w:firstLineChars="200"/>
        <w:jc w:val="both"/>
        <w:rPr>
          <w:rFonts w:hint="eastAsia" w:ascii="仿宋" w:hAnsi="仿宋" w:eastAsia="仿宋" w:cs="仿宋"/>
          <w:b w:val="0"/>
          <w:bCs/>
          <w:color w:val="auto"/>
          <w:kern w:val="2"/>
          <w:sz w:val="28"/>
          <w:szCs w:val="28"/>
          <w:highlight w:val="none"/>
          <w:lang w:val="en-US" w:eastAsia="zh-CN" w:bidi="ar"/>
        </w:rPr>
      </w:pPr>
      <w:r>
        <w:rPr>
          <w:rFonts w:hint="eastAsia" w:ascii="仿宋" w:hAnsi="仿宋" w:eastAsia="仿宋" w:cs="仿宋"/>
          <w:b/>
          <w:color w:val="auto"/>
          <w:kern w:val="2"/>
          <w:sz w:val="28"/>
          <w:szCs w:val="28"/>
          <w:highlight w:val="none"/>
          <w:lang w:bidi="ar"/>
        </w:rPr>
        <w:t>数字化城乡治理体系初步建成。</w:t>
      </w:r>
      <w:r>
        <w:rPr>
          <w:rFonts w:hint="eastAsia" w:ascii="仿宋" w:hAnsi="仿宋" w:eastAsia="仿宋" w:cs="仿宋"/>
          <w:b w:val="0"/>
          <w:bCs/>
          <w:color w:val="auto"/>
          <w:kern w:val="2"/>
          <w:sz w:val="28"/>
          <w:szCs w:val="28"/>
          <w:highlight w:val="none"/>
          <w:lang w:bidi="ar"/>
        </w:rPr>
        <w:t>推进美丽乡村建设。切实加强乡村振兴的“硬件”支撑，全面提升乡村整体形象。持续改善农村“路、水、电、气、讯”等基础设施建设，推动城乡基础设施共建共享、互联互通，推进县乡村基本公共服务一体化，推动教育、医疗、文化等公共资源均衡发展，进一步加大力度实施美丽庭院提升工程、扎实开展省、市、区乡村振兴先进乡镇、示范村 （社区） 三级联创，同时大力实施“小果园、小花园、小菜园、小公园”的“四园”</w:t>
      </w:r>
      <w:r>
        <w:rPr>
          <w:rFonts w:hint="eastAsia" w:ascii="仿宋" w:hAnsi="仿宋" w:eastAsia="仿宋" w:cs="仿宋"/>
          <w:b w:val="0"/>
          <w:bCs/>
          <w:color w:val="auto"/>
          <w:kern w:val="2"/>
          <w:sz w:val="28"/>
          <w:szCs w:val="28"/>
          <w:highlight w:val="none"/>
          <w:lang w:val="en-US" w:eastAsia="zh-CN" w:bidi="ar"/>
        </w:rPr>
        <w:t>庭院经济建设，建设美丽宜居乡村。“十四五”期间完成200个院落提升改造建设，打造5个移民幸福美丽家园，创建5个先进乡镇、20个示范村。</w:t>
      </w:r>
    </w:p>
    <w:p>
      <w:pPr>
        <w:pStyle w:val="10"/>
        <w:widowControl w:val="0"/>
        <w:spacing w:before="0" w:beforeAutospacing="0" w:after="0" w:afterAutospacing="0" w:line="560" w:lineRule="exact"/>
        <w:ind w:firstLine="562" w:firstLineChars="200"/>
        <w:jc w:val="both"/>
        <w:rPr>
          <w:rFonts w:ascii="仿宋" w:hAnsi="仿宋" w:eastAsia="仿宋" w:cs="Times New Roman"/>
          <w:color w:val="auto"/>
          <w:sz w:val="28"/>
          <w:highlight w:val="none"/>
          <w:lang w:bidi="ar"/>
        </w:rPr>
      </w:pPr>
      <w:r>
        <w:rPr>
          <w:rFonts w:hint="eastAsia" w:ascii="仿宋" w:hAnsi="仿宋" w:eastAsia="仿宋" w:cs="仿宋"/>
          <w:b/>
          <w:color w:val="auto"/>
          <w:kern w:val="2"/>
          <w:sz w:val="28"/>
          <w:szCs w:val="28"/>
          <w:highlight w:val="none"/>
          <w:lang w:bidi="ar"/>
        </w:rPr>
        <w:t>产业发展生态培育取得新成效。</w:t>
      </w:r>
      <w:r>
        <w:rPr>
          <w:rStyle w:val="15"/>
          <w:rFonts w:hint="eastAsia"/>
          <w:color w:val="auto"/>
          <w:highlight w:val="none"/>
        </w:rPr>
        <w:t>全区研究与试验发展（R&amp;D）投入不断增加，科技成果转化和产学研协同创新持续推进，与中国科学院、四川大学、四川农业大学等高等院校达成合作关系。着力打造飞地孵化模式，建成</w:t>
      </w:r>
      <w:r>
        <w:rPr>
          <w:rFonts w:hint="eastAsia" w:ascii="仿宋" w:hAnsi="仿宋" w:eastAsia="仿宋" w:cs="Times New Roman"/>
          <w:color w:val="auto"/>
          <w:sz w:val="28"/>
          <w:highlight w:val="none"/>
          <w:lang w:bidi="ar"/>
        </w:rPr>
        <w:t>中关村（达州·通川）飞地孵化中心</w:t>
      </w:r>
      <w:r>
        <w:rPr>
          <w:rFonts w:ascii="仿宋" w:hAnsi="仿宋" w:eastAsia="仿宋" w:cs="Times New Roman"/>
          <w:color w:val="auto"/>
          <w:sz w:val="28"/>
          <w:highlight w:val="none"/>
          <w:lang w:bidi="ar"/>
        </w:rPr>
        <w:t>，</w:t>
      </w:r>
      <w:r>
        <w:rPr>
          <w:rStyle w:val="15"/>
          <w:color w:val="auto"/>
          <w:highlight w:val="none"/>
        </w:rPr>
        <w:t>北航星空航培、集客大数据等</w:t>
      </w:r>
      <w:r>
        <w:rPr>
          <w:rStyle w:val="17"/>
          <w:color w:val="auto"/>
          <w:highlight w:val="none"/>
        </w:rPr>
        <w:t>12</w:t>
      </w:r>
      <w:r>
        <w:rPr>
          <w:rStyle w:val="15"/>
          <w:color w:val="auto"/>
          <w:highlight w:val="none"/>
        </w:rPr>
        <w:t>支研发团队入驻孵化</w:t>
      </w:r>
      <w:r>
        <w:rPr>
          <w:rStyle w:val="15"/>
          <w:rFonts w:hint="eastAsia"/>
          <w:color w:val="auto"/>
          <w:highlight w:val="none"/>
        </w:rPr>
        <w:t>，</w:t>
      </w:r>
      <w:r>
        <w:rPr>
          <w:rFonts w:ascii="仿宋" w:hAnsi="仿宋" w:eastAsia="仿宋" w:cs="Times New Roman"/>
          <w:color w:val="auto"/>
          <w:sz w:val="28"/>
          <w:highlight w:val="none"/>
          <w:lang w:bidi="ar"/>
        </w:rPr>
        <w:t>促进</w:t>
      </w:r>
      <w:r>
        <w:rPr>
          <w:rFonts w:hint="eastAsia" w:ascii="仿宋" w:hAnsi="仿宋" w:eastAsia="仿宋" w:cs="Times New Roman"/>
          <w:color w:val="auto"/>
          <w:sz w:val="28"/>
          <w:highlight w:val="none"/>
          <w:lang w:bidi="ar"/>
        </w:rPr>
        <w:t>了资源与</w:t>
      </w:r>
      <w:r>
        <w:rPr>
          <w:rFonts w:ascii="仿宋" w:hAnsi="仿宋" w:eastAsia="仿宋" w:cs="Times New Roman"/>
          <w:color w:val="auto"/>
          <w:sz w:val="28"/>
          <w:highlight w:val="none"/>
          <w:lang w:bidi="ar"/>
        </w:rPr>
        <w:t>创新要素双向流动</w:t>
      </w:r>
      <w:r>
        <w:rPr>
          <w:rStyle w:val="15"/>
          <w:color w:val="auto"/>
          <w:highlight w:val="none"/>
        </w:rPr>
        <w:t>。</w:t>
      </w:r>
      <w:r>
        <w:rPr>
          <w:rStyle w:val="15"/>
          <w:rFonts w:hint="eastAsia"/>
          <w:color w:val="auto"/>
          <w:highlight w:val="none"/>
        </w:rPr>
        <w:t>文旅农工融合发展，产业协同全面提升，建成现代农业示范园</w:t>
      </w:r>
      <w:r>
        <w:rPr>
          <w:rStyle w:val="15"/>
          <w:color w:val="auto"/>
          <w:highlight w:val="none"/>
        </w:rPr>
        <w:t>21个、特色产业基地39个，复兴康养文旅小镇等25个</w:t>
      </w:r>
      <w:r>
        <w:rPr>
          <w:rStyle w:val="15"/>
          <w:rFonts w:hint="eastAsia"/>
          <w:color w:val="auto"/>
          <w:highlight w:val="none"/>
        </w:rPr>
        <w:t>产业融合</w:t>
      </w:r>
      <w:r>
        <w:rPr>
          <w:rStyle w:val="15"/>
          <w:color w:val="auto"/>
          <w:highlight w:val="none"/>
        </w:rPr>
        <w:t>项目加快推进</w:t>
      </w:r>
      <w:r>
        <w:rPr>
          <w:rStyle w:val="15"/>
          <w:rFonts w:hint="eastAsia"/>
          <w:color w:val="auto"/>
          <w:highlight w:val="none"/>
        </w:rPr>
        <w:t>。</w:t>
      </w:r>
    </w:p>
    <w:p>
      <w:pPr>
        <w:pStyle w:val="3"/>
        <w:spacing w:before="200" w:after="100" w:line="560" w:lineRule="exact"/>
        <w:rPr>
          <w:rFonts w:ascii="仿宋_GB2312" w:hAnsi="仿宋_GB2312" w:eastAsia="仿宋_GB2312" w:cs="仿宋_GB2312"/>
          <w:color w:val="auto"/>
          <w:sz w:val="32"/>
          <w:highlight w:val="none"/>
        </w:rPr>
      </w:pPr>
      <w:bookmarkStart w:id="35" w:name="_Toc81298635"/>
      <w:r>
        <w:rPr>
          <w:rFonts w:hint="eastAsia" w:ascii="仿宋_GB2312" w:hAnsi="仿宋_GB2312" w:eastAsia="仿宋_GB2312" w:cs="仿宋_GB2312"/>
          <w:color w:val="auto"/>
          <w:sz w:val="32"/>
          <w:highlight w:val="none"/>
        </w:rPr>
        <w:t>（二）优势与机遇</w:t>
      </w:r>
      <w:bookmarkEnd w:id="31"/>
      <w:bookmarkEnd w:id="32"/>
      <w:bookmarkEnd w:id="33"/>
      <w:bookmarkEnd w:id="34"/>
      <w:bookmarkEnd w:id="35"/>
    </w:p>
    <w:p>
      <w:pPr>
        <w:pStyle w:val="10"/>
        <w:widowControl w:val="0"/>
        <w:spacing w:before="0" w:beforeAutospacing="0" w:after="0" w:afterAutospacing="0" w:line="560" w:lineRule="exact"/>
        <w:ind w:firstLine="562" w:firstLineChars="200"/>
        <w:jc w:val="both"/>
        <w:rPr>
          <w:bCs/>
          <w:color w:val="auto"/>
          <w:sz w:val="28"/>
          <w:szCs w:val="22"/>
          <w:highlight w:val="none"/>
        </w:rPr>
      </w:pPr>
      <w:r>
        <w:rPr>
          <w:rFonts w:hint="eastAsia" w:ascii="仿宋" w:hAnsi="仿宋" w:eastAsia="仿宋" w:cs="仿宋"/>
          <w:b/>
          <w:color w:val="auto"/>
          <w:kern w:val="2"/>
          <w:sz w:val="28"/>
          <w:szCs w:val="22"/>
          <w:highlight w:val="none"/>
          <w:lang w:bidi="ar"/>
        </w:rPr>
        <w:t>政策思想引领。</w:t>
      </w:r>
      <w:r>
        <w:rPr>
          <w:rFonts w:hint="eastAsia" w:ascii="仿宋" w:hAnsi="仿宋" w:eastAsia="仿宋" w:cs="仿宋"/>
          <w:bCs/>
          <w:color w:val="auto"/>
          <w:kern w:val="2"/>
          <w:sz w:val="28"/>
          <w:szCs w:val="22"/>
          <w:highlight w:val="none"/>
          <w:lang w:bidi="ar"/>
        </w:rPr>
        <w:t>四川省高度重视数字经济发展，数字经济占全省GDP比重</w:t>
      </w:r>
      <w:r>
        <w:rPr>
          <w:rFonts w:hint="eastAsia" w:ascii="仿宋" w:hAnsi="仿宋" w:eastAsia="仿宋" w:cs="仿宋"/>
          <w:bCs/>
          <w:color w:val="auto"/>
          <w:kern w:val="2"/>
          <w:sz w:val="28"/>
          <w:szCs w:val="22"/>
          <w:highlight w:val="none"/>
          <w:lang w:val="en-US" w:eastAsia="zh-CN" w:bidi="ar"/>
        </w:rPr>
        <w:t>超35</w:t>
      </w:r>
      <w:r>
        <w:rPr>
          <w:rFonts w:hint="eastAsia" w:ascii="仿宋" w:hAnsi="仿宋" w:eastAsia="仿宋" w:cs="仿宋"/>
          <w:bCs/>
          <w:color w:val="auto"/>
          <w:kern w:val="2"/>
          <w:sz w:val="28"/>
          <w:szCs w:val="22"/>
          <w:highlight w:val="none"/>
          <w:lang w:bidi="ar"/>
        </w:rPr>
        <w:t>%，信息化发展水平位于全国第一梯队。达州市积极响应重大战略部署，成立数字经济局统筹全市数字经济高质量发展。通川区成立数字经济</w:t>
      </w:r>
      <w:r>
        <w:rPr>
          <w:rStyle w:val="15"/>
          <w:color w:val="auto"/>
          <w:highlight w:val="none"/>
        </w:rPr>
        <w:t>发展领导小组</w:t>
      </w:r>
      <w:r>
        <w:rPr>
          <w:rStyle w:val="15"/>
          <w:rFonts w:hint="eastAsia"/>
          <w:color w:val="auto"/>
          <w:highlight w:val="none"/>
        </w:rPr>
        <w:t>，</w:t>
      </w:r>
      <w:r>
        <w:rPr>
          <w:rFonts w:hint="eastAsia" w:ascii="仿宋" w:hAnsi="仿宋" w:eastAsia="仿宋" w:cs="仿宋"/>
          <w:bCs/>
          <w:color w:val="auto"/>
          <w:kern w:val="2"/>
          <w:sz w:val="28"/>
          <w:szCs w:val="22"/>
          <w:highlight w:val="none"/>
          <w:lang w:bidi="ar"/>
        </w:rPr>
        <w:t>将“</w:t>
      </w:r>
      <w:r>
        <w:rPr>
          <w:rFonts w:ascii="仿宋" w:hAnsi="仿宋" w:eastAsia="仿宋" w:cs="仿宋"/>
          <w:bCs/>
          <w:color w:val="auto"/>
          <w:kern w:val="2"/>
          <w:sz w:val="28"/>
          <w:szCs w:val="22"/>
          <w:highlight w:val="none"/>
          <w:lang w:bidi="ar"/>
        </w:rPr>
        <w:t>加快数字化整体转型，建设川东数字高地</w:t>
      </w:r>
      <w:r>
        <w:rPr>
          <w:rFonts w:hint="eastAsia" w:ascii="仿宋" w:hAnsi="仿宋" w:eastAsia="仿宋" w:cs="仿宋"/>
          <w:bCs/>
          <w:color w:val="auto"/>
          <w:kern w:val="2"/>
          <w:sz w:val="28"/>
          <w:szCs w:val="22"/>
          <w:highlight w:val="none"/>
          <w:lang w:bidi="ar"/>
        </w:rPr>
        <w:t>”章节加入十四五规划，着力</w:t>
      </w:r>
      <w:r>
        <w:rPr>
          <w:rFonts w:ascii="仿宋" w:hAnsi="仿宋" w:eastAsia="仿宋" w:cs="仿宋"/>
          <w:bCs/>
          <w:color w:val="auto"/>
          <w:kern w:val="2"/>
          <w:sz w:val="28"/>
          <w:szCs w:val="22"/>
          <w:highlight w:val="none"/>
          <w:lang w:bidi="ar"/>
        </w:rPr>
        <w:t>打造数字经济主城样板</w:t>
      </w:r>
      <w:r>
        <w:rPr>
          <w:rFonts w:hint="eastAsia" w:ascii="仿宋" w:hAnsi="仿宋" w:eastAsia="仿宋" w:cs="仿宋"/>
          <w:bCs/>
          <w:color w:val="auto"/>
          <w:kern w:val="2"/>
          <w:sz w:val="28"/>
          <w:szCs w:val="22"/>
          <w:highlight w:val="none"/>
          <w:lang w:bidi="ar"/>
        </w:rPr>
        <w:t>。</w:t>
      </w:r>
    </w:p>
    <w:p>
      <w:pPr>
        <w:pStyle w:val="10"/>
        <w:spacing w:line="560" w:lineRule="exact"/>
        <w:ind w:firstLine="562" w:firstLineChars="200"/>
        <w:jc w:val="both"/>
        <w:rPr>
          <w:bCs/>
          <w:color w:val="auto"/>
          <w:sz w:val="28"/>
          <w:szCs w:val="22"/>
          <w:highlight w:val="none"/>
        </w:rPr>
      </w:pPr>
      <w:r>
        <w:rPr>
          <w:rFonts w:hint="eastAsia" w:ascii="仿宋" w:hAnsi="仿宋" w:eastAsia="仿宋" w:cs="仿宋"/>
          <w:b/>
          <w:color w:val="auto"/>
          <w:kern w:val="2"/>
          <w:sz w:val="28"/>
          <w:szCs w:val="22"/>
          <w:highlight w:val="none"/>
          <w:lang w:bidi="ar"/>
        </w:rPr>
        <w:t>地理位置优越。</w:t>
      </w:r>
      <w:r>
        <w:rPr>
          <w:rFonts w:hint="eastAsia" w:ascii="仿宋" w:hAnsi="仿宋" w:eastAsia="仿宋" w:cs="仿宋"/>
          <w:color w:val="auto"/>
          <w:kern w:val="2"/>
          <w:sz w:val="28"/>
          <w:szCs w:val="22"/>
          <w:highlight w:val="none"/>
          <w:lang w:bidi="ar"/>
        </w:rPr>
        <w:t>通川区位于川渝陕三省交界中心地区，是四川省对外开放的“东大门”，三条国家铁路、四条高速公路干线在此交汇，是国家重点布局规划的二级物流中心城市。在建的高铁将通川纳入成达渝1小时都市交通圈，达州市</w:t>
      </w:r>
      <w:r>
        <w:rPr>
          <w:rFonts w:ascii="仿宋" w:hAnsi="仿宋" w:eastAsia="仿宋" w:cs="仿宋"/>
          <w:bCs/>
          <w:color w:val="auto"/>
          <w:kern w:val="2"/>
          <w:sz w:val="28"/>
          <w:szCs w:val="22"/>
          <w:highlight w:val="none"/>
          <w:lang w:bidi="ar"/>
        </w:rPr>
        <w:t>州河航运</w:t>
      </w:r>
      <w:r>
        <w:rPr>
          <w:rFonts w:hint="eastAsia" w:ascii="仿宋" w:hAnsi="仿宋" w:eastAsia="仿宋" w:cs="仿宋"/>
          <w:bCs/>
          <w:color w:val="auto"/>
          <w:kern w:val="2"/>
          <w:sz w:val="28"/>
          <w:szCs w:val="22"/>
          <w:highlight w:val="none"/>
          <w:lang w:bidi="ar"/>
        </w:rPr>
        <w:t>、通航机场、中欧铁路班列等交通资源丰富，</w:t>
      </w:r>
      <w:r>
        <w:rPr>
          <w:rFonts w:ascii="仿宋" w:hAnsi="仿宋" w:eastAsia="仿宋" w:cs="仿宋"/>
          <w:bCs/>
          <w:color w:val="auto"/>
          <w:kern w:val="2"/>
          <w:sz w:val="28"/>
          <w:szCs w:val="22"/>
          <w:highlight w:val="none"/>
          <w:lang w:bidi="ar"/>
        </w:rPr>
        <w:t>直通</w:t>
      </w:r>
      <w:r>
        <w:rPr>
          <w:rFonts w:hint="eastAsia" w:ascii="仿宋" w:hAnsi="仿宋" w:eastAsia="仿宋" w:cs="仿宋"/>
          <w:bCs/>
          <w:color w:val="auto"/>
          <w:kern w:val="2"/>
          <w:sz w:val="28"/>
          <w:szCs w:val="22"/>
          <w:highlight w:val="none"/>
          <w:lang w:bidi="ar"/>
        </w:rPr>
        <w:t>国内外</w:t>
      </w:r>
      <w:r>
        <w:rPr>
          <w:rFonts w:ascii="仿宋" w:hAnsi="仿宋" w:eastAsia="仿宋" w:cs="仿宋"/>
          <w:bCs/>
          <w:color w:val="auto"/>
          <w:kern w:val="2"/>
          <w:sz w:val="28"/>
          <w:szCs w:val="22"/>
          <w:highlight w:val="none"/>
          <w:lang w:bidi="ar"/>
        </w:rPr>
        <w:t>重要</w:t>
      </w:r>
      <w:r>
        <w:rPr>
          <w:rFonts w:hint="eastAsia" w:ascii="仿宋" w:hAnsi="仿宋" w:eastAsia="仿宋" w:cs="仿宋"/>
          <w:bCs/>
          <w:color w:val="auto"/>
          <w:kern w:val="2"/>
          <w:sz w:val="28"/>
          <w:szCs w:val="22"/>
          <w:highlight w:val="none"/>
          <w:lang w:bidi="ar"/>
        </w:rPr>
        <w:t>交通集散地，为产业商贸物流协同发展提供坚实保障</w:t>
      </w:r>
      <w:r>
        <w:rPr>
          <w:rFonts w:ascii="仿宋" w:hAnsi="仿宋" w:eastAsia="仿宋" w:cs="仿宋"/>
          <w:bCs/>
          <w:color w:val="auto"/>
          <w:kern w:val="2"/>
          <w:sz w:val="28"/>
          <w:szCs w:val="22"/>
          <w:highlight w:val="none"/>
          <w:lang w:bidi="ar"/>
        </w:rPr>
        <w:t>。</w:t>
      </w:r>
    </w:p>
    <w:p>
      <w:pPr>
        <w:pStyle w:val="10"/>
        <w:widowControl w:val="0"/>
        <w:spacing w:before="0" w:beforeAutospacing="0" w:after="0" w:afterAutospacing="0" w:line="560" w:lineRule="exact"/>
        <w:ind w:firstLine="562" w:firstLineChars="200"/>
        <w:jc w:val="both"/>
        <w:rPr>
          <w:bCs/>
          <w:color w:val="auto"/>
          <w:szCs w:val="22"/>
          <w:highlight w:val="none"/>
        </w:rPr>
      </w:pPr>
      <w:r>
        <w:rPr>
          <w:rFonts w:hint="eastAsia" w:ascii="仿宋" w:hAnsi="仿宋" w:eastAsia="仿宋" w:cs="仿宋"/>
          <w:b/>
          <w:color w:val="auto"/>
          <w:kern w:val="2"/>
          <w:sz w:val="28"/>
          <w:szCs w:val="22"/>
          <w:highlight w:val="none"/>
          <w:lang w:bidi="ar"/>
        </w:rPr>
        <w:t>市场潜力巨大。</w:t>
      </w:r>
      <w:r>
        <w:rPr>
          <w:rFonts w:hint="eastAsia" w:ascii="仿宋" w:hAnsi="仿宋" w:eastAsia="仿宋" w:cs="仿宋"/>
          <w:bCs/>
          <w:color w:val="auto"/>
          <w:kern w:val="2"/>
          <w:sz w:val="28"/>
          <w:szCs w:val="22"/>
          <w:highlight w:val="none"/>
          <w:lang w:bidi="ar"/>
        </w:rPr>
        <w:t>202</w:t>
      </w:r>
      <w:r>
        <w:rPr>
          <w:rFonts w:hint="eastAsia" w:ascii="仿宋" w:hAnsi="仿宋" w:eastAsia="仿宋" w:cs="仿宋"/>
          <w:bCs/>
          <w:color w:val="auto"/>
          <w:kern w:val="2"/>
          <w:sz w:val="28"/>
          <w:szCs w:val="22"/>
          <w:highlight w:val="none"/>
          <w:lang w:val="en-US" w:eastAsia="zh-CN" w:bidi="ar"/>
        </w:rPr>
        <w:t>1</w:t>
      </w:r>
      <w:r>
        <w:rPr>
          <w:rFonts w:hint="eastAsia" w:ascii="仿宋" w:hAnsi="仿宋" w:eastAsia="仿宋" w:cs="仿宋"/>
          <w:bCs/>
          <w:color w:val="auto"/>
          <w:kern w:val="2"/>
          <w:sz w:val="28"/>
          <w:szCs w:val="22"/>
          <w:highlight w:val="none"/>
          <w:lang w:bidi="ar"/>
        </w:rPr>
        <w:t>年通川区常住人口90.6万人，城</w:t>
      </w:r>
      <w:r>
        <w:rPr>
          <w:rFonts w:hint="eastAsia" w:ascii="仿宋" w:hAnsi="仿宋" w:eastAsia="仿宋" w:cs="仿宋"/>
          <w:color w:val="auto"/>
          <w:kern w:val="2"/>
          <w:sz w:val="28"/>
          <w:szCs w:val="22"/>
          <w:highlight w:val="none"/>
          <w:lang w:bidi="ar"/>
        </w:rPr>
        <w:t>镇人均可支配收入达到39852元，农村人均可支配收入20765元。区内网络零售额达到9.28亿元</w:t>
      </w:r>
      <w:r>
        <w:rPr>
          <w:rFonts w:ascii="仿宋" w:hAnsi="仿宋" w:eastAsia="仿宋" w:cs="仿宋"/>
          <w:color w:val="auto"/>
          <w:kern w:val="2"/>
          <w:sz w:val="28"/>
          <w:szCs w:val="22"/>
          <w:highlight w:val="none"/>
          <w:lang w:bidi="ar"/>
        </w:rPr>
        <w:t>，占全市比例超过</w:t>
      </w:r>
      <w:r>
        <w:rPr>
          <w:rFonts w:hint="eastAsia" w:ascii="仿宋" w:hAnsi="仿宋" w:eastAsia="仿宋" w:cs="仿宋"/>
          <w:color w:val="auto"/>
          <w:kern w:val="2"/>
          <w:sz w:val="28"/>
          <w:szCs w:val="22"/>
          <w:highlight w:val="none"/>
          <w:lang w:bidi="ar"/>
        </w:rPr>
        <w:t>四分之一</w:t>
      </w:r>
      <w:r>
        <w:rPr>
          <w:rFonts w:ascii="仿宋" w:hAnsi="仿宋" w:eastAsia="仿宋" w:cs="仿宋"/>
          <w:color w:val="auto"/>
          <w:kern w:val="2"/>
          <w:sz w:val="28"/>
          <w:szCs w:val="22"/>
          <w:highlight w:val="none"/>
          <w:lang w:bidi="ar"/>
        </w:rPr>
        <w:t>，消费</w:t>
      </w:r>
      <w:r>
        <w:rPr>
          <w:rFonts w:hint="eastAsia" w:ascii="仿宋" w:hAnsi="仿宋" w:eastAsia="仿宋" w:cs="仿宋"/>
          <w:color w:val="auto"/>
          <w:kern w:val="2"/>
          <w:sz w:val="28"/>
          <w:szCs w:val="22"/>
          <w:highlight w:val="none"/>
          <w:lang w:bidi="ar"/>
        </w:rPr>
        <w:t>实力强劲</w:t>
      </w:r>
      <w:r>
        <w:rPr>
          <w:rFonts w:ascii="仿宋" w:hAnsi="仿宋" w:eastAsia="仿宋" w:cs="仿宋"/>
          <w:color w:val="auto"/>
          <w:kern w:val="2"/>
          <w:sz w:val="28"/>
          <w:szCs w:val="22"/>
          <w:highlight w:val="none"/>
          <w:lang w:bidi="ar"/>
        </w:rPr>
        <w:t>。</w:t>
      </w:r>
      <w:r>
        <w:rPr>
          <w:rFonts w:hint="eastAsia" w:ascii="仿宋" w:hAnsi="仿宋" w:eastAsia="仿宋" w:cs="仿宋"/>
          <w:bCs/>
          <w:color w:val="auto"/>
          <w:kern w:val="2"/>
          <w:sz w:val="28"/>
          <w:szCs w:val="22"/>
          <w:highlight w:val="none"/>
          <w:lang w:bidi="ar"/>
        </w:rPr>
        <w:t>作为达州市唯一的人口净流入城市，区内市场直接辐射达州700万人口，影响力遍及半径200公里内的四省八市三区7300万人口。</w:t>
      </w:r>
    </w:p>
    <w:p>
      <w:pPr>
        <w:pStyle w:val="10"/>
        <w:widowControl w:val="0"/>
        <w:spacing w:before="0" w:beforeAutospacing="0" w:after="0" w:afterAutospacing="0" w:line="560" w:lineRule="exact"/>
        <w:ind w:firstLine="562" w:firstLineChars="200"/>
        <w:jc w:val="both"/>
        <w:rPr>
          <w:bCs/>
          <w:color w:val="auto"/>
          <w:sz w:val="28"/>
          <w:szCs w:val="22"/>
          <w:highlight w:val="none"/>
        </w:rPr>
      </w:pPr>
      <w:r>
        <w:rPr>
          <w:rFonts w:hint="eastAsia" w:ascii="仿宋" w:hAnsi="仿宋" w:eastAsia="仿宋" w:cs="仿宋"/>
          <w:b/>
          <w:color w:val="auto"/>
          <w:kern w:val="2"/>
          <w:sz w:val="28"/>
          <w:szCs w:val="22"/>
          <w:highlight w:val="none"/>
          <w:lang w:bidi="ar"/>
        </w:rPr>
        <w:t>文旅资源丰富。</w:t>
      </w:r>
      <w:r>
        <w:rPr>
          <w:rFonts w:hint="eastAsia" w:ascii="仿宋" w:hAnsi="仿宋" w:eastAsia="仿宋" w:cs="仿宋"/>
          <w:color w:val="auto"/>
          <w:kern w:val="2"/>
          <w:sz w:val="28"/>
          <w:szCs w:val="22"/>
          <w:highlight w:val="none"/>
          <w:lang w:bidi="ar"/>
        </w:rPr>
        <w:t>通川区夏热冬温、气候湿润、四季分明。</w:t>
      </w:r>
      <w:r>
        <w:rPr>
          <w:rFonts w:hint="eastAsia" w:ascii="仿宋" w:hAnsi="仿宋" w:eastAsia="仿宋" w:cs="仿宋"/>
          <w:bCs/>
          <w:color w:val="auto"/>
          <w:kern w:val="2"/>
          <w:sz w:val="28"/>
          <w:szCs w:val="22"/>
          <w:highlight w:val="none"/>
          <w:lang w:bidi="ar"/>
        </w:rPr>
        <w:t>州河、巴河流经境内，森林覆盖率达36 %，</w:t>
      </w:r>
      <w:r>
        <w:rPr>
          <w:rFonts w:hint="eastAsia" w:ascii="仿宋" w:hAnsi="仿宋" w:eastAsia="仿宋" w:cs="仿宋"/>
          <w:color w:val="auto"/>
          <w:kern w:val="2"/>
          <w:sz w:val="28"/>
          <w:szCs w:val="22"/>
          <w:highlight w:val="none"/>
          <w:lang w:bidi="ar"/>
        </w:rPr>
        <w:t>拥有</w:t>
      </w:r>
      <w:r>
        <w:rPr>
          <w:rFonts w:ascii="仿宋" w:hAnsi="仿宋" w:eastAsia="仿宋" w:cs="仿宋"/>
          <w:color w:val="auto"/>
          <w:kern w:val="2"/>
          <w:sz w:val="28"/>
          <w:szCs w:val="22"/>
          <w:highlight w:val="none"/>
          <w:lang w:bidi="ar"/>
        </w:rPr>
        <w:t>红色</w:t>
      </w:r>
      <w:r>
        <w:rPr>
          <w:rFonts w:hint="eastAsia" w:ascii="仿宋" w:hAnsi="仿宋" w:eastAsia="仿宋" w:cs="仿宋"/>
          <w:color w:val="auto"/>
          <w:kern w:val="2"/>
          <w:sz w:val="28"/>
          <w:szCs w:val="22"/>
          <w:highlight w:val="none"/>
          <w:lang w:bidi="ar"/>
        </w:rPr>
        <w:t>基因、</w:t>
      </w:r>
      <w:r>
        <w:rPr>
          <w:rFonts w:ascii="仿宋" w:hAnsi="仿宋" w:eastAsia="仿宋" w:cs="仿宋"/>
          <w:color w:val="auto"/>
          <w:kern w:val="2"/>
          <w:sz w:val="28"/>
          <w:szCs w:val="22"/>
          <w:highlight w:val="none"/>
          <w:lang w:bidi="ar"/>
        </w:rPr>
        <w:t>秦巴</w:t>
      </w:r>
      <w:r>
        <w:rPr>
          <w:rFonts w:hint="eastAsia" w:ascii="仿宋" w:hAnsi="仿宋" w:eastAsia="仿宋" w:cs="仿宋"/>
          <w:color w:val="auto"/>
          <w:kern w:val="2"/>
          <w:sz w:val="28"/>
          <w:szCs w:val="22"/>
          <w:highlight w:val="none"/>
          <w:lang w:bidi="ar"/>
        </w:rPr>
        <w:t>文化两张特色文旅名片。</w:t>
      </w:r>
      <w:r>
        <w:rPr>
          <w:rFonts w:hint="eastAsia" w:ascii="仿宋" w:hAnsi="仿宋" w:eastAsia="仿宋" w:cs="仿宋"/>
          <w:bCs/>
          <w:color w:val="auto"/>
          <w:kern w:val="2"/>
          <w:sz w:val="28"/>
          <w:szCs w:val="22"/>
          <w:highlight w:val="none"/>
          <w:lang w:bidi="ar"/>
        </w:rPr>
        <w:t>区内有省级风景名胜区犀牛山森林公园，人文红色旅游景区神剑园、红军文化陈列馆、红卅军政治部旧址等，莲花湖风景区、千口岭森林公园、金石五彩梯田、青宁“空中草原”等生态景点星罗棋布，“将军故里、山水通川”旅游品牌闻名遐迩。</w:t>
      </w:r>
    </w:p>
    <w:p>
      <w:pPr>
        <w:widowControl/>
        <w:ind w:firstLine="562" w:firstLineChars="200"/>
        <w:rPr>
          <w:rStyle w:val="15"/>
          <w:bCs/>
          <w:color w:val="auto"/>
          <w:highlight w:val="none"/>
        </w:rPr>
      </w:pPr>
      <w:r>
        <w:rPr>
          <w:rFonts w:hint="eastAsia" w:ascii="仿宋" w:hAnsi="仿宋" w:eastAsia="仿宋" w:cs="Times New Roman"/>
          <w:b/>
          <w:color w:val="auto"/>
          <w:sz w:val="28"/>
          <w:highlight w:val="none"/>
          <w:lang w:bidi="ar"/>
        </w:rPr>
        <w:t>产业品牌特色。</w:t>
      </w:r>
      <w:r>
        <w:rPr>
          <w:rFonts w:hint="eastAsia" w:ascii="仿宋" w:hAnsi="仿宋" w:eastAsia="仿宋" w:cs="Times New Roman"/>
          <w:bCs/>
          <w:color w:val="auto"/>
          <w:sz w:val="28"/>
          <w:highlight w:val="none"/>
          <w:lang w:bidi="ar"/>
        </w:rPr>
        <w:t>通川区着力打造农产品加工业、智能制造产业、医药健康产业、文化旅游业、现代物流业等重点产业。品牌塑造成果斐然，已打造通川草莓、巴山脆李、灯影牛肉等一批地理标志产品，三圣宫、川汉子、地奥等驰名商标和老字号全国闻名</w:t>
      </w:r>
      <w:r>
        <w:rPr>
          <w:rFonts w:hint="eastAsia" w:ascii="仿宋" w:hAnsi="仿宋" w:eastAsia="仿宋" w:cs="Times New Roman"/>
          <w:b/>
          <w:color w:val="auto"/>
          <w:sz w:val="28"/>
          <w:szCs w:val="28"/>
          <w:highlight w:val="none"/>
          <w:lang w:bidi="ar"/>
        </w:rPr>
        <w:t>，</w:t>
      </w:r>
      <w:r>
        <w:rPr>
          <w:rFonts w:hint="eastAsia" w:ascii="仿宋" w:hAnsi="仿宋" w:eastAsia="仿宋" w:cs="Times New Roman"/>
          <w:color w:val="auto"/>
          <w:sz w:val="28"/>
          <w:szCs w:val="28"/>
          <w:highlight w:val="none"/>
          <w:lang w:bidi="ar"/>
        </w:rPr>
        <w:t>屈氏金园、天泰中药饮片等省级名牌产品已达10个</w:t>
      </w:r>
      <w:r>
        <w:rPr>
          <w:rFonts w:hint="eastAsia" w:ascii="仿宋" w:hAnsi="仿宋" w:eastAsia="仿宋" w:cs="Times New Roman"/>
          <w:bCs/>
          <w:color w:val="auto"/>
          <w:sz w:val="28"/>
          <w:highlight w:val="none"/>
          <w:lang w:bidi="ar"/>
        </w:rPr>
        <w:t>。通川区五年来</w:t>
      </w:r>
      <w:r>
        <w:rPr>
          <w:rStyle w:val="15"/>
          <w:color w:val="auto"/>
          <w:highlight w:val="none"/>
        </w:rPr>
        <w:t>荣获国省级荣誉</w:t>
      </w:r>
      <w:r>
        <w:rPr>
          <w:rStyle w:val="15"/>
          <w:rFonts w:hint="eastAsia"/>
          <w:color w:val="auto"/>
          <w:highlight w:val="none"/>
        </w:rPr>
        <w:t>2</w:t>
      </w:r>
      <w:r>
        <w:rPr>
          <w:rStyle w:val="15"/>
          <w:color w:val="auto"/>
          <w:highlight w:val="none"/>
        </w:rPr>
        <w:t>8项，知名度、美誉度和影响力持续提升</w:t>
      </w:r>
      <w:r>
        <w:rPr>
          <w:rStyle w:val="15"/>
          <w:rFonts w:hint="eastAsia"/>
          <w:color w:val="auto"/>
          <w:highlight w:val="none"/>
        </w:rPr>
        <w:t>。</w:t>
      </w:r>
    </w:p>
    <w:p>
      <w:pPr>
        <w:pStyle w:val="3"/>
        <w:spacing w:before="200" w:after="100" w:line="560" w:lineRule="exact"/>
        <w:rPr>
          <w:rFonts w:ascii="仿宋_GB2312" w:hAnsi="仿宋_GB2312" w:eastAsia="仿宋_GB2312" w:cs="仿宋_GB2312"/>
          <w:color w:val="auto"/>
          <w:sz w:val="32"/>
          <w:highlight w:val="none"/>
        </w:rPr>
      </w:pPr>
      <w:bookmarkStart w:id="36" w:name="_Toc59043570"/>
      <w:bookmarkStart w:id="37" w:name="_Toc59043115"/>
      <w:bookmarkStart w:id="38" w:name="_Toc73544012"/>
      <w:bookmarkStart w:id="39" w:name="_Toc73119019"/>
      <w:bookmarkStart w:id="40" w:name="_Toc81298636"/>
      <w:r>
        <w:rPr>
          <w:rFonts w:hint="eastAsia" w:ascii="仿宋_GB2312" w:hAnsi="仿宋_GB2312" w:eastAsia="仿宋_GB2312" w:cs="仿宋_GB2312"/>
          <w:color w:val="auto"/>
          <w:sz w:val="32"/>
          <w:highlight w:val="none"/>
        </w:rPr>
        <w:t>（三）问题与挑战</w:t>
      </w:r>
      <w:bookmarkEnd w:id="36"/>
      <w:bookmarkEnd w:id="37"/>
      <w:bookmarkEnd w:id="38"/>
      <w:bookmarkEnd w:id="39"/>
      <w:bookmarkEnd w:id="40"/>
      <w:bookmarkStart w:id="41" w:name="_Hlk60836257"/>
    </w:p>
    <w:bookmarkEnd w:id="41"/>
    <w:p>
      <w:pPr>
        <w:pStyle w:val="10"/>
        <w:widowControl w:val="0"/>
        <w:spacing w:before="0" w:beforeAutospacing="0" w:after="0" w:afterAutospacing="0" w:line="560" w:lineRule="exact"/>
        <w:ind w:firstLine="562" w:firstLineChars="200"/>
        <w:jc w:val="both"/>
        <w:rPr>
          <w:rFonts w:cs="仿宋"/>
          <w:color w:val="auto"/>
          <w:sz w:val="28"/>
          <w:szCs w:val="28"/>
          <w:highlight w:val="none"/>
        </w:rPr>
      </w:pPr>
      <w:bookmarkStart w:id="42" w:name="_Toc73119020"/>
      <w:bookmarkStart w:id="43" w:name="_Toc73544013"/>
      <w:bookmarkStart w:id="44" w:name="_Toc59043116"/>
      <w:bookmarkStart w:id="45" w:name="_Toc59043571"/>
      <w:r>
        <w:rPr>
          <w:rFonts w:hint="eastAsia" w:ascii="仿宋" w:hAnsi="仿宋" w:eastAsia="仿宋" w:cs="仿宋"/>
          <w:b/>
          <w:color w:val="auto"/>
          <w:kern w:val="2"/>
          <w:sz w:val="28"/>
          <w:szCs w:val="28"/>
          <w:highlight w:val="none"/>
          <w:lang w:bidi="ar"/>
        </w:rPr>
        <w:t>数字经济发展政策缺乏有效落地。</w:t>
      </w:r>
      <w:r>
        <w:rPr>
          <w:rFonts w:hint="eastAsia" w:ascii="仿宋" w:hAnsi="仿宋" w:eastAsia="仿宋" w:cs="仿宋"/>
          <w:bCs/>
          <w:color w:val="auto"/>
          <w:kern w:val="2"/>
          <w:sz w:val="28"/>
          <w:szCs w:val="28"/>
          <w:highlight w:val="none"/>
          <w:lang w:bidi="ar"/>
        </w:rPr>
        <w:t>推进上级数字经济发展政策文件力度不足，数字经济规划协调、项目审批考核机制不健全。政策对象有</w:t>
      </w:r>
      <w:r>
        <w:rPr>
          <w:rFonts w:ascii="仿宋" w:hAnsi="仿宋" w:eastAsia="仿宋" w:cs="仿宋"/>
          <w:bCs/>
          <w:color w:val="auto"/>
          <w:kern w:val="2"/>
          <w:sz w:val="28"/>
          <w:szCs w:val="28"/>
          <w:highlight w:val="none"/>
          <w:lang w:bidi="ar"/>
        </w:rPr>
        <w:t>一定倾向性</w:t>
      </w:r>
      <w:r>
        <w:rPr>
          <w:rFonts w:hint="eastAsia" w:ascii="仿宋" w:hAnsi="仿宋" w:eastAsia="仿宋" w:cs="仿宋"/>
          <w:bCs/>
          <w:color w:val="auto"/>
          <w:kern w:val="2"/>
          <w:sz w:val="28"/>
          <w:szCs w:val="28"/>
          <w:highlight w:val="none"/>
          <w:lang w:bidi="ar"/>
        </w:rPr>
        <w:t>，往往注重招商引资、轻视产业升级。政策制定缺乏针对性和有效性，文件多、细则少，多数政府部门与企业对数字经济的认识不够深入。</w:t>
      </w:r>
    </w:p>
    <w:p>
      <w:pPr>
        <w:pStyle w:val="10"/>
        <w:widowControl w:val="0"/>
        <w:spacing w:before="0" w:beforeAutospacing="0" w:after="0" w:afterAutospacing="0" w:line="560" w:lineRule="exact"/>
        <w:ind w:firstLine="562" w:firstLineChars="200"/>
        <w:jc w:val="both"/>
        <w:rPr>
          <w:rFonts w:cs="仿宋"/>
          <w:color w:val="auto"/>
          <w:sz w:val="28"/>
          <w:szCs w:val="28"/>
          <w:highlight w:val="none"/>
        </w:rPr>
      </w:pPr>
      <w:r>
        <w:rPr>
          <w:rFonts w:hint="eastAsia" w:ascii="仿宋" w:hAnsi="仿宋" w:eastAsia="仿宋" w:cs="仿宋"/>
          <w:b/>
          <w:color w:val="auto"/>
          <w:kern w:val="2"/>
          <w:sz w:val="28"/>
          <w:szCs w:val="28"/>
          <w:highlight w:val="none"/>
          <w:lang w:bidi="ar"/>
        </w:rPr>
        <w:t>数据资源价值化利用程度不高。</w:t>
      </w:r>
      <w:r>
        <w:rPr>
          <w:rFonts w:hint="eastAsia" w:ascii="仿宋" w:hAnsi="仿宋" w:eastAsia="仿宋" w:cs="仿宋"/>
          <w:color w:val="auto"/>
          <w:kern w:val="2"/>
          <w:sz w:val="28"/>
          <w:szCs w:val="28"/>
          <w:highlight w:val="none"/>
          <w:lang w:bidi="ar"/>
        </w:rPr>
        <w:t>闲置系统及其存储的数据量庞大，更新改造造成旧有数据和软硬件资源浪费。不同业务管理系统之间缺乏连接的数据库和操作门户，有职能部门并行管理20余个系统，行政审批管理系统未与职能部门业务系统打通，存在数据资源浪费和重复采集的问题和“数据孤岛”“数据烟囱”</w:t>
      </w:r>
      <w:r>
        <w:rPr>
          <w:rFonts w:ascii="仿宋" w:hAnsi="仿宋" w:eastAsia="仿宋" w:cs="仿宋"/>
          <w:color w:val="auto"/>
          <w:kern w:val="2"/>
          <w:sz w:val="28"/>
          <w:szCs w:val="28"/>
          <w:highlight w:val="none"/>
          <w:lang w:bidi="ar"/>
        </w:rPr>
        <w:t>现象</w:t>
      </w:r>
      <w:r>
        <w:rPr>
          <w:rFonts w:hint="eastAsia" w:ascii="仿宋" w:hAnsi="仿宋" w:eastAsia="仿宋" w:cs="仿宋"/>
          <w:color w:val="auto"/>
          <w:kern w:val="2"/>
          <w:sz w:val="28"/>
          <w:szCs w:val="28"/>
          <w:highlight w:val="none"/>
          <w:lang w:bidi="ar"/>
        </w:rPr>
        <w:t>。</w:t>
      </w:r>
    </w:p>
    <w:p>
      <w:pPr>
        <w:pStyle w:val="10"/>
        <w:widowControl w:val="0"/>
        <w:spacing w:before="0" w:beforeAutospacing="0" w:after="0" w:afterAutospacing="0" w:line="560" w:lineRule="exact"/>
        <w:ind w:firstLine="562" w:firstLineChars="200"/>
        <w:jc w:val="both"/>
        <w:rPr>
          <w:rFonts w:cs="仿宋"/>
          <w:color w:val="auto"/>
          <w:sz w:val="28"/>
          <w:szCs w:val="28"/>
          <w:highlight w:val="none"/>
        </w:rPr>
      </w:pPr>
      <w:r>
        <w:rPr>
          <w:rFonts w:hint="eastAsia" w:ascii="仿宋" w:hAnsi="仿宋" w:eastAsia="仿宋" w:cs="仿宋"/>
          <w:b/>
          <w:color w:val="auto"/>
          <w:kern w:val="2"/>
          <w:sz w:val="28"/>
          <w:szCs w:val="28"/>
          <w:highlight w:val="none"/>
          <w:lang w:bidi="ar"/>
        </w:rPr>
        <w:t>产业数字化转型动能不足。</w:t>
      </w:r>
      <w:r>
        <w:rPr>
          <w:rFonts w:hint="eastAsia" w:ascii="仿宋" w:hAnsi="仿宋" w:eastAsia="仿宋" w:cs="仿宋"/>
          <w:bCs/>
          <w:color w:val="auto"/>
          <w:kern w:val="2"/>
          <w:sz w:val="28"/>
          <w:szCs w:val="28"/>
          <w:highlight w:val="none"/>
          <w:lang w:bidi="ar"/>
        </w:rPr>
        <w:t>食品加工等传统特色产业人力手工路径</w:t>
      </w:r>
      <w:r>
        <w:rPr>
          <w:rFonts w:hint="eastAsia" w:ascii="仿宋" w:hAnsi="仿宋" w:eastAsia="仿宋" w:cs="仿宋"/>
          <w:color w:val="auto"/>
          <w:kern w:val="2"/>
          <w:sz w:val="28"/>
          <w:szCs w:val="28"/>
          <w:highlight w:val="none"/>
          <w:lang w:bidi="ar"/>
        </w:rPr>
        <w:t>依赖较重，生产效率提升带来的老员工安置问题突出。装备建材等制造业企业生产设备智能化和联网水平整体较低，机械设备生命周期内未预留升级改造接口，数字化转型高投入与市场环境波动起伏进一步影响了企业数字化转型的积极性。</w:t>
      </w:r>
    </w:p>
    <w:p>
      <w:pPr>
        <w:pStyle w:val="10"/>
        <w:widowControl w:val="0"/>
        <w:spacing w:before="0" w:beforeAutospacing="0" w:after="0" w:afterAutospacing="0" w:line="560" w:lineRule="exact"/>
        <w:ind w:firstLine="562" w:firstLineChars="200"/>
        <w:jc w:val="both"/>
        <w:rPr>
          <w:rFonts w:cs="仿宋"/>
          <w:color w:val="auto"/>
          <w:sz w:val="28"/>
          <w:szCs w:val="28"/>
          <w:highlight w:val="none"/>
        </w:rPr>
      </w:pPr>
      <w:r>
        <w:rPr>
          <w:rFonts w:hint="eastAsia" w:ascii="仿宋" w:hAnsi="仿宋" w:eastAsia="仿宋" w:cs="仿宋"/>
          <w:b/>
          <w:color w:val="auto"/>
          <w:kern w:val="2"/>
          <w:sz w:val="28"/>
          <w:szCs w:val="28"/>
          <w:highlight w:val="none"/>
          <w:lang w:bidi="ar"/>
        </w:rPr>
        <w:t>数字技术融合创新应用存在短板。</w:t>
      </w:r>
      <w:r>
        <w:rPr>
          <w:rFonts w:hint="eastAsia" w:ascii="仿宋" w:hAnsi="仿宋" w:eastAsia="仿宋" w:cs="仿宋"/>
          <w:bCs/>
          <w:color w:val="auto"/>
          <w:kern w:val="2"/>
          <w:sz w:val="28"/>
          <w:szCs w:val="28"/>
          <w:highlight w:val="none"/>
          <w:lang w:bidi="ar"/>
        </w:rPr>
        <w:t>本地</w:t>
      </w:r>
      <w:r>
        <w:rPr>
          <w:rFonts w:hint="eastAsia" w:ascii="仿宋" w:hAnsi="仿宋" w:eastAsia="仿宋" w:cs="仿宋"/>
          <w:color w:val="auto"/>
          <w:kern w:val="2"/>
          <w:sz w:val="28"/>
          <w:szCs w:val="28"/>
          <w:highlight w:val="none"/>
          <w:lang w:bidi="ar"/>
        </w:rPr>
        <w:t>平台经济、共享经济、网红经济等新兴商业模式处于发展初级阶段，政府部门参与监管和引导行动较少。商流、物流、信息流、资金流等资源缺少整合配置，企业商业拓展、营销展业仍以线下传统渠道为主。云计算、大数据、物联网、无人机、遥感等数字技术应用仅进行了部分试点，未真正投入产业化应用。</w:t>
      </w:r>
    </w:p>
    <w:p>
      <w:pPr>
        <w:pStyle w:val="10"/>
        <w:widowControl w:val="0"/>
        <w:spacing w:before="0" w:beforeAutospacing="0" w:after="0" w:afterAutospacing="0" w:line="560" w:lineRule="exact"/>
        <w:ind w:firstLine="562" w:firstLineChars="200"/>
        <w:jc w:val="both"/>
        <w:rPr>
          <w:rFonts w:ascii="仿宋" w:hAnsi="仿宋" w:eastAsia="仿宋" w:cs="仿宋"/>
          <w:color w:val="auto"/>
          <w:sz w:val="28"/>
          <w:szCs w:val="28"/>
          <w:highlight w:val="none"/>
        </w:rPr>
      </w:pPr>
      <w:r>
        <w:rPr>
          <w:rFonts w:hint="eastAsia" w:ascii="仿宋" w:hAnsi="仿宋" w:eastAsia="仿宋" w:cs="仿宋"/>
          <w:b/>
          <w:color w:val="auto"/>
          <w:kern w:val="2"/>
          <w:sz w:val="28"/>
          <w:szCs w:val="28"/>
          <w:highlight w:val="none"/>
          <w:lang w:bidi="ar"/>
        </w:rPr>
        <w:t>数字经济发展保障体系有待</w:t>
      </w:r>
      <w:r>
        <w:rPr>
          <w:rFonts w:ascii="仿宋" w:hAnsi="仿宋" w:eastAsia="仿宋" w:cs="仿宋"/>
          <w:b/>
          <w:color w:val="auto"/>
          <w:kern w:val="2"/>
          <w:sz w:val="28"/>
          <w:szCs w:val="28"/>
          <w:highlight w:val="none"/>
          <w:lang w:bidi="ar"/>
        </w:rPr>
        <w:t>完备</w:t>
      </w:r>
      <w:r>
        <w:rPr>
          <w:rFonts w:hint="eastAsia" w:ascii="仿宋" w:hAnsi="仿宋" w:eastAsia="仿宋" w:cs="仿宋"/>
          <w:b/>
          <w:color w:val="auto"/>
          <w:kern w:val="2"/>
          <w:sz w:val="28"/>
          <w:szCs w:val="28"/>
          <w:highlight w:val="none"/>
          <w:lang w:bidi="ar"/>
        </w:rPr>
        <w:t>。</w:t>
      </w:r>
      <w:r>
        <w:rPr>
          <w:rFonts w:hint="eastAsia" w:ascii="仿宋" w:hAnsi="仿宋" w:eastAsia="仿宋" w:cs="仿宋"/>
          <w:color w:val="auto"/>
          <w:kern w:val="2"/>
          <w:sz w:val="28"/>
          <w:szCs w:val="28"/>
          <w:highlight w:val="none"/>
          <w:lang w:bidi="ar"/>
        </w:rPr>
        <w:t>数字经济发展产业促进机制和税收财政优惠政策有待完善，产业、人才扶持资金申报和创新融资体制机制打造不到位。数字核心技术产学研创新、跨地区跨领域合作项目仍有较大发展空间。缺少必要的舆论宣传引导措施，本地人才数量、结构和培训机制不能满足数字经济发展工作需要。</w:t>
      </w:r>
    </w:p>
    <w:p>
      <w:pPr>
        <w:pStyle w:val="2"/>
        <w:spacing w:before="300" w:after="200" w:line="560" w:lineRule="exact"/>
        <w:rPr>
          <w:rFonts w:ascii="宋体" w:hAnsi="宋体" w:eastAsia="宋体" w:cs="宋体"/>
          <w:color w:val="auto"/>
          <w:sz w:val="36"/>
          <w:szCs w:val="36"/>
          <w:highlight w:val="none"/>
        </w:rPr>
      </w:pPr>
      <w:r>
        <w:rPr>
          <w:rFonts w:ascii="宋体" w:hAnsi="宋体" w:eastAsia="宋体" w:cs="宋体"/>
          <w:color w:val="auto"/>
          <w:sz w:val="36"/>
          <w:szCs w:val="36"/>
          <w:highlight w:val="none"/>
        </w:rPr>
        <w:t xml:space="preserve"> </w:t>
      </w:r>
      <w:bookmarkStart w:id="46" w:name="_Toc81298637"/>
      <w:r>
        <w:rPr>
          <w:rFonts w:hint="eastAsia" w:ascii="宋体" w:hAnsi="宋体" w:eastAsia="宋体" w:cs="宋体"/>
          <w:color w:val="auto"/>
          <w:sz w:val="36"/>
          <w:szCs w:val="36"/>
          <w:highlight w:val="none"/>
        </w:rPr>
        <w:t>三、总体要求</w:t>
      </w:r>
      <w:bookmarkEnd w:id="42"/>
      <w:bookmarkEnd w:id="43"/>
      <w:bookmarkEnd w:id="44"/>
      <w:bookmarkEnd w:id="45"/>
      <w:bookmarkEnd w:id="46"/>
      <w:bookmarkStart w:id="47" w:name="_Hlk60836343"/>
    </w:p>
    <w:bookmarkEnd w:id="47"/>
    <w:p>
      <w:pPr>
        <w:pStyle w:val="3"/>
        <w:spacing w:before="200" w:after="100" w:line="560" w:lineRule="exact"/>
        <w:rPr>
          <w:rFonts w:ascii="仿宋_GB2312" w:hAnsi="仿宋_GB2312" w:eastAsia="仿宋_GB2312" w:cs="仿宋_GB2312"/>
          <w:color w:val="auto"/>
          <w:sz w:val="32"/>
          <w:highlight w:val="none"/>
        </w:rPr>
      </w:pPr>
      <w:bookmarkStart w:id="48" w:name="_Toc73119021"/>
      <w:bookmarkStart w:id="49" w:name="_Toc73544014"/>
      <w:bookmarkStart w:id="50" w:name="_Toc81298638"/>
      <w:bookmarkStart w:id="51" w:name="_Toc59043117"/>
      <w:bookmarkStart w:id="52" w:name="_Toc59043572"/>
      <w:r>
        <w:rPr>
          <w:rFonts w:hint="eastAsia" w:ascii="仿宋_GB2312" w:hAnsi="仿宋_GB2312" w:eastAsia="仿宋_GB2312" w:cs="仿宋_GB2312"/>
          <w:color w:val="auto"/>
          <w:sz w:val="32"/>
          <w:highlight w:val="none"/>
        </w:rPr>
        <w:t>（一）指导思想</w:t>
      </w:r>
      <w:bookmarkEnd w:id="48"/>
      <w:bookmarkEnd w:id="49"/>
      <w:bookmarkEnd w:id="50"/>
      <w:bookmarkEnd w:id="51"/>
      <w:bookmarkEnd w:id="52"/>
      <w:bookmarkStart w:id="53" w:name="_Hlk60836348"/>
    </w:p>
    <w:bookmarkEnd w:id="53"/>
    <w:p>
      <w:pPr>
        <w:keepNext w:val="0"/>
        <w:keepLines w:val="0"/>
        <w:widowControl/>
        <w:suppressLineNumbers w:val="0"/>
        <w:ind w:firstLine="560" w:firstLineChars="200"/>
        <w:jc w:val="left"/>
        <w:rPr>
          <w:rFonts w:hint="default" w:ascii="仿宋" w:hAnsi="仿宋" w:eastAsia="仿宋"/>
          <w:color w:val="auto"/>
          <w:sz w:val="28"/>
          <w:highlight w:val="none"/>
          <w:lang w:bidi="ar"/>
        </w:rPr>
      </w:pPr>
      <w:r>
        <w:rPr>
          <w:rFonts w:ascii="仿宋" w:hAnsi="仿宋" w:eastAsia="仿宋"/>
          <w:color w:val="auto"/>
          <w:sz w:val="28"/>
          <w:highlight w:val="none"/>
          <w:lang w:bidi="ar"/>
        </w:rPr>
        <w:t>始终坚持以习近平新时代中国特色社会主义思想为指引，深入贯彻党的</w:t>
      </w:r>
      <w:r>
        <w:rPr>
          <w:rFonts w:hint="eastAsia" w:ascii="仿宋" w:hAnsi="仿宋" w:eastAsia="仿宋"/>
          <w:color w:val="auto"/>
          <w:sz w:val="28"/>
          <w:highlight w:val="none"/>
          <w:lang w:val="en-US" w:eastAsia="zh-CN" w:bidi="ar"/>
        </w:rPr>
        <w:t>二十</w:t>
      </w:r>
      <w:r>
        <w:rPr>
          <w:rFonts w:ascii="仿宋" w:hAnsi="仿宋" w:eastAsia="仿宋"/>
          <w:color w:val="auto"/>
          <w:sz w:val="28"/>
          <w:highlight w:val="none"/>
          <w:lang w:bidi="ar"/>
        </w:rPr>
        <w:t>大</w:t>
      </w:r>
      <w:bookmarkStart w:id="140" w:name="_GoBack"/>
      <w:bookmarkEnd w:id="140"/>
      <w:r>
        <w:rPr>
          <w:rFonts w:ascii="仿宋" w:hAnsi="仿宋" w:eastAsia="仿宋"/>
          <w:color w:val="auto"/>
          <w:sz w:val="28"/>
          <w:highlight w:val="none"/>
          <w:lang w:bidi="ar"/>
        </w:rPr>
        <w:t>精神，</w:t>
      </w:r>
      <w:r>
        <w:rPr>
          <w:rFonts w:hint="eastAsia" w:ascii="仿宋" w:hAnsi="仿宋" w:eastAsia="仿宋"/>
          <w:color w:val="auto"/>
          <w:sz w:val="28"/>
          <w:highlight w:val="none"/>
          <w:lang w:bidi="ar"/>
        </w:rPr>
        <w:t>深刻领悟“两个确立”的决定性意义，</w:t>
      </w:r>
      <w:r>
        <w:rPr>
          <w:rFonts w:ascii="仿宋" w:hAnsi="仿宋" w:eastAsia="仿宋"/>
          <w:color w:val="auto"/>
          <w:sz w:val="28"/>
          <w:highlight w:val="none"/>
          <w:lang w:bidi="ar"/>
        </w:rPr>
        <w:t>增强“四个意识”、坚定“四个自信”、做到“两个维护”，坚定不移贯彻新发展理念，坚持稳中求进工作总基调，以推进高质量发展为主题，以深化供给侧结构性改革为主线，以改革创新为根本动力，以满足人民日益增长的美好生活需要为根本目的，主动融入“双城圈”、积极建好“示范区”，打造食品医药、智能制造创新发展先行地，</w:t>
      </w:r>
      <w:r>
        <w:rPr>
          <w:rFonts w:hint="eastAsia" w:ascii="仿宋" w:hAnsi="仿宋" w:eastAsia="仿宋"/>
          <w:color w:val="auto"/>
          <w:sz w:val="28"/>
          <w:highlight w:val="none"/>
          <w:lang w:eastAsia="zh-CN" w:bidi="ar"/>
        </w:rPr>
        <w:t>为大力实施</w:t>
      </w:r>
      <w:r>
        <w:rPr>
          <w:rFonts w:ascii="仿宋" w:hAnsi="仿宋" w:eastAsia="仿宋"/>
          <w:color w:val="auto"/>
          <w:sz w:val="28"/>
          <w:highlight w:val="none"/>
          <w:lang w:bidi="ar"/>
        </w:rPr>
        <w:t>“三城三地三片区”发展战略，庄严发出了“担当首位之责，夯实‘支点’底座，为加快建设达州促进共同富裕示范区而不懈奋斗”的冲锋号令，坚定了通川当前及今后一个时期的奋斗方向。</w:t>
      </w:r>
      <w:r>
        <w:rPr>
          <w:rFonts w:ascii="仿宋" w:hAnsi="仿宋" w:eastAsia="仿宋"/>
          <w:color w:val="auto"/>
          <w:sz w:val="28"/>
          <w:highlight w:val="none"/>
          <w:lang w:val="en-US" w:eastAsia="zh-CN" w:bidi="ar"/>
        </w:rPr>
        <w:t>加快数字化整体转型，建设数字经济高地</w:t>
      </w:r>
      <w:r>
        <w:rPr>
          <w:rFonts w:hint="eastAsia" w:ascii="仿宋" w:hAnsi="仿宋" w:eastAsia="仿宋"/>
          <w:color w:val="auto"/>
          <w:sz w:val="28"/>
          <w:highlight w:val="none"/>
          <w:lang w:val="en-US" w:eastAsia="zh-CN" w:bidi="ar"/>
        </w:rPr>
        <w:t>：</w:t>
      </w:r>
      <w:r>
        <w:rPr>
          <w:rFonts w:ascii="仿宋" w:hAnsi="仿宋" w:eastAsia="仿宋"/>
          <w:color w:val="auto"/>
          <w:sz w:val="28"/>
          <w:highlight w:val="none"/>
          <w:lang w:val="en-US" w:eastAsia="zh-CN" w:bidi="ar"/>
        </w:rPr>
        <w:t>打造数字经济主城样板</w:t>
      </w:r>
      <w:r>
        <w:rPr>
          <w:rFonts w:hint="eastAsia" w:ascii="仿宋" w:hAnsi="仿宋" w:eastAsia="仿宋"/>
          <w:color w:val="auto"/>
          <w:sz w:val="28"/>
          <w:highlight w:val="none"/>
          <w:lang w:val="en-US" w:eastAsia="zh-CN" w:bidi="ar"/>
        </w:rPr>
        <w:t>，</w:t>
      </w:r>
      <w:r>
        <w:rPr>
          <w:rFonts w:ascii="仿宋" w:hAnsi="仿宋" w:eastAsia="仿宋"/>
          <w:color w:val="auto"/>
          <w:sz w:val="28"/>
          <w:highlight w:val="none"/>
          <w:lang w:val="en-US" w:eastAsia="zh-CN" w:bidi="ar"/>
        </w:rPr>
        <w:t>布局川东领先的数字新基建</w:t>
      </w:r>
      <w:r>
        <w:rPr>
          <w:rFonts w:hint="eastAsia" w:ascii="仿宋" w:hAnsi="仿宋" w:eastAsia="仿宋"/>
          <w:color w:val="auto"/>
          <w:sz w:val="28"/>
          <w:highlight w:val="none"/>
          <w:lang w:val="en-US" w:eastAsia="zh-CN" w:bidi="ar"/>
        </w:rPr>
        <w:t>，</w:t>
      </w:r>
      <w:r>
        <w:rPr>
          <w:rFonts w:ascii="仿宋" w:hAnsi="仿宋" w:eastAsia="仿宋"/>
          <w:color w:val="auto"/>
          <w:sz w:val="28"/>
          <w:highlight w:val="none"/>
          <w:lang w:val="en-US" w:eastAsia="zh-CN" w:bidi="ar"/>
        </w:rPr>
        <w:t>推动数字经济与实体经济深度融合</w:t>
      </w:r>
      <w:r>
        <w:rPr>
          <w:rFonts w:hint="eastAsia" w:ascii="仿宋" w:hAnsi="仿宋" w:eastAsia="仿宋"/>
          <w:color w:val="auto"/>
          <w:sz w:val="28"/>
          <w:highlight w:val="none"/>
          <w:lang w:val="en-US" w:eastAsia="zh-CN" w:bidi="ar"/>
        </w:rPr>
        <w:t>。</w:t>
      </w:r>
    </w:p>
    <w:p>
      <w:pPr>
        <w:pStyle w:val="3"/>
        <w:spacing w:before="200" w:after="100" w:line="560" w:lineRule="exact"/>
        <w:rPr>
          <w:rFonts w:ascii="仿宋_GB2312" w:hAnsi="仿宋_GB2312" w:eastAsia="仿宋_GB2312" w:cs="仿宋_GB2312"/>
          <w:color w:val="auto"/>
          <w:sz w:val="32"/>
          <w:highlight w:val="none"/>
        </w:rPr>
      </w:pPr>
      <w:bookmarkStart w:id="54" w:name="_Toc73544015"/>
      <w:bookmarkStart w:id="55" w:name="_Toc59043573"/>
      <w:bookmarkStart w:id="56" w:name="_Toc59043118"/>
      <w:bookmarkStart w:id="57" w:name="_Toc73119022"/>
      <w:bookmarkStart w:id="58" w:name="_Toc81298639"/>
      <w:bookmarkStart w:id="59" w:name="_Hlk60836354"/>
      <w:bookmarkStart w:id="60" w:name="_Hlk60836359"/>
      <w:r>
        <w:rPr>
          <w:rFonts w:hint="eastAsia" w:ascii="仿宋_GB2312" w:hAnsi="仿宋_GB2312" w:eastAsia="仿宋_GB2312" w:cs="仿宋_GB2312"/>
          <w:color w:val="auto"/>
          <w:sz w:val="32"/>
          <w:highlight w:val="none"/>
        </w:rPr>
        <w:t>（二）基本原则</w:t>
      </w:r>
      <w:bookmarkEnd w:id="54"/>
      <w:bookmarkEnd w:id="55"/>
      <w:bookmarkEnd w:id="56"/>
      <w:bookmarkEnd w:id="57"/>
      <w:bookmarkEnd w:id="58"/>
    </w:p>
    <w:p>
      <w:pPr>
        <w:pStyle w:val="16"/>
        <w:spacing w:line="560" w:lineRule="exact"/>
        <w:ind w:firstLine="562"/>
        <w:rPr>
          <w:rStyle w:val="15"/>
          <w:rFonts w:hint="default"/>
          <w:color w:val="auto"/>
          <w:highlight w:val="none"/>
        </w:rPr>
      </w:pPr>
      <w:r>
        <w:rPr>
          <w:rStyle w:val="15"/>
          <w:b/>
          <w:bCs/>
          <w:color w:val="auto"/>
          <w:highlight w:val="none"/>
        </w:rPr>
        <w:t>融合创新，效益优先。</w:t>
      </w:r>
      <w:r>
        <w:rPr>
          <w:rStyle w:val="15"/>
          <w:color w:val="auto"/>
          <w:highlight w:val="none"/>
        </w:rPr>
        <w:t>统筹推进数字经济与通川区现有产业深度融合，充分发挥产业数字化转型的赋能引领作用，调动各市场主体的积极性，优化配置数据和资本资源，实现效益最大化。</w:t>
      </w:r>
    </w:p>
    <w:p>
      <w:pPr>
        <w:pStyle w:val="16"/>
        <w:spacing w:line="560" w:lineRule="exact"/>
        <w:ind w:firstLine="562"/>
        <w:rPr>
          <w:rStyle w:val="15"/>
          <w:rFonts w:hint="default"/>
          <w:color w:val="auto"/>
          <w:highlight w:val="none"/>
        </w:rPr>
      </w:pPr>
      <w:r>
        <w:rPr>
          <w:rStyle w:val="15"/>
          <w:b/>
          <w:bCs/>
          <w:color w:val="auto"/>
          <w:highlight w:val="none"/>
        </w:rPr>
        <w:t>需求主导，示范带动</w:t>
      </w:r>
      <w:r>
        <w:rPr>
          <w:rStyle w:val="15"/>
          <w:bCs/>
          <w:color w:val="auto"/>
          <w:highlight w:val="none"/>
        </w:rPr>
        <w:t>。以智慧城市建设、民生改善等场景需求为导向，围绕融合赋能、产业培育、协同治理等重点任务，打造各类数字经济示范项目，充分发挥以创建促提升、以示范带发展的作用。</w:t>
      </w:r>
    </w:p>
    <w:p>
      <w:pPr>
        <w:pStyle w:val="16"/>
        <w:spacing w:line="560" w:lineRule="exact"/>
        <w:ind w:firstLine="562"/>
        <w:rPr>
          <w:rStyle w:val="15"/>
          <w:rFonts w:hint="default"/>
          <w:color w:val="auto"/>
          <w:highlight w:val="none"/>
        </w:rPr>
      </w:pPr>
      <w:r>
        <w:rPr>
          <w:rStyle w:val="15"/>
          <w:b/>
          <w:bCs/>
          <w:color w:val="auto"/>
          <w:highlight w:val="none"/>
        </w:rPr>
        <w:t>系统谋划，社会参与。</w:t>
      </w:r>
      <w:r>
        <w:rPr>
          <w:rStyle w:val="15"/>
          <w:color w:val="auto"/>
          <w:highlight w:val="none"/>
        </w:rPr>
        <w:t>强化政府牵引，把握市场化机制，深化数字经济平台建设，推动技术研发、产业发展和应用部署间的良性互动。试点先建后补、以奖代补政策，引导社会资本参与数字经济建设。</w:t>
      </w:r>
    </w:p>
    <w:p>
      <w:pPr>
        <w:pStyle w:val="16"/>
        <w:spacing w:line="560" w:lineRule="exact"/>
        <w:ind w:firstLine="562"/>
        <w:rPr>
          <w:rStyle w:val="15"/>
          <w:rFonts w:hint="default"/>
          <w:bCs/>
          <w:color w:val="auto"/>
          <w:highlight w:val="none"/>
        </w:rPr>
      </w:pPr>
      <w:r>
        <w:rPr>
          <w:rStyle w:val="15"/>
          <w:b/>
          <w:bCs/>
          <w:color w:val="auto"/>
          <w:highlight w:val="none"/>
        </w:rPr>
        <w:t>优化服务，强化治理。</w:t>
      </w:r>
      <w:r>
        <w:rPr>
          <w:rStyle w:val="15"/>
          <w:bCs/>
          <w:color w:val="auto"/>
          <w:highlight w:val="none"/>
        </w:rPr>
        <w:t>坚持把人民群众满意度和获得感作为出发点和落脚点，不断提高政府公共服务能力，打造各项数字化惠民服务。充分利用数字技术优势，推进政府审慎监管和精准治理。</w:t>
      </w:r>
    </w:p>
    <w:p>
      <w:pPr>
        <w:pStyle w:val="16"/>
        <w:spacing w:line="560" w:lineRule="exact"/>
        <w:ind w:firstLine="562"/>
        <w:rPr>
          <w:rStyle w:val="15"/>
          <w:rFonts w:hint="default"/>
          <w:bCs/>
          <w:color w:val="auto"/>
          <w:highlight w:val="none"/>
        </w:rPr>
      </w:pPr>
      <w:r>
        <w:rPr>
          <w:rStyle w:val="15"/>
          <w:b/>
          <w:bCs/>
          <w:color w:val="auto"/>
          <w:highlight w:val="none"/>
        </w:rPr>
        <w:t>协同发展，合作共赢。</w:t>
      </w:r>
      <w:r>
        <w:rPr>
          <w:rStyle w:val="15"/>
          <w:color w:val="auto"/>
          <w:highlight w:val="none"/>
        </w:rPr>
        <w:t>政府引才、企业引智、横向联动、纵向衔接，加强产、学、研、用协调发展，推动形成差异布局、协同共进、分工合作的良性局面，凝聚推动数字经济加快发展的合力。</w:t>
      </w:r>
    </w:p>
    <w:bookmarkEnd w:id="59"/>
    <w:p>
      <w:pPr>
        <w:pStyle w:val="3"/>
        <w:spacing w:before="200" w:after="100" w:line="560" w:lineRule="exact"/>
        <w:rPr>
          <w:rFonts w:ascii="仿宋_GB2312" w:hAnsi="仿宋_GB2312" w:eastAsia="仿宋_GB2312" w:cs="仿宋_GB2312"/>
          <w:color w:val="auto"/>
          <w:sz w:val="32"/>
          <w:highlight w:val="none"/>
        </w:rPr>
      </w:pPr>
      <w:bookmarkStart w:id="61" w:name="_Toc81298640"/>
      <w:bookmarkStart w:id="62" w:name="_Toc73119023"/>
      <w:bookmarkStart w:id="63" w:name="_Toc73544016"/>
      <w:r>
        <w:rPr>
          <w:rFonts w:hint="eastAsia" w:ascii="仿宋_GB2312" w:hAnsi="仿宋_GB2312" w:eastAsia="仿宋_GB2312" w:cs="仿宋_GB2312"/>
          <w:color w:val="auto"/>
          <w:sz w:val="32"/>
          <w:highlight w:val="none"/>
        </w:rPr>
        <w:t>（三）总体思路</w:t>
      </w:r>
      <w:bookmarkEnd w:id="61"/>
      <w:bookmarkEnd w:id="62"/>
      <w:bookmarkEnd w:id="63"/>
    </w:p>
    <w:bookmarkEnd w:id="60"/>
    <w:p>
      <w:pPr>
        <w:pStyle w:val="16"/>
        <w:spacing w:line="560" w:lineRule="exact"/>
        <w:ind w:firstLine="560"/>
        <w:rPr>
          <w:rStyle w:val="15"/>
          <w:rFonts w:hint="default"/>
          <w:color w:val="auto"/>
          <w:highlight w:val="none"/>
        </w:rPr>
      </w:pPr>
      <w:r>
        <w:rPr>
          <w:rStyle w:val="15"/>
          <w:color w:val="auto"/>
          <w:highlight w:val="none"/>
        </w:rPr>
        <w:t>贯彻落实省委“一主三副”“一高三强”重大决策，</w:t>
      </w:r>
      <w:r>
        <w:rPr>
          <w:rStyle w:val="15"/>
          <w:rFonts w:hint="default" w:cstheme="minorBidi"/>
          <w:color w:val="auto"/>
          <w:highlight w:val="none"/>
        </w:rPr>
        <w:t>市委‘157’总体部署</w:t>
      </w:r>
      <w:r>
        <w:rPr>
          <w:rStyle w:val="15"/>
          <w:rFonts w:cstheme="minorBidi"/>
          <w:color w:val="auto"/>
          <w:highlight w:val="none"/>
        </w:rPr>
        <w:t>，</w:t>
      </w:r>
      <w:r>
        <w:rPr>
          <w:rStyle w:val="15"/>
          <w:color w:val="auto"/>
          <w:highlight w:val="none"/>
        </w:rPr>
        <w:t>区委</w:t>
      </w:r>
      <w:r>
        <w:rPr>
          <w:rStyle w:val="15"/>
          <w:rFonts w:hint="eastAsia"/>
          <w:color w:val="auto"/>
          <w:highlight w:val="none"/>
        </w:rPr>
        <w:t>六届二次党代会上</w:t>
      </w:r>
      <w:r>
        <w:rPr>
          <w:rStyle w:val="15"/>
          <w:rFonts w:hint="eastAsia" w:eastAsia="仿宋"/>
          <w:color w:val="auto"/>
          <w:highlight w:val="none"/>
          <w:lang w:val="en-US" w:eastAsia="zh-CN"/>
        </w:rPr>
        <w:t>提出的</w:t>
      </w:r>
      <w:r>
        <w:rPr>
          <w:rStyle w:val="15"/>
          <w:rFonts w:hint="eastAsia"/>
          <w:b w:val="0"/>
          <w:bCs w:val="0"/>
          <w:color w:val="auto"/>
          <w:highlight w:val="none"/>
        </w:rPr>
        <w:t>当首位之责、夯实“支点”底座，大力实施“三城三地三片区”发展战略，为通川当前和今后一个时期的发展，明确了方向、描绘了蓝图。</w:t>
      </w:r>
      <w:r>
        <w:rPr>
          <w:rStyle w:val="15"/>
          <w:color w:val="auto"/>
          <w:highlight w:val="none"/>
        </w:rPr>
        <w:t>主动融入国家级数字经济创新发展试验区（四川），深入实施成渝“双城圈”、万达开“示范区”</w:t>
      </w:r>
      <w:r>
        <w:rPr>
          <w:rStyle w:val="15"/>
          <w:rFonts w:hint="eastAsia" w:eastAsia="仿宋"/>
          <w:color w:val="auto"/>
          <w:highlight w:val="none"/>
          <w:lang w:eastAsia="zh-CN"/>
        </w:rPr>
        <w:t>、</w:t>
      </w:r>
      <w:r>
        <w:rPr>
          <w:rStyle w:val="15"/>
          <w:rFonts w:hint="eastAsia"/>
          <w:color w:val="auto"/>
          <w:highlight w:val="none"/>
        </w:rPr>
        <w:t>川东北、渝东北一体发展，南充达州组团培育川东北省域经济副中心，带动成渝地区北翼振兴</w:t>
      </w:r>
      <w:r>
        <w:rPr>
          <w:rStyle w:val="15"/>
          <w:color w:val="auto"/>
          <w:highlight w:val="none"/>
        </w:rPr>
        <w:t>等国家战略，综合考虑通川区资源优势、品牌特色、市场潜力等因素，实现全域数字经济有序高质量发展，争创四川省数字经济发展先导示范区。</w:t>
      </w:r>
    </w:p>
    <w:p>
      <w:pPr>
        <w:pStyle w:val="5"/>
        <w:keepNext/>
        <w:jc w:val="center"/>
        <w:rPr>
          <w:color w:val="auto"/>
          <w:highlight w:val="none"/>
        </w:rPr>
      </w:pPr>
      <w:r>
        <w:rPr>
          <w:color w:val="auto"/>
          <w:highlight w:val="none"/>
        </w:rPr>
        <w:t xml:space="preserve">图表  </w:t>
      </w:r>
      <w:r>
        <w:rPr>
          <w:color w:val="auto"/>
          <w:highlight w:val="none"/>
        </w:rPr>
        <w:fldChar w:fldCharType="begin"/>
      </w:r>
      <w:r>
        <w:rPr>
          <w:color w:val="auto"/>
          <w:highlight w:val="none"/>
        </w:rPr>
        <w:instrText xml:space="preserve"> SEQ 图表_ \* ARABIC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t xml:space="preserve">  通川区数字经济发展总体思路</w:t>
      </w:r>
      <w:r>
        <w:rPr>
          <w:rFonts w:hint="eastAsia"/>
          <w:color w:val="auto"/>
          <w:highlight w:val="none"/>
        </w:rPr>
        <w:t>图</w:t>
      </w:r>
    </w:p>
    <w:p>
      <w:pPr>
        <w:pStyle w:val="16"/>
        <w:ind w:firstLine="0" w:firstLineChars="0"/>
        <w:jc w:val="center"/>
        <w:rPr>
          <w:rStyle w:val="15"/>
          <w:rFonts w:hint="default"/>
          <w:color w:val="auto"/>
          <w:highlight w:val="none"/>
        </w:rPr>
      </w:pPr>
    </w:p>
    <w:p>
      <w:pPr>
        <w:pStyle w:val="16"/>
        <w:ind w:firstLine="0" w:firstLineChars="0"/>
        <w:jc w:val="center"/>
        <w:rPr>
          <w:rStyle w:val="15"/>
          <w:color w:val="auto"/>
          <w:highlight w:val="none"/>
        </w:rPr>
      </w:pPr>
      <w:r>
        <w:rPr>
          <w:rStyle w:val="15"/>
          <w:rFonts w:hint="default"/>
          <w:color w:val="auto"/>
          <w:highlight w:val="none"/>
        </w:rPr>
        <w:drawing>
          <wp:inline distT="0" distB="0" distL="0" distR="0">
            <wp:extent cx="4909185" cy="2708275"/>
            <wp:effectExtent l="0" t="0" r="5715" b="1587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11946" cy="2710202"/>
                    </a:xfrm>
                    <a:prstGeom prst="rect">
                      <a:avLst/>
                    </a:prstGeom>
                    <a:noFill/>
                  </pic:spPr>
                </pic:pic>
              </a:graphicData>
            </a:graphic>
          </wp:inline>
        </w:drawing>
      </w:r>
    </w:p>
    <w:p>
      <w:pPr>
        <w:pStyle w:val="16"/>
        <w:spacing w:line="560" w:lineRule="exact"/>
        <w:ind w:firstLine="0" w:firstLineChars="0"/>
        <w:rPr>
          <w:rStyle w:val="15"/>
          <w:rFonts w:hint="default"/>
          <w:color w:val="auto"/>
          <w:highlight w:val="none"/>
        </w:rPr>
      </w:pPr>
      <w:r>
        <w:rPr>
          <w:rStyle w:val="15"/>
          <w:rFonts w:hint="default"/>
          <w:color w:val="auto"/>
          <w:highlight w:val="none"/>
        </w:rPr>
        <w:t xml:space="preserve">  </w:t>
      </w:r>
      <w:r>
        <w:rPr>
          <w:rStyle w:val="15"/>
          <w:rFonts w:hint="default"/>
          <w:b/>
          <w:bCs/>
          <w:color w:val="auto"/>
          <w:highlight w:val="none"/>
        </w:rPr>
        <w:t xml:space="preserve">  1个核心抓手：</w:t>
      </w:r>
      <w:r>
        <w:rPr>
          <w:rStyle w:val="15"/>
          <w:rFonts w:hint="default"/>
          <w:color w:val="auto"/>
          <w:highlight w:val="none"/>
        </w:rPr>
        <w:t>以智慧城市建设为核心抓手，实现</w:t>
      </w:r>
      <w:r>
        <w:rPr>
          <w:rFonts w:hint="default" w:ascii="Times New Roman" w:hAnsi="Times New Roman" w:eastAsia="仿宋"/>
          <w:bCs/>
          <w:color w:val="auto"/>
          <w:sz w:val="28"/>
          <w:szCs w:val="28"/>
          <w:highlight w:val="none"/>
          <w:lang w:bidi="ar"/>
        </w:rPr>
        <w:t>“</w:t>
      </w:r>
      <w:r>
        <w:rPr>
          <w:rFonts w:ascii="Times New Roman" w:hAnsi="Times New Roman" w:eastAsia="仿宋"/>
          <w:bCs/>
          <w:color w:val="auto"/>
          <w:sz w:val="28"/>
          <w:szCs w:val="28"/>
          <w:highlight w:val="none"/>
          <w:lang w:bidi="ar"/>
        </w:rPr>
        <w:t>品质一流、功能优化、魅力彰显</w:t>
      </w:r>
      <w:r>
        <w:rPr>
          <w:rFonts w:hint="default" w:ascii="Times New Roman" w:hAnsi="Times New Roman" w:eastAsia="仿宋"/>
          <w:bCs/>
          <w:color w:val="auto"/>
          <w:sz w:val="28"/>
          <w:szCs w:val="28"/>
          <w:highlight w:val="none"/>
          <w:lang w:bidi="ar"/>
        </w:rPr>
        <w:t>”</w:t>
      </w:r>
      <w:r>
        <w:rPr>
          <w:rFonts w:ascii="Times New Roman" w:hAnsi="Times New Roman" w:eastAsia="仿宋"/>
          <w:bCs/>
          <w:color w:val="auto"/>
          <w:sz w:val="28"/>
          <w:szCs w:val="28"/>
          <w:highlight w:val="none"/>
          <w:lang w:bidi="ar"/>
        </w:rPr>
        <w:t>目标</w:t>
      </w:r>
      <w:r>
        <w:rPr>
          <w:rFonts w:hint="default" w:ascii="Times New Roman" w:hAnsi="Times New Roman" w:eastAsia="仿宋"/>
          <w:bCs/>
          <w:color w:val="auto"/>
          <w:sz w:val="28"/>
          <w:szCs w:val="28"/>
          <w:highlight w:val="none"/>
          <w:lang w:bidi="ar"/>
        </w:rPr>
        <w:t>，</w:t>
      </w:r>
      <w:r>
        <w:rPr>
          <w:rStyle w:val="15"/>
          <w:rFonts w:hint="default"/>
          <w:color w:val="auto"/>
          <w:highlight w:val="none"/>
        </w:rPr>
        <w:t>打造区县智慧城市示范标杆，加快构建全区数字经济发展布局。</w:t>
      </w:r>
    </w:p>
    <w:p>
      <w:pPr>
        <w:pStyle w:val="16"/>
        <w:spacing w:line="560" w:lineRule="exact"/>
        <w:ind w:firstLine="0" w:firstLineChars="0"/>
        <w:rPr>
          <w:rStyle w:val="15"/>
          <w:rFonts w:hint="default"/>
          <w:b/>
          <w:bCs/>
          <w:color w:val="auto"/>
          <w:highlight w:val="none"/>
        </w:rPr>
      </w:pPr>
      <w:r>
        <w:rPr>
          <w:rStyle w:val="15"/>
          <w:rFonts w:hint="default"/>
          <w:b/>
          <w:bCs/>
          <w:color w:val="auto"/>
          <w:highlight w:val="none"/>
        </w:rPr>
        <w:t xml:space="preserve">    5项主要任务：</w:t>
      </w:r>
      <w:r>
        <w:rPr>
          <w:rStyle w:val="15"/>
          <w:rFonts w:hint="default"/>
          <w:color w:val="auto"/>
          <w:highlight w:val="none"/>
        </w:rPr>
        <w:t>紧抓数字产业化发展、产业数字化转型、数字化治理模式创新、数字生态体系优化、数字基础设施建设五个主要任务，引领通川数字经济高质量发展。</w:t>
      </w:r>
    </w:p>
    <w:p>
      <w:pPr>
        <w:pStyle w:val="16"/>
        <w:spacing w:line="560" w:lineRule="exact"/>
        <w:ind w:firstLine="0" w:firstLineChars="0"/>
        <w:rPr>
          <w:rStyle w:val="15"/>
          <w:rFonts w:hint="default"/>
          <w:color w:val="auto"/>
          <w:highlight w:val="none"/>
        </w:rPr>
      </w:pPr>
      <w:r>
        <w:rPr>
          <w:rStyle w:val="15"/>
          <w:rFonts w:hint="default"/>
          <w:b/>
          <w:bCs/>
          <w:color w:val="auto"/>
          <w:highlight w:val="none"/>
        </w:rPr>
        <w:t xml:space="preserve">    4大保障措施：</w:t>
      </w:r>
      <w:r>
        <w:rPr>
          <w:rStyle w:val="15"/>
          <w:rFonts w:hint="default"/>
          <w:color w:val="auto"/>
          <w:highlight w:val="none"/>
        </w:rPr>
        <w:t>持之以恒地加强组织保障、强化财政支持、夯实人才队伍、优化发展环境，为通川区数字经济规划落地实施保驾护航。</w:t>
      </w:r>
    </w:p>
    <w:p>
      <w:pPr>
        <w:pStyle w:val="3"/>
        <w:spacing w:before="200" w:after="100" w:line="560" w:lineRule="exact"/>
        <w:rPr>
          <w:rFonts w:ascii="仿宋_GB2312" w:hAnsi="仿宋_GB2312" w:eastAsia="仿宋_GB2312" w:cs="仿宋_GB2312"/>
          <w:color w:val="auto"/>
          <w:sz w:val="32"/>
          <w:highlight w:val="none"/>
        </w:rPr>
      </w:pPr>
      <w:bookmarkStart w:id="64" w:name="_Toc81298641"/>
      <w:bookmarkStart w:id="65" w:name="_Toc73119024"/>
      <w:bookmarkStart w:id="66" w:name="_Toc73544017"/>
      <w:r>
        <w:rPr>
          <w:rFonts w:hint="eastAsia" w:ascii="仿宋_GB2312" w:hAnsi="仿宋_GB2312" w:eastAsia="仿宋_GB2312" w:cs="仿宋_GB2312"/>
          <w:color w:val="auto"/>
          <w:sz w:val="32"/>
          <w:highlight w:val="none"/>
        </w:rPr>
        <w:t>（四）发展目标</w:t>
      </w:r>
      <w:bookmarkEnd w:id="64"/>
      <w:bookmarkEnd w:id="65"/>
      <w:bookmarkEnd w:id="66"/>
      <w:bookmarkStart w:id="67" w:name="_Hlk60836365"/>
    </w:p>
    <w:bookmarkEnd w:id="67"/>
    <w:p>
      <w:pPr>
        <w:pStyle w:val="16"/>
        <w:spacing w:line="560" w:lineRule="exact"/>
        <w:ind w:firstLine="560"/>
        <w:rPr>
          <w:rStyle w:val="15"/>
          <w:rFonts w:hint="default"/>
          <w:color w:val="auto"/>
          <w:highlight w:val="none"/>
        </w:rPr>
      </w:pPr>
      <w:bookmarkStart w:id="68" w:name="_Toc60215418"/>
      <w:bookmarkEnd w:id="68"/>
      <w:bookmarkStart w:id="69" w:name="_Toc60215419"/>
      <w:bookmarkEnd w:id="69"/>
      <w:bookmarkStart w:id="70" w:name="_Toc60215420"/>
      <w:bookmarkEnd w:id="70"/>
      <w:bookmarkStart w:id="71" w:name="_Toc62743748"/>
      <w:bookmarkEnd w:id="71"/>
      <w:bookmarkStart w:id="72" w:name="_Toc62743749"/>
      <w:bookmarkEnd w:id="72"/>
      <w:bookmarkStart w:id="73" w:name="_Toc62743747"/>
      <w:bookmarkEnd w:id="73"/>
      <w:bookmarkStart w:id="74" w:name="_Hlk64538493"/>
      <w:bookmarkStart w:id="75" w:name="_Hlk60836373"/>
      <w:bookmarkStart w:id="76" w:name="_Toc59043120"/>
      <w:bookmarkStart w:id="77" w:name="_Toc59043575"/>
      <w:r>
        <w:rPr>
          <w:rStyle w:val="15"/>
          <w:color w:val="auto"/>
          <w:highlight w:val="none"/>
        </w:rPr>
        <w:t>到2025年，建成全区数字化治理能力完善健全、数字技术与产业深度融合、数字产业生态共享开放、新型基础设施</w:t>
      </w:r>
      <w:r>
        <w:rPr>
          <w:rStyle w:val="15"/>
          <w:rFonts w:hint="eastAsia" w:eastAsia="仿宋"/>
          <w:color w:val="auto"/>
          <w:highlight w:val="none"/>
          <w:lang w:eastAsia="zh-CN"/>
        </w:rPr>
        <w:t>有力</w:t>
      </w:r>
      <w:r>
        <w:rPr>
          <w:rStyle w:val="15"/>
          <w:color w:val="auto"/>
          <w:highlight w:val="none"/>
        </w:rPr>
        <w:t>支撑的高质量数字经济体系</w:t>
      </w:r>
      <w:r>
        <w:rPr>
          <w:rFonts w:ascii="仿宋" w:hAnsi="仿宋" w:eastAsia="仿宋" w:cs="仿宋"/>
          <w:color w:val="auto"/>
          <w:sz w:val="28"/>
          <w:highlight w:val="none"/>
          <w:lang w:bidi="ar"/>
        </w:rPr>
        <w:t>。</w:t>
      </w:r>
      <w:r>
        <w:rPr>
          <w:rStyle w:val="15"/>
          <w:color w:val="auto"/>
          <w:highlight w:val="none"/>
        </w:rPr>
        <w:t>助力通川区成为</w:t>
      </w:r>
      <w:r>
        <w:rPr>
          <w:rFonts w:ascii="仿宋" w:hAnsi="仿宋" w:eastAsia="仿宋" w:cs="仿宋"/>
          <w:color w:val="auto"/>
          <w:sz w:val="28"/>
          <w:highlight w:val="none"/>
          <w:lang w:bidi="ar"/>
        </w:rPr>
        <w:t>“政和民通，川东数城”的川渝宜居消费新中心、全国红色文化旅游发展示范区、区域协同创新发展示范区、全国城市基层治理示范区、川东北区域医疗协同中心和教育高地、“全省绿色发展示范区”、全国乡村振兴示范区</w:t>
      </w:r>
      <w:r>
        <w:rPr>
          <w:rStyle w:val="15"/>
          <w:color w:val="auto"/>
          <w:highlight w:val="none"/>
        </w:rPr>
        <w:t>，</w:t>
      </w:r>
      <w:r>
        <w:rPr>
          <w:rStyle w:val="15"/>
          <w:rFonts w:hint="default"/>
          <w:color w:val="auto"/>
          <w:highlight w:val="none"/>
        </w:rPr>
        <w:t>实现</w:t>
      </w:r>
      <w:r>
        <w:rPr>
          <w:rStyle w:val="15"/>
          <w:color w:val="auto"/>
          <w:highlight w:val="none"/>
        </w:rPr>
        <w:t>全区数字经济总量</w:t>
      </w:r>
      <w:r>
        <w:rPr>
          <w:rStyle w:val="15"/>
          <w:rFonts w:hint="default"/>
          <w:color w:val="auto"/>
          <w:highlight w:val="none"/>
        </w:rPr>
        <w:t>超</w:t>
      </w:r>
      <w:r>
        <w:rPr>
          <w:rStyle w:val="15"/>
          <w:color w:val="auto"/>
          <w:highlight w:val="none"/>
        </w:rPr>
        <w:t>143</w:t>
      </w:r>
      <w:r>
        <w:rPr>
          <w:rStyle w:val="15"/>
          <w:rFonts w:hint="default"/>
          <w:color w:val="auto"/>
          <w:highlight w:val="none"/>
        </w:rPr>
        <w:t>亿元，</w:t>
      </w:r>
      <w:r>
        <w:rPr>
          <w:rStyle w:val="15"/>
          <w:color w:val="auto"/>
          <w:highlight w:val="none"/>
        </w:rPr>
        <w:t>力争215亿元，占GDP比重位居全市前列。</w:t>
      </w:r>
    </w:p>
    <w:p>
      <w:pPr>
        <w:pStyle w:val="16"/>
        <w:spacing w:line="560" w:lineRule="exact"/>
        <w:ind w:firstLine="562"/>
        <w:rPr>
          <w:rFonts w:ascii="仿宋_GB2312" w:eastAsia="仿宋_GB2312"/>
          <w:color w:val="auto"/>
          <w:sz w:val="28"/>
          <w:szCs w:val="28"/>
          <w:highlight w:val="none"/>
        </w:rPr>
      </w:pPr>
      <w:r>
        <w:rPr>
          <w:rStyle w:val="15"/>
          <w:b/>
          <w:bCs/>
          <w:color w:val="auto"/>
          <w:highlight w:val="none"/>
        </w:rPr>
        <w:t>—数字核心产业竞争力大幅增强。</w:t>
      </w:r>
      <w:r>
        <w:rPr>
          <w:rStyle w:val="15"/>
          <w:color w:val="auto"/>
          <w:highlight w:val="none"/>
        </w:rPr>
        <w:t>依托川东大数据中心落户通川的契机，加速推进数字产业化发展，重点培育以大数据服务、软件和信息技术服务为代表的数字核心产业。聚集采集挖掘、数据运维、数据分析、数据安全、数据应用等领域企业和信息服务应用型企业，实现全区数字核心产业规模大幅增长，建成产业链完善、创新能力强、特色鲜明的数字经济核心产业集聚区。到2025年，关键核心技术研发取得重大突破，通信服务业、软件业、互联网服务业、电子信息产业等数字核心产业实现产值规模超43亿元。</w:t>
      </w:r>
    </w:p>
    <w:p>
      <w:pPr>
        <w:ind w:firstLine="562" w:firstLineChars="200"/>
        <w:rPr>
          <w:rStyle w:val="15"/>
          <w:rFonts w:cs="Times New Roman"/>
          <w:color w:val="auto"/>
          <w:highlight w:val="none"/>
        </w:rPr>
      </w:pPr>
      <w:r>
        <w:rPr>
          <w:rStyle w:val="15"/>
          <w:rFonts w:hint="eastAsia" w:cs="Times New Roman"/>
          <w:b/>
          <w:color w:val="auto"/>
          <w:highlight w:val="none"/>
        </w:rPr>
        <w:t>—传统产业数字化融合成效明显。</w:t>
      </w:r>
      <w:r>
        <w:rPr>
          <w:rStyle w:val="15"/>
          <w:rFonts w:hint="eastAsia" w:cs="Times New Roman"/>
          <w:color w:val="auto"/>
          <w:highlight w:val="none"/>
        </w:rPr>
        <w:t>数字技术在一、二、三产业中实现深度融合应用，有力驱动实体经济加速发展，力争到</w:t>
      </w:r>
      <w:r>
        <w:rPr>
          <w:rStyle w:val="15"/>
          <w:rFonts w:cs="Times New Roman"/>
          <w:color w:val="auto"/>
          <w:highlight w:val="none"/>
        </w:rPr>
        <w:t>2025年重点企业关键工序数控化率达50%以上，机器联网率达到60%以上，“两化”融合发展指数达到60%以上。推动农产品</w:t>
      </w:r>
      <w:r>
        <w:rPr>
          <w:rStyle w:val="15"/>
          <w:rFonts w:hint="eastAsia" w:cs="Times New Roman"/>
          <w:color w:val="auto"/>
          <w:highlight w:val="none"/>
        </w:rPr>
        <w:t>精深加工</w:t>
      </w:r>
      <w:r>
        <w:rPr>
          <w:rStyle w:val="15"/>
          <w:rFonts w:cs="Times New Roman"/>
          <w:color w:val="auto"/>
          <w:highlight w:val="none"/>
        </w:rPr>
        <w:t>、医疗健康、智能制造三大“百亿级”工业园区，复兴现代商贸物流园、双龙铁路仓储物流园、魏蒲新</w:t>
      </w:r>
      <w:r>
        <w:rPr>
          <w:rStyle w:val="15"/>
          <w:rFonts w:hint="eastAsia" w:cs="Times New Roman"/>
          <w:color w:val="auto"/>
          <w:highlight w:val="none"/>
        </w:rPr>
        <w:t>城食品药品物流园三大特色物流园区数字化、网络化、智能化发展</w:t>
      </w:r>
      <w:r>
        <w:rPr>
          <w:rStyle w:val="15"/>
          <w:rFonts w:cs="Times New Roman"/>
          <w:color w:val="auto"/>
          <w:highlight w:val="none"/>
        </w:rPr>
        <w:t>，争创省级数字化示范园区。</w:t>
      </w:r>
      <w:r>
        <w:rPr>
          <w:rStyle w:val="15"/>
          <w:rFonts w:hint="eastAsia" w:cs="Times New Roman"/>
          <w:color w:val="auto"/>
          <w:highlight w:val="none"/>
        </w:rPr>
        <w:t>运用云计算、大数据、人工智能等数字技术开展生产经营活动的企业规模不断壮大。</w:t>
      </w:r>
    </w:p>
    <w:p>
      <w:pPr>
        <w:pStyle w:val="16"/>
        <w:spacing w:line="560" w:lineRule="exact"/>
        <w:ind w:firstLine="562"/>
        <w:rPr>
          <w:rStyle w:val="15"/>
          <w:rFonts w:hint="default"/>
          <w:color w:val="auto"/>
          <w:highlight w:val="none"/>
        </w:rPr>
      </w:pPr>
      <w:r>
        <w:rPr>
          <w:rStyle w:val="15"/>
          <w:b/>
          <w:bCs/>
          <w:color w:val="auto"/>
          <w:highlight w:val="none"/>
        </w:rPr>
        <w:t>—城乡协同治理高质量发展。</w:t>
      </w:r>
      <w:r>
        <w:rPr>
          <w:rStyle w:val="15"/>
          <w:color w:val="auto"/>
          <w:highlight w:val="none"/>
        </w:rPr>
        <w:t>到</w:t>
      </w:r>
      <w:r>
        <w:rPr>
          <w:rStyle w:val="15"/>
          <w:rFonts w:hint="default"/>
          <w:color w:val="auto"/>
          <w:highlight w:val="none"/>
        </w:rPr>
        <w:t>2025年，“数字政府”建设和社会治理体制机制进一步完善</w:t>
      </w:r>
      <w:r>
        <w:rPr>
          <w:rStyle w:val="15"/>
          <w:color w:val="auto"/>
          <w:highlight w:val="none"/>
        </w:rPr>
        <w:t>，政务数据“聚、通、用、治”成效显著，数字经济惠民应用日趋便捷。逐渐形成党政、社区、居民多主体参与，经济、法律、技术、数据等多因素相结合的综合治理格局。公共服务水平和效率显著提升，打造涵盖智慧政务、数字乡村、智慧医疗、智慧教育等民生服务的新体系。坚持疏解老城与城市功能完善相结合，将智慧交通、智慧社区建设融入老城提升改造项目中。建设城市大脑，</w:t>
      </w:r>
      <w:r>
        <w:rPr>
          <w:rStyle w:val="15"/>
          <w:strike/>
          <w:dstrike w:val="0"/>
          <w:color w:val="auto"/>
          <w:highlight w:val="none"/>
        </w:rPr>
        <w:t>实现中心城区“双100”目标，</w:t>
      </w:r>
      <w:r>
        <w:rPr>
          <w:rStyle w:val="15"/>
          <w:color w:val="auto"/>
          <w:highlight w:val="none"/>
        </w:rPr>
        <w:t>城镇化率超过80%，打造区县智慧城市示范标杆。注重绿色发展、强化乡镇地区支点支撑，环境治理效果显著增强，城乡人居环境明显改善，建成全国乡村振兴示范区。</w:t>
      </w:r>
    </w:p>
    <w:p>
      <w:pPr>
        <w:pStyle w:val="16"/>
        <w:spacing w:line="560" w:lineRule="exact"/>
        <w:ind w:firstLine="562"/>
        <w:rPr>
          <w:rStyle w:val="15"/>
          <w:rFonts w:hint="default"/>
          <w:color w:val="auto"/>
          <w:highlight w:val="none"/>
        </w:rPr>
      </w:pPr>
      <w:r>
        <w:rPr>
          <w:rStyle w:val="15"/>
          <w:b/>
          <w:color w:val="auto"/>
          <w:highlight w:val="none"/>
        </w:rPr>
        <w:t>—新业态新模式带动力持续增强。</w:t>
      </w:r>
      <w:r>
        <w:rPr>
          <w:rStyle w:val="15"/>
          <w:color w:val="auto"/>
          <w:highlight w:val="none"/>
        </w:rPr>
        <w:t>积极培育 “园中园”、“专业园”产业集群模式，</w:t>
      </w:r>
      <w:r>
        <w:rPr>
          <w:rStyle w:val="15"/>
          <w:rFonts w:cs="仿宋"/>
          <w:color w:val="auto"/>
          <w:highlight w:val="none"/>
        </w:rPr>
        <w:t>围绕农产品加工、医药健康、智能制造、现代物流产业，培育引进瞪羚企业，拉动以商引商、产业链招商</w:t>
      </w:r>
      <w:r>
        <w:rPr>
          <w:rStyle w:val="15"/>
          <w:color w:val="auto"/>
          <w:highlight w:val="none"/>
        </w:rPr>
        <w:t>。积极融入一带一路等国家战略，形成川东特色对外节点，构建开放新格局。建设跨地域产销平台和电商直播平台，推进平台化市场互推、联动营销和互联网客源流量导入。完善飞地孵化器运营模式，推动产学研用对接，实现“科技成果转化”赋能。推动数字经济企业间交流合作，探索成立数字经济企业协会和数字产业园区联盟，加强成员间数据、技术、项目共享与交流。</w:t>
      </w:r>
    </w:p>
    <w:p>
      <w:pPr>
        <w:pStyle w:val="16"/>
        <w:spacing w:line="560" w:lineRule="exact"/>
        <w:ind w:firstLine="562"/>
        <w:rPr>
          <w:rStyle w:val="15"/>
          <w:rFonts w:hint="default"/>
          <w:color w:val="auto"/>
          <w:highlight w:val="none"/>
        </w:rPr>
      </w:pPr>
      <w:r>
        <w:rPr>
          <w:rStyle w:val="15"/>
          <w:b/>
          <w:color w:val="auto"/>
          <w:highlight w:val="none"/>
        </w:rPr>
        <w:t>—数字基础设施建设持续完善。</w:t>
      </w:r>
      <w:r>
        <w:rPr>
          <w:rStyle w:val="15"/>
          <w:color w:val="auto"/>
          <w:highlight w:val="none"/>
        </w:rPr>
        <w:t>全区互联网普及率、光纤宽带覆盖率达到100%，建成高速、移动、安全、泛在的网络通信基础设施。重点公共场所光纤网络、无线WIFI和5G网络三千兆网络全覆盖，公共服务领域重要信息系统安全保障能力大大提升。IPV6基本实现商用，窄带物联网（NB-IoT）重点区域普遍覆盖，西成渝专网专线完成建设。智慧灯杆、智慧传感器、地下综合管廊等智慧设施实现试点应用。建成一批云服务平台和产业互联网平台，企业工厂级、车间级网络设施进一步完善，全面支撑智能制造等新模式，经济社会服务能力显著增强。</w:t>
      </w:r>
    </w:p>
    <w:bookmarkEnd w:id="74"/>
    <w:p>
      <w:pPr>
        <w:pStyle w:val="2"/>
        <w:spacing w:before="300" w:after="200" w:line="560" w:lineRule="exact"/>
        <w:rPr>
          <w:rFonts w:ascii="宋体" w:hAnsi="宋体" w:eastAsia="宋体" w:cs="宋体"/>
          <w:color w:val="auto"/>
          <w:sz w:val="36"/>
          <w:szCs w:val="36"/>
          <w:highlight w:val="none"/>
        </w:rPr>
      </w:pPr>
      <w:bookmarkStart w:id="78" w:name="_Toc72509634"/>
      <w:bookmarkEnd w:id="78"/>
      <w:bookmarkStart w:id="79" w:name="_Toc73544018"/>
      <w:bookmarkStart w:id="80" w:name="_Toc81298642"/>
      <w:bookmarkStart w:id="81" w:name="_Toc73119025"/>
      <w:r>
        <w:rPr>
          <w:rFonts w:hint="eastAsia" w:ascii="宋体" w:hAnsi="宋体" w:eastAsia="宋体" w:cs="宋体"/>
          <w:color w:val="auto"/>
          <w:sz w:val="36"/>
          <w:szCs w:val="36"/>
          <w:highlight w:val="none"/>
        </w:rPr>
        <w:t>四、主要任务</w:t>
      </w:r>
      <w:bookmarkEnd w:id="79"/>
      <w:bookmarkEnd w:id="80"/>
      <w:bookmarkStart w:id="82" w:name="_Toc73119030"/>
    </w:p>
    <w:p>
      <w:pPr>
        <w:pStyle w:val="3"/>
        <w:spacing w:before="200" w:after="100" w:line="560" w:lineRule="exact"/>
        <w:rPr>
          <w:rFonts w:ascii="仿宋_GB2312" w:hAnsi="仿宋_GB2312" w:eastAsia="仿宋_GB2312" w:cs="仿宋_GB2312"/>
          <w:color w:val="auto"/>
          <w:sz w:val="32"/>
          <w:highlight w:val="none"/>
        </w:rPr>
      </w:pPr>
      <w:bookmarkStart w:id="83" w:name="_Toc81298643"/>
      <w:bookmarkStart w:id="84" w:name="_Toc73544019"/>
      <w:r>
        <w:rPr>
          <w:rFonts w:hint="eastAsia" w:ascii="仿宋_GB2312" w:hAnsi="仿宋_GB2312" w:eastAsia="仿宋_GB2312" w:cs="仿宋_GB2312"/>
          <w:color w:val="auto"/>
          <w:sz w:val="32"/>
          <w:highlight w:val="none"/>
        </w:rPr>
        <w:t>（一）壮大核心产业，取得数字产业化发展重大突破</w:t>
      </w:r>
      <w:bookmarkEnd w:id="83"/>
    </w:p>
    <w:bookmarkEnd w:id="82"/>
    <w:bookmarkEnd w:id="84"/>
    <w:p>
      <w:pPr>
        <w:pStyle w:val="4"/>
        <w:rPr>
          <w:color w:val="auto"/>
          <w:sz w:val="32"/>
          <w:szCs w:val="32"/>
          <w:highlight w:val="none"/>
        </w:rPr>
      </w:pPr>
      <w:bookmarkStart w:id="85" w:name="_Toc81298644"/>
      <w:r>
        <w:rPr>
          <w:rFonts w:hint="eastAsia"/>
          <w:color w:val="auto"/>
          <w:sz w:val="32"/>
          <w:szCs w:val="32"/>
          <w:highlight w:val="none"/>
        </w:rPr>
        <w:t>1.</w:t>
      </w:r>
      <w:r>
        <w:rPr>
          <w:color w:val="auto"/>
          <w:sz w:val="32"/>
          <w:szCs w:val="32"/>
          <w:highlight w:val="none"/>
        </w:rPr>
        <w:t xml:space="preserve"> </w:t>
      </w:r>
      <w:r>
        <w:rPr>
          <w:rFonts w:hint="eastAsia"/>
          <w:color w:val="auto"/>
          <w:sz w:val="32"/>
          <w:szCs w:val="32"/>
          <w:highlight w:val="none"/>
        </w:rPr>
        <w:t>大力发展智能设备</w:t>
      </w:r>
      <w:r>
        <w:rPr>
          <w:color w:val="auto"/>
          <w:sz w:val="32"/>
          <w:szCs w:val="32"/>
          <w:highlight w:val="none"/>
        </w:rPr>
        <w:t>装备</w:t>
      </w:r>
      <w:r>
        <w:rPr>
          <w:rFonts w:hint="eastAsia"/>
          <w:color w:val="auto"/>
          <w:sz w:val="32"/>
          <w:szCs w:val="32"/>
          <w:highlight w:val="none"/>
        </w:rPr>
        <w:t>制造</w:t>
      </w:r>
      <w:r>
        <w:rPr>
          <w:color w:val="auto"/>
          <w:sz w:val="32"/>
          <w:szCs w:val="32"/>
          <w:highlight w:val="none"/>
        </w:rPr>
        <w:t>产业</w:t>
      </w:r>
      <w:bookmarkEnd w:id="85"/>
    </w:p>
    <w:p>
      <w:pPr>
        <w:ind w:firstLine="562" w:firstLineChars="200"/>
        <w:rPr>
          <w:rStyle w:val="15"/>
          <w:rFonts w:cs="Times New Roman"/>
          <w:color w:val="auto"/>
          <w:highlight w:val="none"/>
        </w:rPr>
      </w:pPr>
      <w:r>
        <w:rPr>
          <w:rStyle w:val="15"/>
          <w:rFonts w:hint="eastAsia" w:cs="Times New Roman"/>
          <w:b/>
          <w:bCs/>
          <w:color w:val="auto"/>
          <w:highlight w:val="none"/>
        </w:rPr>
        <w:t>加速发展智能装备制造业。</w:t>
      </w:r>
      <w:r>
        <w:rPr>
          <w:rStyle w:val="15"/>
          <w:rFonts w:hint="eastAsia" w:cs="Times New Roman"/>
          <w:color w:val="auto"/>
          <w:highlight w:val="none"/>
        </w:rPr>
        <w:t>加快推进达州汉芯半导体产业园和达州智能机器人研发基地建设，积极承接外部电子信息高端制造产业转移，聚焦食品工业、医药工业、建材工业、能源装备、农机设备等传统优势产业，推进机床部件、设备元件、模块化电子元器件等小型电子元器件以及满足产业数字化需求的物联传感器、监控器等电子终端制造产业发展，形成具有一定完备程度的都市智能制造产业链。适时发展新能源技术研发、新能源汽车零部件及结构件生产等高端装备配套基地。强化产业集聚，培育辐射带动能力强、发展后劲足的龙头企业，加快建设百亿级智能制造产业园，形成依托成渝、面向全国的智能装备制造产业集群。</w:t>
      </w:r>
    </w:p>
    <w:p>
      <w:pPr>
        <w:pStyle w:val="4"/>
        <w:rPr>
          <w:color w:val="auto"/>
          <w:sz w:val="32"/>
          <w:szCs w:val="32"/>
          <w:highlight w:val="none"/>
        </w:rPr>
      </w:pPr>
      <w:bookmarkStart w:id="86" w:name="_Toc81298645"/>
      <w:r>
        <w:rPr>
          <w:color w:val="auto"/>
          <w:sz w:val="32"/>
          <w:szCs w:val="32"/>
          <w:highlight w:val="none"/>
        </w:rPr>
        <w:t>2</w:t>
      </w:r>
      <w:r>
        <w:rPr>
          <w:rFonts w:hint="eastAsia"/>
          <w:color w:val="auto"/>
          <w:sz w:val="32"/>
          <w:szCs w:val="32"/>
          <w:highlight w:val="none"/>
        </w:rPr>
        <w:t>.</w:t>
      </w:r>
      <w:r>
        <w:rPr>
          <w:color w:val="auto"/>
          <w:sz w:val="32"/>
          <w:szCs w:val="32"/>
          <w:highlight w:val="none"/>
        </w:rPr>
        <w:t xml:space="preserve"> 持续发展信息通信与新媒体产业</w:t>
      </w:r>
      <w:bookmarkEnd w:id="86"/>
    </w:p>
    <w:p>
      <w:pPr>
        <w:pStyle w:val="16"/>
        <w:spacing w:line="560" w:lineRule="exact"/>
        <w:ind w:firstLine="562"/>
        <w:rPr>
          <w:rFonts w:hint="default" w:ascii="仿宋" w:hAnsi="仿宋" w:eastAsia="仿宋" w:cs="仿宋"/>
          <w:color w:val="auto"/>
          <w:sz w:val="28"/>
          <w:highlight w:val="none"/>
        </w:rPr>
      </w:pPr>
      <w:r>
        <w:rPr>
          <w:rFonts w:ascii="仿宋" w:hAnsi="仿宋" w:eastAsia="仿宋" w:cs="仿宋"/>
          <w:b/>
          <w:bCs/>
          <w:color w:val="auto"/>
          <w:sz w:val="28"/>
          <w:szCs w:val="28"/>
          <w:highlight w:val="none"/>
          <w:lang w:bidi="ar"/>
        </w:rPr>
        <w:t>积极发展信息通信产业。</w:t>
      </w:r>
      <w:r>
        <w:rPr>
          <w:rFonts w:ascii="仿宋" w:hAnsi="仿宋" w:eastAsia="仿宋" w:cs="仿宋"/>
          <w:color w:val="auto"/>
          <w:sz w:val="28"/>
          <w:szCs w:val="28"/>
          <w:highlight w:val="none"/>
          <w:lang w:bidi="ar"/>
        </w:rPr>
        <w:t>加快5G基础设施部署，</w:t>
      </w:r>
      <w:r>
        <w:rPr>
          <w:rStyle w:val="15"/>
          <w:rFonts w:cs="仿宋"/>
          <w:color w:val="auto"/>
          <w:highlight w:val="none"/>
        </w:rPr>
        <w:t>实施重点区域和重点应用场景的5G网络覆盖。推进5G技术在智慧城市建设中的应用，加快5G在智能制造、智能交通、智慧物流、智慧医疗等重点领域的应用场景落地，加强5G+超高清摄像头的普及，推广特色产业集群与5G的融合应用</w:t>
      </w:r>
      <w:r>
        <w:rPr>
          <w:rFonts w:ascii="仿宋" w:hAnsi="仿宋" w:eastAsia="仿宋" w:cs="仿宋"/>
          <w:color w:val="auto"/>
          <w:sz w:val="28"/>
          <w:szCs w:val="28"/>
          <w:highlight w:val="none"/>
          <w:lang w:bidi="ar"/>
        </w:rPr>
        <w:t>，实现基于5G技术的协同创新和集聚发展</w:t>
      </w:r>
      <w:r>
        <w:rPr>
          <w:rStyle w:val="15"/>
          <w:rFonts w:cs="仿宋"/>
          <w:color w:val="auto"/>
          <w:highlight w:val="none"/>
        </w:rPr>
        <w:t>。</w:t>
      </w:r>
      <w:r>
        <w:rPr>
          <w:rFonts w:ascii="仿宋" w:hAnsi="仿宋" w:eastAsia="仿宋" w:cs="仿宋"/>
          <w:color w:val="auto"/>
          <w:sz w:val="28"/>
          <w:szCs w:val="28"/>
          <w:highlight w:val="none"/>
          <w:lang w:bidi="ar"/>
        </w:rPr>
        <w:t xml:space="preserve">深入实施智慧广电战略，打造智慧广电媒体，发展智慧广电网络，实现全区有线广播电视网络的数字化、双向化、智能化。 </w:t>
      </w:r>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推进传统媒体与新媒体融合。</w:t>
      </w:r>
      <w:r>
        <w:rPr>
          <w:rFonts w:ascii="仿宋" w:hAnsi="仿宋" w:eastAsia="仿宋" w:cs="仿宋"/>
          <w:color w:val="auto"/>
          <w:sz w:val="28"/>
          <w:szCs w:val="28"/>
          <w:highlight w:val="none"/>
          <w:lang w:bidi="ar"/>
        </w:rPr>
        <w:t>依托数字化报刊、数字广播、移动互联网、自媒体</w:t>
      </w:r>
      <w:r>
        <w:rPr>
          <w:rFonts w:hint="default" w:ascii="仿宋" w:hAnsi="仿宋" w:eastAsia="仿宋" w:cs="仿宋"/>
          <w:color w:val="auto"/>
          <w:sz w:val="28"/>
          <w:szCs w:val="28"/>
          <w:highlight w:val="none"/>
          <w:lang w:bidi="ar"/>
        </w:rPr>
        <w:t>（公众号、</w:t>
      </w:r>
      <w:r>
        <w:rPr>
          <w:rFonts w:ascii="仿宋" w:hAnsi="仿宋" w:eastAsia="仿宋" w:cs="仿宋"/>
          <w:color w:val="auto"/>
          <w:sz w:val="28"/>
          <w:szCs w:val="28"/>
          <w:highlight w:val="none"/>
          <w:lang w:bidi="ar"/>
        </w:rPr>
        <w:t>快手、抖音</w:t>
      </w:r>
      <w:r>
        <w:rPr>
          <w:rFonts w:hint="default" w:ascii="仿宋" w:hAnsi="仿宋" w:eastAsia="仿宋" w:cs="仿宋"/>
          <w:color w:val="auto"/>
          <w:sz w:val="28"/>
          <w:szCs w:val="28"/>
          <w:highlight w:val="none"/>
          <w:lang w:bidi="ar"/>
        </w:rPr>
        <w:t>等）</w:t>
      </w:r>
      <w:r>
        <w:rPr>
          <w:rFonts w:ascii="仿宋" w:hAnsi="仿宋" w:eastAsia="仿宋" w:cs="仿宋"/>
          <w:color w:val="auto"/>
          <w:sz w:val="28"/>
          <w:szCs w:val="28"/>
          <w:highlight w:val="none"/>
          <w:lang w:bidi="ar"/>
        </w:rPr>
        <w:t>等载体，形成多途径立体化的信息传播渠道。大力发展互动娱乐、数字视听、数字新媒体等产业，丰富数字媒体、数字出版、数字影音、网络文学等数字文化内容。推动虚拟现实技术等在动画设计和影视制作领域的集成应用，支持全息投影在娱乐传播等方面的应用。鼓励引导本地原创团队高质量开展数字媒体内容创业，引导MCN、KOL、UGC等新场景健康有序发展。</w:t>
      </w:r>
    </w:p>
    <w:p>
      <w:pPr>
        <w:pStyle w:val="4"/>
        <w:rPr>
          <w:color w:val="auto"/>
          <w:sz w:val="32"/>
          <w:szCs w:val="32"/>
          <w:highlight w:val="none"/>
        </w:rPr>
      </w:pPr>
      <w:bookmarkStart w:id="87" w:name="_Toc81298646"/>
      <w:r>
        <w:rPr>
          <w:color w:val="auto"/>
          <w:sz w:val="32"/>
          <w:szCs w:val="32"/>
          <w:highlight w:val="none"/>
        </w:rPr>
        <w:t xml:space="preserve">3. </w:t>
      </w:r>
      <w:r>
        <w:rPr>
          <w:rFonts w:hint="eastAsia"/>
          <w:color w:val="auto"/>
          <w:sz w:val="32"/>
          <w:szCs w:val="32"/>
          <w:highlight w:val="none"/>
        </w:rPr>
        <w:t>纵深推进新兴数字产业发展</w:t>
      </w:r>
      <w:bookmarkEnd w:id="87"/>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积极培育</w:t>
      </w:r>
      <w:r>
        <w:rPr>
          <w:rFonts w:hint="default" w:ascii="仿宋" w:hAnsi="仿宋" w:eastAsia="仿宋" w:cs="仿宋"/>
          <w:b/>
          <w:bCs/>
          <w:color w:val="auto"/>
          <w:sz w:val="28"/>
          <w:szCs w:val="28"/>
          <w:highlight w:val="none"/>
          <w:lang w:bidi="ar"/>
        </w:rPr>
        <w:t>互联网</w:t>
      </w:r>
      <w:r>
        <w:rPr>
          <w:rFonts w:ascii="仿宋" w:hAnsi="仿宋" w:eastAsia="仿宋" w:cs="仿宋"/>
          <w:b/>
          <w:bCs/>
          <w:color w:val="auto"/>
          <w:sz w:val="28"/>
          <w:szCs w:val="28"/>
          <w:highlight w:val="none"/>
          <w:lang w:bidi="ar"/>
        </w:rPr>
        <w:t>相关产业。</w:t>
      </w:r>
      <w:r>
        <w:rPr>
          <w:rFonts w:ascii="仿宋" w:hAnsi="仿宋" w:eastAsia="仿宋" w:cs="仿宋"/>
          <w:bCs/>
          <w:color w:val="auto"/>
          <w:sz w:val="28"/>
          <w:szCs w:val="28"/>
          <w:highlight w:val="none"/>
          <w:lang w:bidi="ar"/>
        </w:rPr>
        <w:t>紧抓川东大数据中心建设契机，</w:t>
      </w:r>
      <w:r>
        <w:rPr>
          <w:rFonts w:ascii="仿宋" w:hAnsi="仿宋" w:eastAsia="仿宋" w:cs="仿宋"/>
          <w:color w:val="auto"/>
          <w:sz w:val="28"/>
          <w:szCs w:val="28"/>
          <w:highlight w:val="none"/>
          <w:lang w:bidi="ar"/>
        </w:rPr>
        <w:t>支持数据服务、云计算、信息安全等相关产业发展。以发展大数据为战略引领，培育引进数据采集、存储、处理、挖掘、应用、展示、衍生等数据服务产业，形成数字产业链条。提升云计算技术水平和系统服务能力，推进云端产品和企业应用的研发，加快推动云计算在各行业应用。支持具有技术实力和竞争力的企业集中研发泛网安产品，提供网络信息安全咨询、培训、测试、认证、审计、应急、运维全体系的安全服务。</w:t>
      </w:r>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有序探索数字技术新应用。</w:t>
      </w:r>
      <w:r>
        <w:rPr>
          <w:rFonts w:ascii="仿宋" w:hAnsi="仿宋" w:eastAsia="仿宋" w:cs="仿宋"/>
          <w:color w:val="auto"/>
          <w:sz w:val="28"/>
          <w:szCs w:val="28"/>
          <w:highlight w:val="none"/>
          <w:lang w:bidi="ar"/>
        </w:rPr>
        <w:t>搭建全区物联网接入管理与数据汇聚平台，推动感知设备统一接入、集中管理和数据共享利用，深化物联网在重点行业的应用推广。推进“蜀信链”达州节点城市建设，为区块链技术应用提供网络资源、基础设备等保障，鼓励本地企业探索研发基于主权区块链技术的加密传输等业务，积极拓宽区块链在公共服务、金融征信、特色产业等领域的应用场景。逐步发展地理遥感及测绘地理信息服务等产业，启动核心空间基础设施建设，积极推进空间信息服务在应急指挥、防灾减灾、交通运输、旅游服务、城市治理、农业、气象等多领域中的创新应用。</w:t>
      </w:r>
    </w:p>
    <w:p>
      <w:pPr>
        <w:pStyle w:val="4"/>
        <w:rPr>
          <w:color w:val="auto"/>
          <w:sz w:val="32"/>
          <w:szCs w:val="32"/>
          <w:highlight w:val="none"/>
        </w:rPr>
      </w:pPr>
      <w:bookmarkStart w:id="88" w:name="_Toc81298647"/>
      <w:r>
        <w:rPr>
          <w:color w:val="auto"/>
          <w:sz w:val="32"/>
          <w:szCs w:val="32"/>
          <w:highlight w:val="none"/>
        </w:rPr>
        <w:t xml:space="preserve">4. </w:t>
      </w:r>
      <w:r>
        <w:rPr>
          <w:rFonts w:hint="eastAsia"/>
          <w:color w:val="auto"/>
          <w:sz w:val="32"/>
          <w:szCs w:val="32"/>
          <w:highlight w:val="none"/>
        </w:rPr>
        <w:t>推进引导新业态新模式发展</w:t>
      </w:r>
      <w:bookmarkEnd w:id="88"/>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大力发展以平台经济为代表的新业态新模式，</w:t>
      </w:r>
      <w:r>
        <w:rPr>
          <w:rFonts w:ascii="仿宋" w:hAnsi="仿宋" w:eastAsia="仿宋" w:cs="仿宋"/>
          <w:color w:val="auto"/>
          <w:sz w:val="28"/>
          <w:szCs w:val="28"/>
          <w:highlight w:val="none"/>
          <w:lang w:bidi="ar"/>
        </w:rPr>
        <w:t>推动实体经济与互联网经济整合发展。重视社群商业化运营，紧抓公域流量、用好私域流量，支持罗浮广场、仁和新城、摩尔百货等重点商圈企业与阿里巴巴、美团、今日头条等互联网头部平台企业深化商务合作，发展垂直行业协同、线上线下结合的商业模式。以环城好一新、福森华美立家、红星美凯龙等重点专业市场为载体，引导其向信息化和体验化进行升级，打造专业市场信息化综合服务平台，设置产品展示体验中心，将体验经济和批发交易融合，形成具有通川特色的品牌型专业市场。重点支持行业协会或产业联盟、龙头企业牵头建设本领域供应链管理、综合性交易平台。在食品、物流、医药、装备制造等优势产业建设个性化定制、科技创新、产学融合平台，以平台经济发展支撑供给升级和消费升级。创新政策环境、规范市场环境，引导平台经济规范化、体系化发展，营造平台经济良性发展生态。</w:t>
      </w:r>
    </w:p>
    <w:p>
      <w:pPr>
        <w:pStyle w:val="3"/>
        <w:spacing w:before="200" w:after="100" w:line="560" w:lineRule="exact"/>
        <w:rPr>
          <w:rFonts w:ascii="仿宋_GB2312" w:hAnsi="仿宋_GB2312" w:eastAsia="仿宋_GB2312" w:cs="仿宋_GB2312"/>
          <w:color w:val="auto"/>
          <w:sz w:val="32"/>
          <w:highlight w:val="none"/>
        </w:rPr>
      </w:pPr>
      <w:bookmarkStart w:id="89" w:name="_Toc81298648"/>
      <w:r>
        <w:rPr>
          <w:rFonts w:hint="eastAsia" w:ascii="仿宋_GB2312" w:hAnsi="仿宋_GB2312" w:eastAsia="仿宋_GB2312" w:cs="仿宋_GB2312"/>
          <w:color w:val="auto"/>
          <w:sz w:val="32"/>
          <w:highlight w:val="none"/>
        </w:rPr>
        <w:t>（二）秉承融合赋能，构建产业数字化转型新路径</w:t>
      </w:r>
      <w:bookmarkEnd w:id="89"/>
    </w:p>
    <w:p>
      <w:pPr>
        <w:pStyle w:val="4"/>
        <w:rPr>
          <w:color w:val="auto"/>
          <w:sz w:val="32"/>
          <w:szCs w:val="32"/>
          <w:highlight w:val="none"/>
        </w:rPr>
      </w:pPr>
      <w:bookmarkStart w:id="90" w:name="_Toc81298649"/>
      <w:r>
        <w:rPr>
          <w:color w:val="auto"/>
          <w:sz w:val="32"/>
          <w:szCs w:val="32"/>
          <w:highlight w:val="none"/>
        </w:rPr>
        <w:t>1. 推进工业数字化转型升级</w:t>
      </w:r>
      <w:bookmarkEnd w:id="90"/>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深化工业互联网创新应用。</w:t>
      </w:r>
      <w:r>
        <w:rPr>
          <w:rFonts w:ascii="仿宋" w:hAnsi="仿宋" w:eastAsia="仿宋" w:cs="仿宋"/>
          <w:color w:val="auto"/>
          <w:sz w:val="28"/>
          <w:szCs w:val="28"/>
          <w:highlight w:val="none"/>
          <w:lang w:bidi="ar"/>
        </w:rPr>
        <w:t>加强企业内外网进行升级改造，开展工业互联网标识解析体系建设及行业应用，打造5G+工业互联网平台，推进产品追溯、供应链管理、产品全生命周期管理和智能生产等工业互联网应用。建设智慧工业云平台，汇聚产业链上下游资源，打通生产制造及销售、采购环节的数据流动，推动中小企业、民营企业上平台，提升产业链协作水平。</w:t>
      </w:r>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培育重点产业数字化升级。</w:t>
      </w:r>
      <w:r>
        <w:rPr>
          <w:rStyle w:val="15"/>
          <w:color w:val="auto"/>
          <w:highlight w:val="none"/>
        </w:rPr>
        <w:t>深化推进“两化融合”，推动大数据、区块链、人工智能等数字技术在传统产业的深度应用，推进无人工厂、工业机器人、智能电网等技术创新突破和应用发展，全面提升</w:t>
      </w:r>
      <w:r>
        <w:rPr>
          <w:rFonts w:ascii="仿宋" w:hAnsi="仿宋" w:eastAsia="仿宋" w:cs="仿宋"/>
          <w:color w:val="auto"/>
          <w:sz w:val="28"/>
          <w:szCs w:val="28"/>
          <w:highlight w:val="none"/>
          <w:lang w:bidi="ar"/>
        </w:rPr>
        <w:t>农产品加工业、智能制造、医药健康加工业等重点产业的数字化水平</w:t>
      </w:r>
      <w:r>
        <w:rPr>
          <w:rStyle w:val="15"/>
          <w:color w:val="auto"/>
          <w:highlight w:val="none"/>
        </w:rPr>
        <w:t>。</w:t>
      </w:r>
      <w:r>
        <w:rPr>
          <w:rFonts w:ascii="仿宋" w:hAnsi="仿宋" w:eastAsia="仿宋" w:cs="仿宋"/>
          <w:color w:val="auto"/>
          <w:sz w:val="28"/>
          <w:szCs w:val="28"/>
          <w:highlight w:val="none"/>
          <w:lang w:bidi="ar"/>
        </w:rPr>
        <w:t>大力发展智能制造，打造新一代智能工厂、数字车间、智能标杆企业。加快MES、WMS、PLM、BI等工业软件在龙头企业的部署，实现研发设计、生产制造、经营管理、市场营销、运维服务等关键环节的信息化智能化升级，培养一批数字化协同建设示范项目，在重点行业开展信息化和管理体系标准化建设。</w:t>
      </w:r>
    </w:p>
    <w:p>
      <w:pPr>
        <w:pStyle w:val="16"/>
        <w:spacing w:line="560" w:lineRule="exact"/>
        <w:ind w:firstLine="562"/>
        <w:rPr>
          <w:rFonts w:hint="default" w:ascii="仿宋" w:hAnsi="仿宋" w:eastAsia="仿宋" w:cs="仿宋"/>
          <w:b/>
          <w:bCs/>
          <w:color w:val="auto"/>
          <w:sz w:val="28"/>
          <w:szCs w:val="28"/>
          <w:highlight w:val="none"/>
          <w:lang w:bidi="ar"/>
        </w:rPr>
      </w:pPr>
      <w:r>
        <w:rPr>
          <w:rFonts w:ascii="仿宋" w:hAnsi="仿宋" w:eastAsia="仿宋" w:cs="仿宋"/>
          <w:b/>
          <w:bCs/>
          <w:color w:val="auto"/>
          <w:sz w:val="28"/>
          <w:szCs w:val="28"/>
          <w:highlight w:val="none"/>
          <w:lang w:bidi="ar"/>
        </w:rPr>
        <w:t>推进智慧园区建设。</w:t>
      </w:r>
      <w:r>
        <w:rPr>
          <w:rFonts w:ascii="仿宋" w:hAnsi="仿宋" w:eastAsia="仿宋" w:cs="仿宋"/>
          <w:color w:val="auto"/>
          <w:sz w:val="28"/>
          <w:szCs w:val="28"/>
          <w:highlight w:val="none"/>
          <w:lang w:bidi="ar"/>
        </w:rPr>
        <w:t>着力提升达州市农产品加工产业园、达州市医药健康产业园、智能制造产业园、公铁物流园（蒲家）和国家级川菜高新技术产业示范园等重点产业园区数字化水平，完善园区基础设施的数字化升级，以通川经开区作为智慧园区试点，建设智慧园区大数据综合运营管理中心，提供运行监测、用地管理、环境监测、安全监测、产能共享等应用功能。借助各类信息化资源对园区人流、物流、能耗、环保和产能等进行智慧管理，为入园企业提供信息、物流、展销、金融、人力等全方位配套惠企服务，引导企业共享研发和生产能力，提升园区智慧管控和服务水平，打造一批省级数字化示范园区。</w:t>
      </w:r>
    </w:p>
    <w:p>
      <w:pPr>
        <w:pStyle w:val="4"/>
        <w:rPr>
          <w:color w:val="auto"/>
          <w:sz w:val="32"/>
          <w:szCs w:val="32"/>
          <w:highlight w:val="none"/>
        </w:rPr>
      </w:pPr>
      <w:bookmarkStart w:id="91" w:name="_Toc81298650"/>
      <w:r>
        <w:rPr>
          <w:rFonts w:hint="eastAsia"/>
          <w:color w:val="auto"/>
          <w:sz w:val="32"/>
          <w:szCs w:val="32"/>
          <w:highlight w:val="none"/>
        </w:rPr>
        <w:t>2.</w:t>
      </w:r>
      <w:r>
        <w:rPr>
          <w:color w:val="auto"/>
          <w:sz w:val="32"/>
          <w:szCs w:val="32"/>
          <w:highlight w:val="none"/>
        </w:rPr>
        <w:t xml:space="preserve"> </w:t>
      </w:r>
      <w:r>
        <w:rPr>
          <w:rFonts w:hint="eastAsia"/>
          <w:color w:val="auto"/>
          <w:sz w:val="32"/>
          <w:szCs w:val="32"/>
          <w:highlight w:val="none"/>
        </w:rPr>
        <w:t>提升本地特色农业数字化水平</w:t>
      </w:r>
      <w:bookmarkEnd w:id="91"/>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全面推进智慧农业建设</w:t>
      </w:r>
      <w:r>
        <w:rPr>
          <w:rFonts w:ascii="仿宋" w:hAnsi="仿宋" w:eastAsia="仿宋" w:cs="仿宋"/>
          <w:color w:val="auto"/>
          <w:sz w:val="28"/>
          <w:szCs w:val="28"/>
          <w:highlight w:val="none"/>
          <w:lang w:bidi="ar"/>
        </w:rPr>
        <w:t>。依托数字技术应用大力发展提升农产品加工业和生态农业，将农业生产要素数字化，赋能通川农业现代化体系。推广农业物联网应用，建设农业物联网综合管理平台，推进从农业生产、加工、流通、销售到消费的全产业链大数据建设，持续构建基于卫星遥感、无人机、田间观测一体化的农业遥感应用体系，进一步推广智能大棚、智能水产养殖、智慧禽类养殖管理、病虫害防治等应用，实现环境智能监测、智能巡检、智能灌溉、自动投料、自动控温、自动清污。发展壮大通川区“8+3”特色农产品体系（粮油、生猪、水果、蔬菜、中药材、茶叶、花卉、水产八大优势产业，现代农业种业、现代农业装备、现代农业烘干冷链物流三大先导性支撑），围绕环凤脆李、蒲家蓝莓生产基地，打造智慧农业示范园区，实现建设管理和生产运营全面数字化，提升园区农业装备机械化、智能化、数字化水平，形成专业化生产、集约化经营、企业化管理的现代农业模式。</w:t>
      </w:r>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增强农产品全产业链数字化管理。</w:t>
      </w:r>
      <w:r>
        <w:rPr>
          <w:rFonts w:ascii="仿宋" w:hAnsi="仿宋" w:eastAsia="仿宋" w:cs="仿宋"/>
          <w:color w:val="auto"/>
          <w:sz w:val="28"/>
          <w:szCs w:val="28"/>
          <w:highlight w:val="none"/>
          <w:lang w:bidi="ar"/>
        </w:rPr>
        <w:t>强化农业信息化服务和农产品质量安全监管追溯体系，依托区块链技术，搭建农产品溯源平台，对接国家（省级）农产品溯源平台数据，建立来源追溯、质量管控、执法监管等方面的数据共享机制，实现全链条信息可查询、来源可追溯、去向可跟踪、责任可追究的管理模式，为行业监管机构、检验检测认证机构及社会公众等提供全程信息服务，推进农产品从原料至成品的个体数字化认定、市场信息和安全溯源体系建设。结合</w:t>
      </w:r>
      <w:r>
        <w:rPr>
          <w:rFonts w:hint="default" w:ascii="仿宋" w:hAnsi="仿宋" w:eastAsia="仿宋" w:cs="仿宋"/>
          <w:color w:val="auto"/>
          <w:sz w:val="28"/>
          <w:szCs w:val="28"/>
          <w:highlight w:val="none"/>
          <w:lang w:bidi="ar"/>
        </w:rPr>
        <w:t>灯影牛肉、保丰大米、通川青脆李、磐石草莓、蒲家蓝莓等</w:t>
      </w:r>
      <w:r>
        <w:rPr>
          <w:rFonts w:ascii="仿宋" w:hAnsi="仿宋" w:eastAsia="仿宋" w:cs="仿宋"/>
          <w:color w:val="auto"/>
          <w:sz w:val="28"/>
          <w:szCs w:val="28"/>
          <w:highlight w:val="none"/>
          <w:lang w:bidi="ar"/>
        </w:rPr>
        <w:t>特色农产品优势，探索农村一二三</w:t>
      </w:r>
      <w:r>
        <w:rPr>
          <w:rFonts w:hint="eastAsia" w:ascii="仿宋" w:hAnsi="仿宋" w:eastAsia="仿宋" w:cs="仿宋"/>
          <w:color w:val="auto"/>
          <w:sz w:val="28"/>
          <w:szCs w:val="28"/>
          <w:highlight w:val="none"/>
          <w:lang w:eastAsia="zh-CN" w:bidi="ar"/>
        </w:rPr>
        <w:t>产业</w:t>
      </w:r>
      <w:r>
        <w:rPr>
          <w:rFonts w:ascii="仿宋" w:hAnsi="仿宋" w:eastAsia="仿宋" w:cs="仿宋"/>
          <w:color w:val="auto"/>
          <w:sz w:val="28"/>
          <w:szCs w:val="28"/>
          <w:highlight w:val="none"/>
          <w:lang w:bidi="ar"/>
        </w:rPr>
        <w:t>融合发展路径，以农业科技推广和发展模式创新为动力，提升农产品加工过程的数字化管理水平。</w:t>
      </w:r>
    </w:p>
    <w:p>
      <w:pPr>
        <w:ind w:firstLine="562" w:firstLineChars="200"/>
        <w:rPr>
          <w:rFonts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提升农产品产销智能化。</w:t>
      </w:r>
      <w:r>
        <w:rPr>
          <w:rFonts w:ascii="仿宋" w:hAnsi="仿宋" w:eastAsia="仿宋" w:cs="仿宋"/>
          <w:color w:val="auto"/>
          <w:sz w:val="28"/>
          <w:szCs w:val="28"/>
          <w:highlight w:val="none"/>
          <w:lang w:bidi="ar"/>
        </w:rPr>
        <w:t>完善适合农产品网络销售的供应链体系、运营服务体系和支撑保障体系，拓宽农产品销售渠道，促进农产品线上线下渠道整合发展。推进农产品产销平台建设，大力发展农村电商，培育具有通川特色的“数字农场+渠道电商”一站式供应链，推动国家级农村电商示范区的创建工作。积极对接各类互联网平台，通过平台化模式融入全国销售链，加大通川农业品牌推介和展销力度。开展农业生产资料电子商务精准服务，探索农产品和种子、化肥、农</w:t>
      </w:r>
      <w:r>
        <w:rPr>
          <w:rFonts w:hint="eastAsia" w:ascii="仿宋" w:hAnsi="仿宋" w:eastAsia="仿宋" w:cs="仿宋"/>
          <w:color w:val="auto"/>
          <w:sz w:val="28"/>
          <w:szCs w:val="28"/>
          <w:highlight w:val="none"/>
          <w:lang w:eastAsia="zh-CN" w:bidi="ar"/>
        </w:rPr>
        <w:t>（</w:t>
      </w:r>
      <w:r>
        <w:rPr>
          <w:rFonts w:ascii="仿宋" w:hAnsi="仿宋" w:eastAsia="仿宋" w:cs="仿宋"/>
          <w:color w:val="auto"/>
          <w:sz w:val="28"/>
          <w:szCs w:val="28"/>
          <w:highlight w:val="none"/>
          <w:lang w:bidi="ar"/>
        </w:rPr>
        <w:t>兽</w:t>
      </w:r>
      <w:r>
        <w:rPr>
          <w:rFonts w:hint="eastAsia" w:ascii="仿宋" w:hAnsi="仿宋" w:eastAsia="仿宋" w:cs="仿宋"/>
          <w:color w:val="auto"/>
          <w:sz w:val="28"/>
          <w:szCs w:val="28"/>
          <w:highlight w:val="none"/>
          <w:lang w:eastAsia="zh-CN" w:bidi="ar"/>
        </w:rPr>
        <w:t>）</w:t>
      </w:r>
      <w:r>
        <w:rPr>
          <w:rFonts w:ascii="仿宋" w:hAnsi="仿宋" w:eastAsia="仿宋" w:cs="仿宋"/>
          <w:color w:val="auto"/>
          <w:sz w:val="28"/>
          <w:szCs w:val="28"/>
          <w:highlight w:val="none"/>
          <w:lang w:bidi="ar"/>
        </w:rPr>
        <w:t>药等农资电商协同对接发展模式。培育“互联网+订单农业”，鼓励农业企业与互联网企业合作，建立产销衔接服务平台，实现农产品从田间到餐桌、从初级产品到终端消费的无缝对接，提升农产品生产、销售、物运的整套标准化能级。鼓励企业运用网红直播带货等新形式和新媒体开展宣传推广和商务营销，推进特色农产品直播电商孵化基地建设，结合通川农产品品牌，提升品牌效应，全面打通农产品线上线下营销通道。</w:t>
      </w:r>
    </w:p>
    <w:p>
      <w:pPr>
        <w:pStyle w:val="4"/>
        <w:numPr>
          <w:ilvl w:val="0"/>
          <w:numId w:val="1"/>
        </w:numPr>
        <w:rPr>
          <w:color w:val="auto"/>
          <w:sz w:val="32"/>
          <w:szCs w:val="32"/>
          <w:highlight w:val="none"/>
        </w:rPr>
      </w:pPr>
      <w:bookmarkStart w:id="92" w:name="_Toc81298651"/>
      <w:r>
        <w:rPr>
          <w:rFonts w:hint="eastAsia"/>
          <w:color w:val="auto"/>
          <w:sz w:val="32"/>
          <w:szCs w:val="32"/>
          <w:highlight w:val="none"/>
        </w:rPr>
        <w:t>助力</w:t>
      </w:r>
      <w:r>
        <w:rPr>
          <w:color w:val="auto"/>
          <w:sz w:val="32"/>
          <w:szCs w:val="32"/>
          <w:highlight w:val="none"/>
        </w:rPr>
        <w:t>现代服务业提质发展</w:t>
      </w:r>
      <w:bookmarkEnd w:id="92"/>
    </w:p>
    <w:p>
      <w:pPr>
        <w:pStyle w:val="16"/>
        <w:spacing w:line="560" w:lineRule="exact"/>
        <w:ind w:firstLine="562"/>
        <w:rPr>
          <w:rFonts w:hint="default" w:ascii="仿宋" w:hAnsi="仿宋" w:eastAsia="仿宋" w:cs="仿宋"/>
          <w:color w:val="auto"/>
          <w:sz w:val="28"/>
          <w:szCs w:val="28"/>
          <w:highlight w:val="none"/>
          <w:lang w:bidi="ar"/>
        </w:rPr>
      </w:pPr>
      <w:r>
        <w:rPr>
          <w:rFonts w:ascii="仿宋" w:hAnsi="仿宋" w:eastAsia="仿宋" w:cs="仿宋"/>
          <w:b/>
          <w:bCs/>
          <w:color w:val="auto"/>
          <w:sz w:val="28"/>
          <w:szCs w:val="28"/>
          <w:highlight w:val="none"/>
          <w:lang w:bidi="ar"/>
        </w:rPr>
        <w:t>大力发展高效智能物流。</w:t>
      </w:r>
      <w:r>
        <w:rPr>
          <w:rFonts w:ascii="仿宋" w:hAnsi="仿宋" w:eastAsia="仿宋" w:cs="仿宋"/>
          <w:color w:val="auto"/>
          <w:sz w:val="28"/>
          <w:szCs w:val="28"/>
          <w:highlight w:val="none"/>
          <w:lang w:bidi="ar"/>
        </w:rPr>
        <w:t>支持现代物流业发展，鼓励平台型物流企业深入实施“互联网+物流”行动，推广物联网、人工智能、机器人等先进技术在物流行业应用，加快物流业务流程数字化改造，为物流企业智慧化、数字化转型提供数据和资源服务支撑，促进物流信息跨区域、跨行业互联互通。加快川东北电商快递分拨中心、西南巴蜀智慧物流港、成诺国际物流港、源美冷链物流基地、西南冷链物流基地等建设，打造复兴现代商贸物流园、双龙铁路仓储物流园、魏蒲新城食品药品物流园等三大特色物流园区，强化物流信息基础设施建设，加快智慧物流和供应链平台建设，强化智能终端、智能仓库等的推广升级，普及自动化装卸、搬运、传送、分拣设备，开展立体仓、无人仓，AGV仓储机器人、码垛机器人等高端智能装备应用。大力发展“互联网+车货匹配”“互联网+合同物流”“互联网+货运经纪”“互联网+库存管理”等行业新模式。对接专业第三方供应链平台，形成智慧化管理和认证追溯系统。整合物流资源，提高通川物流产业数字化、组织化、规模化水平；延伸业务链条，加强仓储信息化、智能化，建立完善的仓储运输管理系统，实现仓配一体化，建设秦巴地区智慧供应链中心，着力打造万达开川渝现代商贸物流核心区。</w:t>
      </w:r>
    </w:p>
    <w:p>
      <w:pPr>
        <w:pStyle w:val="16"/>
        <w:spacing w:line="560" w:lineRule="exact"/>
        <w:ind w:firstLine="562"/>
        <w:rPr>
          <w:rFonts w:hint="default" w:ascii="仿宋" w:hAnsi="仿宋" w:eastAsia="仿宋" w:cs="仿宋"/>
          <w:color w:val="auto"/>
          <w:sz w:val="28"/>
          <w:szCs w:val="28"/>
          <w:highlight w:val="none"/>
          <w:lang w:bidi="ar"/>
        </w:rPr>
      </w:pPr>
      <w:r>
        <w:rPr>
          <w:rFonts w:hint="default" w:ascii="仿宋" w:hAnsi="仿宋" w:eastAsia="仿宋" w:cs="仿宋"/>
          <w:b/>
          <w:bCs/>
          <w:color w:val="auto"/>
          <w:sz w:val="28"/>
          <w:szCs w:val="28"/>
          <w:highlight w:val="none"/>
          <w:lang w:bidi="ar"/>
        </w:rPr>
        <w:t>深入打造数字化文化体育设施。</w:t>
      </w:r>
      <w:r>
        <w:rPr>
          <w:rFonts w:ascii="仿宋" w:hAnsi="仿宋" w:eastAsia="仿宋"/>
          <w:color w:val="auto"/>
          <w:sz w:val="28"/>
          <w:szCs w:val="28"/>
          <w:highlight w:val="none"/>
          <w:lang w:bidi="ar"/>
        </w:rPr>
        <w:t>深入挖掘神剑园、515艺术创窟等景区景点的红色文化底蕴，</w:t>
      </w:r>
      <w:r>
        <w:rPr>
          <w:rFonts w:ascii="仿宋" w:hAnsi="仿宋" w:eastAsia="仿宋"/>
          <w:color w:val="auto"/>
          <w:sz w:val="28"/>
          <w:szCs w:val="24"/>
          <w:highlight w:val="none"/>
          <w:lang w:bidi="ar"/>
        </w:rPr>
        <w:t>促进文旅资源数字化转化，</w:t>
      </w:r>
      <w:r>
        <w:rPr>
          <w:rFonts w:ascii="仿宋" w:hAnsi="仿宋" w:eastAsia="仿宋"/>
          <w:color w:val="auto"/>
          <w:sz w:val="28"/>
          <w:szCs w:val="28"/>
          <w:highlight w:val="none"/>
          <w:lang w:bidi="ar"/>
        </w:rPr>
        <w:t>利用5G+VR/AR等技术，打造线上展览平台与线下互动体验空间融合的红色教育示范区</w:t>
      </w:r>
      <w:r>
        <w:rPr>
          <w:rFonts w:hint="default" w:ascii="仿宋" w:hAnsi="仿宋" w:eastAsia="仿宋"/>
          <w:color w:val="auto"/>
          <w:sz w:val="28"/>
          <w:szCs w:val="28"/>
          <w:highlight w:val="none"/>
          <w:lang w:bidi="ar"/>
        </w:rPr>
        <w:t>。</w:t>
      </w:r>
      <w:r>
        <w:rPr>
          <w:rFonts w:ascii="仿宋" w:hAnsi="仿宋" w:eastAsia="仿宋"/>
          <w:color w:val="auto"/>
          <w:sz w:val="28"/>
          <w:szCs w:val="24"/>
          <w:highlight w:val="none"/>
          <w:lang w:bidi="ar"/>
        </w:rPr>
        <w:t>鼓励文化企业与互联网平台深度合作，推动具有本地特色的网络电影、短视频等互联网文娱产业的发展。</w:t>
      </w:r>
      <w:r>
        <w:rPr>
          <w:rFonts w:ascii="仿宋" w:hAnsi="仿宋" w:eastAsia="仿宋"/>
          <w:color w:val="auto"/>
          <w:sz w:val="28"/>
          <w:szCs w:val="28"/>
          <w:highlight w:val="none"/>
          <w:lang w:bidi="ar"/>
        </w:rPr>
        <w:t>支持各类体育设施、体育场馆智慧化升级改造，提升</w:t>
      </w:r>
      <w:r>
        <w:rPr>
          <w:rFonts w:hint="default" w:ascii="仿宋" w:hAnsi="仿宋" w:eastAsia="仿宋"/>
          <w:color w:val="auto"/>
          <w:sz w:val="28"/>
          <w:szCs w:val="28"/>
          <w:highlight w:val="none"/>
          <w:lang w:bidi="ar"/>
        </w:rPr>
        <w:t>大型节庆会展和体育赛事</w:t>
      </w:r>
      <w:r>
        <w:rPr>
          <w:rFonts w:ascii="仿宋" w:hAnsi="仿宋" w:eastAsia="仿宋"/>
          <w:color w:val="auto"/>
          <w:sz w:val="28"/>
          <w:szCs w:val="28"/>
          <w:highlight w:val="none"/>
          <w:lang w:bidi="ar"/>
        </w:rPr>
        <w:t>保障水平</w:t>
      </w:r>
      <w:r>
        <w:rPr>
          <w:rFonts w:hint="default" w:ascii="仿宋" w:hAnsi="仿宋" w:eastAsia="仿宋"/>
          <w:color w:val="auto"/>
          <w:sz w:val="28"/>
          <w:szCs w:val="28"/>
          <w:highlight w:val="none"/>
          <w:lang w:bidi="ar"/>
        </w:rPr>
        <w:t>，</w:t>
      </w:r>
      <w:r>
        <w:rPr>
          <w:rFonts w:ascii="仿宋" w:hAnsi="仿宋" w:eastAsia="仿宋"/>
          <w:color w:val="auto"/>
          <w:sz w:val="28"/>
          <w:szCs w:val="28"/>
          <w:highlight w:val="none"/>
          <w:lang w:bidi="ar"/>
        </w:rPr>
        <w:t>让</w:t>
      </w:r>
      <w:r>
        <w:rPr>
          <w:rFonts w:hint="default" w:ascii="仿宋" w:hAnsi="仿宋" w:eastAsia="仿宋"/>
          <w:color w:val="auto"/>
          <w:sz w:val="28"/>
          <w:szCs w:val="28"/>
          <w:highlight w:val="none"/>
          <w:lang w:bidi="ar"/>
        </w:rPr>
        <w:t>文化、体育等公共服务供给不断提档升级</w:t>
      </w:r>
      <w:r>
        <w:rPr>
          <w:rFonts w:ascii="仿宋" w:hAnsi="仿宋" w:eastAsia="仿宋"/>
          <w:color w:val="auto"/>
          <w:sz w:val="28"/>
          <w:szCs w:val="28"/>
          <w:highlight w:val="none"/>
          <w:lang w:bidi="ar"/>
        </w:rPr>
        <w:t>，丰富区内人民精神文化生活。</w:t>
      </w:r>
    </w:p>
    <w:p>
      <w:pPr>
        <w:pStyle w:val="16"/>
        <w:spacing w:line="560" w:lineRule="exact"/>
        <w:ind w:firstLine="562"/>
        <w:rPr>
          <w:rFonts w:hint="default" w:ascii="仿宋" w:hAnsi="仿宋" w:eastAsia="仿宋"/>
          <w:color w:val="auto"/>
          <w:sz w:val="28"/>
          <w:szCs w:val="28"/>
          <w:highlight w:val="none"/>
          <w:lang w:bidi="ar"/>
        </w:rPr>
      </w:pPr>
      <w:r>
        <w:rPr>
          <w:rFonts w:ascii="仿宋" w:hAnsi="仿宋" w:eastAsia="仿宋" w:cs="仿宋"/>
          <w:b/>
          <w:bCs/>
          <w:color w:val="auto"/>
          <w:sz w:val="28"/>
          <w:szCs w:val="28"/>
          <w:highlight w:val="none"/>
          <w:lang w:bidi="ar"/>
        </w:rPr>
        <w:t>加快全域旅游建设。</w:t>
      </w:r>
      <w:r>
        <w:rPr>
          <w:rFonts w:ascii="仿宋" w:hAnsi="仿宋" w:eastAsia="仿宋" w:cs="仿宋"/>
          <w:color w:val="auto"/>
          <w:sz w:val="28"/>
          <w:szCs w:val="28"/>
          <w:highlight w:val="none"/>
          <w:lang w:bidi="ar"/>
        </w:rPr>
        <w:t>加快发展智慧文旅产业，着力打造川渝文创名城、旅游名城、赛事名城和美食名城。</w:t>
      </w:r>
      <w:r>
        <w:rPr>
          <w:rFonts w:ascii="仿宋" w:hAnsi="仿宋" w:eastAsia="仿宋"/>
          <w:color w:val="auto"/>
          <w:sz w:val="28"/>
          <w:szCs w:val="28"/>
          <w:highlight w:val="none"/>
          <w:lang w:bidi="ar"/>
        </w:rPr>
        <w:t>以“一湖一园两镇多支点”格局为主要框架，带动周边主要文旅节点共同发展。深入挖掘红色历史文化和秦巴文化底蕴，通过“互联网+文旅”模式打造通川特色精品旅游线路。推动景区数字化改造工程，利用全息投影、裸眼3D、智能灯光等技术，提升游客沉浸式旅游新体验。完善全区智慧旅游大数据平台建设，通过大数据对客群分布、人流交通、购物消费等场景精准画像，提供精准丰富的智能化旅游服务。推动全区文旅资源整合共享，统一景区物联终端接口标准，加强旅游产业监管和运行监测，强化旅游执法协同联动和应急指挥，全方位提升游客“吃、住、行、游、购、娱”智慧化服务水平。</w:t>
      </w:r>
    </w:p>
    <w:p>
      <w:pPr>
        <w:pStyle w:val="16"/>
        <w:spacing w:line="560" w:lineRule="exact"/>
        <w:ind w:firstLine="562"/>
        <w:rPr>
          <w:rFonts w:hint="default" w:ascii="仿宋" w:hAnsi="仿宋" w:eastAsia="仿宋"/>
          <w:color w:val="auto"/>
          <w:sz w:val="28"/>
          <w:szCs w:val="28"/>
          <w:highlight w:val="none"/>
          <w:lang w:bidi="ar"/>
        </w:rPr>
      </w:pPr>
      <w:r>
        <w:rPr>
          <w:rFonts w:ascii="仿宋" w:hAnsi="仿宋" w:eastAsia="仿宋"/>
          <w:b/>
          <w:bCs/>
          <w:color w:val="auto"/>
          <w:sz w:val="28"/>
          <w:szCs w:val="28"/>
          <w:highlight w:val="none"/>
          <w:lang w:bidi="ar"/>
        </w:rPr>
        <w:t>打造高品质商贸集聚区。</w:t>
      </w:r>
      <w:r>
        <w:rPr>
          <w:rFonts w:ascii="仿宋" w:hAnsi="仿宋" w:eastAsia="仿宋"/>
          <w:color w:val="auto"/>
          <w:sz w:val="28"/>
          <w:szCs w:val="28"/>
          <w:highlight w:val="none"/>
          <w:lang w:bidi="ar"/>
        </w:rPr>
        <w:t>实施服务业标准化领航工程，提升罗浮广场、红星美凯龙等成熟商圈功能品质，做强做优环城好一新、福森华美立家等商贸集聚区。推动传统商贸载体数字化改造，结合马踏洞、柳家坝、江湾城等商业综合体建设，开展“云商城”建设试点，积极打造智慧商超、无人商铺等新型智慧消费综合体。聚焦柴市街、珠市街、大北街等特色商业街区建设，全面采集多维度数据，制定成长指数、经营指数、客流指数、辐射指数和创新指数等指标开展多维度分析，全面提升运营和管理效率。大力发展夜间经济，积极引导休闲娱乐、体育健身、便民零售等业态开设社区门店，鼓励商家通过延长夜间营业时间、举办夜间特色促销活动、设立24小时自助服务门店（终端）等措施，集中连片形成重点商圈夜间经济带。</w:t>
      </w:r>
    </w:p>
    <w:p>
      <w:pPr>
        <w:pStyle w:val="3"/>
        <w:spacing w:before="200" w:after="100" w:line="560" w:lineRule="exact"/>
        <w:rPr>
          <w:rFonts w:ascii="仿宋_GB2312" w:hAnsi="仿宋_GB2312" w:eastAsia="仿宋_GB2312" w:cs="仿宋_GB2312"/>
          <w:color w:val="auto"/>
          <w:sz w:val="32"/>
          <w:highlight w:val="none"/>
        </w:rPr>
      </w:pPr>
      <w:bookmarkStart w:id="93" w:name="_Toc73544021"/>
      <w:bookmarkStart w:id="94" w:name="_Toc81298652"/>
      <w:bookmarkStart w:id="95" w:name="_Toc73119026"/>
      <w:r>
        <w:rPr>
          <w:rFonts w:hint="eastAsia" w:ascii="仿宋_GB2312" w:hAnsi="仿宋_GB2312" w:eastAsia="仿宋_GB2312" w:cs="仿宋_GB2312"/>
          <w:color w:val="auto"/>
          <w:sz w:val="32"/>
          <w:highlight w:val="none"/>
        </w:rPr>
        <w:t>（三）</w:t>
      </w:r>
      <w:bookmarkEnd w:id="93"/>
      <w:r>
        <w:rPr>
          <w:rFonts w:hint="eastAsia" w:ascii="仿宋_GB2312" w:hAnsi="仿宋_GB2312" w:eastAsia="仿宋_GB2312" w:cs="仿宋_GB2312"/>
          <w:color w:val="auto"/>
          <w:sz w:val="32"/>
          <w:highlight w:val="none"/>
        </w:rPr>
        <w:t>坚持以人为本，推进数字治理高质量变革</w:t>
      </w:r>
      <w:bookmarkEnd w:id="94"/>
    </w:p>
    <w:p>
      <w:pPr>
        <w:pStyle w:val="4"/>
        <w:rPr>
          <w:color w:val="auto"/>
          <w:sz w:val="32"/>
          <w:szCs w:val="32"/>
          <w:highlight w:val="none"/>
        </w:rPr>
      </w:pPr>
      <w:bookmarkStart w:id="96" w:name="_Toc81298653"/>
      <w:r>
        <w:rPr>
          <w:color w:val="auto"/>
          <w:sz w:val="32"/>
          <w:szCs w:val="32"/>
          <w:highlight w:val="none"/>
        </w:rPr>
        <w:t>1. 纵深推进一体化数字政府建设</w:t>
      </w:r>
      <w:bookmarkEnd w:id="96"/>
    </w:p>
    <w:p>
      <w:pPr>
        <w:pStyle w:val="16"/>
        <w:spacing w:line="560" w:lineRule="exact"/>
        <w:ind w:firstLine="562"/>
        <w:rPr>
          <w:rStyle w:val="15"/>
          <w:rFonts w:hint="default" w:cs="仿宋"/>
          <w:color w:val="auto"/>
          <w:highlight w:val="none"/>
        </w:rPr>
      </w:pPr>
      <w:r>
        <w:rPr>
          <w:rStyle w:val="15"/>
          <w:rFonts w:cs="仿宋"/>
          <w:b/>
          <w:bCs/>
          <w:color w:val="auto"/>
          <w:highlight w:val="none"/>
        </w:rPr>
        <w:t>提高政务服务水平。</w:t>
      </w:r>
      <w:r>
        <w:rPr>
          <w:rStyle w:val="15"/>
          <w:rFonts w:cs="仿宋"/>
          <w:color w:val="auto"/>
          <w:highlight w:val="none"/>
        </w:rPr>
        <w:t>依托省一体化政务服务平台和市政云平台，完善“互联网+政务服务”，着力减环节、压时间、降成本，推进政务服务标准化、规范化、便利化，促进形成公平普惠、便捷高效的政务服务体系，打造川渝政务服务品牌。持续深化“放管服”改革，全面实行并联审批、限时办结等制度，强化实施效果评估，实现线上“一网通办”和线下“一窗受理”融合互通、无差别办理、一次办成。加强“一窗式”综合服务系统，实现政务服务“掌上办”，加快政务服务大厅和各级政务服务网点智能化升级改造，多渠道大幅提高全区政务服务标准化、协同化、智能化水平。加快政府数据共享，制定部门数据资源开放共享计划，开展数据资源梳理，编制数据资源及数据开放目录，发布数据资源共享清单。构建通川区大数据整合共享平台，按照《达州市公共数据管理办法》《达州市市级部门数据共享两年攻坚行动》相关要求，实现政务数据资源全面共享互通、社会数据资源和互联网数据资源有序接入达州市城市大数据资源中心，</w:t>
      </w:r>
      <w:r>
        <w:rPr>
          <w:rFonts w:ascii="仿宋_GB2312" w:hAnsi="Helvetica" w:eastAsia="仿宋_GB2312" w:cs="Helvetica"/>
          <w:color w:val="auto"/>
          <w:kern w:val="0"/>
          <w:sz w:val="28"/>
          <w:szCs w:val="28"/>
          <w:highlight w:val="none"/>
        </w:rPr>
        <w:t>推动公共数据资源的归集整合与共享开放，</w:t>
      </w:r>
      <w:r>
        <w:rPr>
          <w:rStyle w:val="15"/>
          <w:rFonts w:cs="仿宋"/>
          <w:color w:val="auto"/>
          <w:highlight w:val="none"/>
        </w:rPr>
        <w:t>促进高价值数据开放，赋能数据价值变现，为政府决策和市民生活提供辅助，实现与数字经济支撑体系的深度融合。</w:t>
      </w:r>
    </w:p>
    <w:p>
      <w:pPr>
        <w:pStyle w:val="16"/>
        <w:spacing w:line="560" w:lineRule="exact"/>
        <w:ind w:firstLine="562"/>
        <w:rPr>
          <w:rStyle w:val="15"/>
          <w:rFonts w:hint="default" w:cs="仿宋"/>
          <w:color w:val="auto"/>
          <w:highlight w:val="none"/>
        </w:rPr>
      </w:pPr>
      <w:r>
        <w:rPr>
          <w:rStyle w:val="15"/>
          <w:rFonts w:hint="default" w:cs="仿宋"/>
          <w:b/>
          <w:bCs/>
          <w:color w:val="auto"/>
          <w:highlight w:val="none"/>
        </w:rPr>
        <w:t>完善行政执法数字化手段。</w:t>
      </w:r>
      <w:r>
        <w:rPr>
          <w:rStyle w:val="15"/>
          <w:rFonts w:cs="仿宋"/>
          <w:color w:val="auto"/>
          <w:highlight w:val="none"/>
        </w:rPr>
        <w:t>综合运用大数据、人工智能、区块链等新兴技术，积极探索情报、证据采集、保存与运用的手段方法，提升执法过程的自动化水平，实现行政执法无纸化，情报、证据深度分析研判、执法风险及时预测预警等功能，促进系统进一步辅助决策、服务实战，推进综合行政执法改革，优化线上执法办案。</w:t>
      </w:r>
      <w:r>
        <w:rPr>
          <w:rStyle w:val="15"/>
          <w:rFonts w:hint="default" w:cs="仿宋"/>
          <w:color w:val="auto"/>
          <w:highlight w:val="none"/>
        </w:rPr>
        <w:t>更新升级数字化装备，打通城管、交通、农业、电力、市场、文旅等执法系统，建立统一执法平台及数据库，</w:t>
      </w:r>
      <w:r>
        <w:rPr>
          <w:rStyle w:val="15"/>
          <w:rFonts w:cs="仿宋"/>
          <w:color w:val="auto"/>
          <w:highlight w:val="none"/>
        </w:rPr>
        <w:t>建设</w:t>
      </w:r>
      <w:r>
        <w:rPr>
          <w:rStyle w:val="15"/>
          <w:rFonts w:hint="default" w:cs="仿宋"/>
          <w:color w:val="auto"/>
          <w:highlight w:val="none"/>
        </w:rPr>
        <w:t>行政执法人员综合调度系统</w:t>
      </w:r>
      <w:r>
        <w:rPr>
          <w:rStyle w:val="15"/>
          <w:rFonts w:cs="仿宋"/>
          <w:color w:val="auto"/>
          <w:highlight w:val="none"/>
        </w:rPr>
        <w:t>。依托5G、AI、空间地理信息等数字化手段，提高视频图像侦查系统智能化水平，推进社会监控资源进行有机整合、共享，构建全域覆盖、全程可控的公共安全视频监控网，提升治安大数据分析能力，建立起城市治安管控“事前预警、事中控制、事后取证”的智能化管理体系。</w:t>
      </w:r>
    </w:p>
    <w:p>
      <w:pPr>
        <w:pStyle w:val="16"/>
        <w:spacing w:line="560" w:lineRule="exact"/>
        <w:ind w:firstLine="562"/>
        <w:rPr>
          <w:rStyle w:val="15"/>
          <w:rFonts w:hint="default" w:cs="仿宋"/>
          <w:color w:val="auto"/>
          <w:highlight w:val="none"/>
        </w:rPr>
      </w:pPr>
      <w:r>
        <w:rPr>
          <w:rStyle w:val="15"/>
          <w:rFonts w:cs="仿宋"/>
          <w:b/>
          <w:bCs/>
          <w:color w:val="auto"/>
          <w:highlight w:val="none"/>
        </w:rPr>
        <w:t>提升信用体系建设。</w:t>
      </w:r>
      <w:r>
        <w:rPr>
          <w:rStyle w:val="15"/>
          <w:rFonts w:cs="仿宋"/>
          <w:color w:val="auto"/>
          <w:highlight w:val="none"/>
        </w:rPr>
        <w:t>加快构建统一社会信用体系，充分利用大数据、物联网、区块链等先进技术手段，收集大体量的、多元化的、不同来源的异构数据，构建全面多维的社会信用视图。完善自然人、企业法人、非企业法人等公共信用数据库，实现各类信用主体信息全覆盖。优化信用联合惩戒实施机制，促进多方主体在数据与业务流程上的深入共享与合作，建立多部门、多企业联动工作机制和监管协调机制，有效实现社会数字信用信息的广度汇聚、深度融合与协同使用，针对社会主体形成可追溯、全方位的电子信用体系。加强社会信用在社会治理中的作用，充分利用大数据价值，完善守信联合激励与失信联合惩戒机制，提高社会自治能力与诚信水平。</w:t>
      </w:r>
    </w:p>
    <w:p>
      <w:pPr>
        <w:pStyle w:val="4"/>
        <w:rPr>
          <w:color w:val="auto"/>
          <w:sz w:val="32"/>
          <w:szCs w:val="32"/>
          <w:highlight w:val="none"/>
        </w:rPr>
      </w:pPr>
      <w:bookmarkStart w:id="97" w:name="_Toc81298654"/>
      <w:r>
        <w:rPr>
          <w:color w:val="auto"/>
          <w:sz w:val="32"/>
          <w:szCs w:val="32"/>
          <w:highlight w:val="none"/>
        </w:rPr>
        <w:t>2. 加快实现城乡协同治理</w:t>
      </w:r>
      <w:bookmarkEnd w:id="97"/>
    </w:p>
    <w:p>
      <w:pPr>
        <w:pStyle w:val="16"/>
        <w:spacing w:line="560" w:lineRule="exact"/>
        <w:ind w:firstLine="562"/>
        <w:rPr>
          <w:rStyle w:val="15"/>
          <w:rFonts w:hint="default" w:cs="仿宋"/>
          <w:color w:val="auto"/>
          <w:highlight w:val="none"/>
        </w:rPr>
      </w:pPr>
      <w:r>
        <w:rPr>
          <w:rStyle w:val="15"/>
          <w:rFonts w:cs="仿宋"/>
          <w:b/>
          <w:bCs/>
          <w:color w:val="auto"/>
          <w:highlight w:val="none"/>
        </w:rPr>
        <w:t>着力建设新型智慧城市。</w:t>
      </w:r>
      <w:r>
        <w:rPr>
          <w:rStyle w:val="15"/>
          <w:rFonts w:cs="仿宋"/>
          <w:color w:val="auto"/>
          <w:highlight w:val="none"/>
        </w:rPr>
        <w:t>依托云计算、大数据、物联网、5</w:t>
      </w:r>
      <w:r>
        <w:rPr>
          <w:rStyle w:val="15"/>
          <w:rFonts w:hint="default" w:cs="仿宋"/>
          <w:color w:val="auto"/>
          <w:highlight w:val="none"/>
        </w:rPr>
        <w:t>G</w:t>
      </w:r>
      <w:r>
        <w:rPr>
          <w:rStyle w:val="15"/>
          <w:rFonts w:cs="仿宋"/>
          <w:color w:val="auto"/>
          <w:highlight w:val="none"/>
        </w:rPr>
        <w:t>、人工智能等先进数字技术，全面整合城市运行的各类感知数据、行业数据、业务运行数据、网络数据等，打破数据壁垒，实现各行业数据互通共享，构建“城市大脑”，充分利用全量的城市实时数据资源，全局优化城市公共资源，即时修正城市运行缺陷，确保城市运行态势的多维度、立体化呈现，打造数字孪生新通川。建设城乡智能运营管理中心，基于数据进行深度挖掘与综合分析，为区政府决策提供全面、智能、科学的支撑手段，实现城市治理模式突破、城市服务模式突破、城市产业发展突破，提升城市运营管理水平，助力未来城市可持续发展。围绕城区治理难点痛点问题，推进平安城乡、城管、应急、消防、交通等重点领域的智慧应用建设，统筹各行业各领域数字化建设应用计划，建设通川区智慧城市管控系统，实现城市治理各环节无缝衔接和精细化管理，提高城市运行与社会管理智能化水平。</w:t>
      </w:r>
    </w:p>
    <w:p>
      <w:pPr>
        <w:pStyle w:val="16"/>
        <w:spacing w:line="560" w:lineRule="exact"/>
        <w:ind w:firstLine="562"/>
        <w:rPr>
          <w:rStyle w:val="15"/>
          <w:rFonts w:hint="default" w:cs="仿宋"/>
          <w:color w:val="auto"/>
          <w:highlight w:val="none"/>
        </w:rPr>
      </w:pPr>
      <w:r>
        <w:rPr>
          <w:rStyle w:val="15"/>
          <w:rFonts w:cs="仿宋"/>
          <w:b/>
          <w:bCs/>
          <w:color w:val="auto"/>
          <w:highlight w:val="none"/>
        </w:rPr>
        <w:t>打造城乡微单元新体系。</w:t>
      </w:r>
      <w:r>
        <w:rPr>
          <w:rStyle w:val="15"/>
          <w:rFonts w:cs="仿宋"/>
          <w:color w:val="auto"/>
          <w:highlight w:val="none"/>
        </w:rPr>
        <w:t>以社区服务为出发点，结合柳家坝、魏蒲新城等地建设情况，推进“智慧社区”场景建设。完善社区基础感知网络建设，重点</w:t>
      </w:r>
      <w:r>
        <w:rPr>
          <w:rStyle w:val="15"/>
          <w:rFonts w:hint="eastAsia" w:eastAsia="仿宋" w:cs="仿宋"/>
          <w:color w:val="auto"/>
          <w:highlight w:val="none"/>
          <w:lang w:eastAsia="zh-CN"/>
        </w:rPr>
        <w:t>部署</w:t>
      </w:r>
      <w:r>
        <w:rPr>
          <w:rStyle w:val="15"/>
          <w:rFonts w:cs="仿宋"/>
          <w:color w:val="auto"/>
          <w:highlight w:val="none"/>
        </w:rPr>
        <w:t>智能井盖、智慧灯杆、智能烟感、高空抛物、智慧门禁等应用，加强城乡社区治理，构建社区信息模型（CIM）平台，推进社区智慧服务全覆盖，实现社区层级人口、法人、房屋、事件等基础信息资源的统一采集、更新和应用，整合共享社区管理与服务信息资源。建设社区安全防范平台，融合小区视频监控系统，整合社区安防资源，提升“平安社区”建设智能化水平，促进人口信息管理、城市综合管理应急联动和社区综合治理能力提升，实现社区基层的精准化管理。开展基于移动端的社区公共信息实时发布、社区事务办理、党政服务、媒体服务、社区安保和便民服务，提升社区事务受理的便捷性和透明度。打造以社区便民服务中心为节点的线上线下服务模式，开展智能家居、社区医疗、健康监护、家政护理、定位援助、智慧停车等领域的智慧社区服务，提升便民惠民服务水平。</w:t>
      </w:r>
    </w:p>
    <w:p>
      <w:pPr>
        <w:pStyle w:val="16"/>
        <w:spacing w:line="560" w:lineRule="exact"/>
        <w:ind w:firstLine="562"/>
        <w:rPr>
          <w:rStyle w:val="15"/>
          <w:rFonts w:hint="default" w:cs="仿宋"/>
          <w:color w:val="auto"/>
          <w:highlight w:val="none"/>
        </w:rPr>
      </w:pPr>
      <w:r>
        <w:rPr>
          <w:rStyle w:val="15"/>
          <w:rFonts w:cs="仿宋"/>
          <w:b/>
          <w:bCs/>
          <w:color w:val="auto"/>
          <w:highlight w:val="none"/>
        </w:rPr>
        <w:t>全面推进乡村振兴。</w:t>
      </w:r>
      <w:r>
        <w:rPr>
          <w:rStyle w:val="15"/>
          <w:rFonts w:cs="仿宋"/>
          <w:color w:val="auto"/>
          <w:highlight w:val="none"/>
        </w:rPr>
        <w:t>升级数字乡村基础设施，补齐通信基础设施短板，建设超高速无线网络，实现行政村光纤网络和5</w:t>
      </w:r>
      <w:r>
        <w:rPr>
          <w:rStyle w:val="15"/>
          <w:rFonts w:hint="default" w:cs="仿宋"/>
          <w:color w:val="auto"/>
          <w:highlight w:val="none"/>
        </w:rPr>
        <w:t>G</w:t>
      </w:r>
      <w:r>
        <w:rPr>
          <w:rStyle w:val="15"/>
          <w:rFonts w:cs="仿宋"/>
          <w:color w:val="auto"/>
          <w:highlight w:val="none"/>
        </w:rPr>
        <w:t>网络重点区域全覆盖，以信息流带动物流、资金流、技术流，激活农村要素资源。探索乡村数字化治理，以智慧党建平台、农村公共服务平台为引领，优化乡村治理平台体系，推动大数据与乡村振兴深度融合，强化乡村综合服务能力。推动农村生活服务数字化，构筑“互联网+乡村服务”体系，在乡镇、村建立电商服务站、点，鼓励电商平台开展农村服务网点建设，提升网络支付、移动支付等便捷金融服务，推动信息化融合发展。依托通川农业农村资源和文化遗产，高标准打造罗江红色旅游示范镇、梓桐红色旅游示范镇、青宁油画、北山诗歌等一批文旅项目。发展美丽休闲乡村，着力构建主题鲜明、各具特色的旅游镇村体系，推介覆盖全域的乡村旅游精品线路，全方位、多方式、多途径地促进农业增效、农民增收、农村增美。</w:t>
      </w:r>
    </w:p>
    <w:p>
      <w:pPr>
        <w:pStyle w:val="16"/>
        <w:spacing w:line="560" w:lineRule="exact"/>
        <w:ind w:firstLine="562"/>
        <w:rPr>
          <w:rStyle w:val="15"/>
          <w:rFonts w:hint="default" w:cs="仿宋"/>
          <w:color w:val="auto"/>
          <w:highlight w:val="none"/>
        </w:rPr>
      </w:pPr>
      <w:r>
        <w:rPr>
          <w:rStyle w:val="15"/>
          <w:rFonts w:cs="仿宋"/>
          <w:b/>
          <w:bCs/>
          <w:color w:val="auto"/>
          <w:highlight w:val="none"/>
        </w:rPr>
        <w:t>提升生态文明建设。</w:t>
      </w:r>
      <w:r>
        <w:rPr>
          <w:rStyle w:val="15"/>
          <w:rFonts w:cs="仿宋"/>
          <w:color w:val="auto"/>
          <w:highlight w:val="none"/>
        </w:rPr>
        <w:t>积极利用市生态环境网格化监管平台，围绕水、大气、土壤、生态、辐射、化工危废、重大风险点源等环保监管领域，将物联网、大数据、云计算等新一代信息技术充分运用于生态环保，配合省市推进环保大数据平台建设，加强环保数据的采集汇聚，建立灾害预警、环境监管、环境保护等智能决策体系，提升环境感知、监测、治理能力。完善生活垃圾全程分类信息体系，实现全程数字化、精细化、可视化管控的“智慧环保”新格局。加强生态保护修复和绿色低碳循环技术攻关，大力发展“互联网+智慧能源”，探索绿色低碳发展的科技路径，形成一批可视性、易应用科创成果，打造节约资源和保护环境的空间格局、产业结构、生产方式、生活方式，积极推进通川全域生态空间管控与保护，牢牢守住城市自然生态安全边界，进一步筑牢长江上游生态安全屏障。立足“碳达峰”“碳中和”战略，积极探索政府主导、企业和社会各界参与、市场化运作的生态产品资源价值转化路径，支持开展碳核查、碳测量、碳交易等技术研究，推进碳汇产品开发，促进生态环境保护和经济发展双赢。</w:t>
      </w:r>
    </w:p>
    <w:p>
      <w:pPr>
        <w:pStyle w:val="4"/>
        <w:rPr>
          <w:color w:val="auto"/>
          <w:sz w:val="32"/>
          <w:szCs w:val="32"/>
          <w:highlight w:val="none"/>
        </w:rPr>
      </w:pPr>
      <w:bookmarkStart w:id="98" w:name="_Toc81298655"/>
      <w:r>
        <w:rPr>
          <w:color w:val="auto"/>
          <w:sz w:val="32"/>
          <w:szCs w:val="32"/>
          <w:highlight w:val="none"/>
        </w:rPr>
        <w:t>3. 提升民生服务数字化水平</w:t>
      </w:r>
      <w:bookmarkEnd w:id="98"/>
    </w:p>
    <w:p>
      <w:pPr>
        <w:pStyle w:val="16"/>
        <w:spacing w:line="560" w:lineRule="exact"/>
        <w:ind w:firstLine="562"/>
        <w:rPr>
          <w:rStyle w:val="15"/>
          <w:rFonts w:hint="default" w:cs="仿宋"/>
          <w:color w:val="auto"/>
          <w:highlight w:val="none"/>
        </w:rPr>
      </w:pPr>
      <w:r>
        <w:rPr>
          <w:rStyle w:val="15"/>
          <w:rFonts w:cs="仿宋"/>
          <w:b/>
          <w:bCs/>
          <w:color w:val="auto"/>
          <w:highlight w:val="none"/>
        </w:rPr>
        <w:t>促进教育优质发展。</w:t>
      </w:r>
      <w:r>
        <w:rPr>
          <w:rStyle w:val="15"/>
          <w:rFonts w:cs="仿宋"/>
          <w:color w:val="auto"/>
          <w:highlight w:val="none"/>
        </w:rPr>
        <w:t>全面落实教育部、教育厅对教育信息化建设的决策部署，基于教育信息化 2.0行动计划要求，在“三通两平台”基础上，按照“云—网—端”模式，构建集教育管理、教学资源、智慧校园于一体的一站式“互联网+教育”大平台，形成网格化、数字化、智能化的教育体系。集约建设全区智慧教育云服务平台，建设教育基础数据库，实现教育资源共建共享，通过云资源、云校园、云管理、云分析等应用体系，为教育管理者、教师、学生、家长、公众提供高效便捷的各类“云”化智慧教育资源和管理服务。推进“智慧校园”建设应用，开展5G+VR/AR沉浸式教学、远程同步智能课堂等应用，提升现代化教学水平，实现校园环境网络化、数字教育资源应用常态化、教育管理信息化，构建校园智慧管理，推动互联互通及数据共享，实现办公、教务、教学、学生、后勤、安全等智能化管理。</w:t>
      </w:r>
    </w:p>
    <w:p>
      <w:pPr>
        <w:pStyle w:val="16"/>
        <w:spacing w:line="560" w:lineRule="exact"/>
        <w:ind w:firstLine="562"/>
        <w:rPr>
          <w:rStyle w:val="15"/>
          <w:rFonts w:hint="default" w:cs="仿宋"/>
          <w:color w:val="auto"/>
          <w:highlight w:val="none"/>
        </w:rPr>
      </w:pPr>
      <w:r>
        <w:rPr>
          <w:rStyle w:val="15"/>
          <w:rFonts w:cs="仿宋"/>
          <w:b/>
          <w:bCs/>
          <w:color w:val="auto"/>
          <w:highlight w:val="none"/>
        </w:rPr>
        <w:t>推动医疗健康数字化。</w:t>
      </w:r>
      <w:r>
        <w:rPr>
          <w:rStyle w:val="15"/>
          <w:rFonts w:cs="仿宋"/>
          <w:color w:val="auto"/>
          <w:highlight w:val="none"/>
        </w:rPr>
        <w:t>推行区域紧密型医共体改革，增配医疗器械设施，加大对医共体内各医疗卫生机构投入的倾斜力度，健全分级诊疗联动机制，构建医共体内部数据互联互通、资源共享共用、业务上下协同健康服务模式。推进智慧医疗服务体系建设，依托市全民健康信息平台，以数字技术提升医疗管理服务水平，构建业务协同、便民服务、健康管理、精细化管理、基层医疗服务的协同应用体系。探索医疗机构卫生信息互联互通互认，推动异地就医直接结算，适时促进医共体大数据平台及医联体远程诊疗系统建设。搭建区域健康医疗大数据平台，健全公共卫生应急管理、和应急物资保障工作，完善重大疫情防控体制机制，提高卫生应急管理水平。完善远程医疗体系，推进电子病历和居民健康档案等数据库融合，实现跨医院、跨层级的医疗、医药等数据共享，提供就诊咨询、挂号预约、远程医疗、自助监护等全流程服务。构建以社区为单位的智慧医疗微单元，建立因人定制的健康干预体系，配备个性化定制的智能健康体系，结合可穿戴设备，打通“四医一体”（医保、医疗、医护、医药+体检中心），加强智慧看护、智慧研判、智慧运维，全方位解决居家健康养护问题。</w:t>
      </w:r>
    </w:p>
    <w:p>
      <w:pPr>
        <w:pStyle w:val="16"/>
        <w:spacing w:line="560" w:lineRule="exact"/>
        <w:ind w:firstLine="562"/>
        <w:rPr>
          <w:rStyle w:val="15"/>
          <w:rFonts w:hint="default" w:cs="仿宋"/>
          <w:color w:val="auto"/>
          <w:highlight w:val="none"/>
        </w:rPr>
      </w:pPr>
      <w:r>
        <w:rPr>
          <w:rStyle w:val="15"/>
          <w:rFonts w:cs="仿宋"/>
          <w:b/>
          <w:bCs/>
          <w:color w:val="auto"/>
          <w:highlight w:val="none"/>
        </w:rPr>
        <w:t>大力发展养老产业。</w:t>
      </w:r>
      <w:r>
        <w:rPr>
          <w:rStyle w:val="15"/>
          <w:rFonts w:cs="仿宋"/>
          <w:color w:val="auto"/>
          <w:highlight w:val="none"/>
        </w:rPr>
        <w:t>全面推进智慧养老，积极推进医养结合试点，有效整合通讯网络、智能呼叫、智能终端等科技手段，以信息化、智能化呼叫救助服务平台为支撑，创建“系统+服务+老人+终端”的智慧养老服务模式，实现老人与子女、服务中心、医护人员的即时信息交互，推进智能看护、远程探视、智能报警、体征监测等专业化服务，加快智慧微型养老院及智慧养老社区建设。搭建健康养老公共服务云平台，为老年人提供生活照料、医疗卫生、康复护理、精神慰藉、文化娱乐、体育健身等多样化养老服务。支持各类养老服务市场主体，开发和应用信息化、智能化、智慧化、数字化养老产品和服务，丰富智能健康养生养老服务产品供给，推进养老商业模式创新，鼓励社会资本进入生态康养行业，促进养老及配套产业发展。</w:t>
      </w:r>
    </w:p>
    <w:p>
      <w:pPr>
        <w:pStyle w:val="16"/>
        <w:spacing w:line="560" w:lineRule="exact"/>
        <w:ind w:firstLine="562"/>
        <w:rPr>
          <w:rStyle w:val="15"/>
          <w:rFonts w:hint="default" w:cs="仿宋"/>
          <w:color w:val="auto"/>
          <w:highlight w:val="none"/>
        </w:rPr>
      </w:pPr>
      <w:r>
        <w:rPr>
          <w:rStyle w:val="15"/>
          <w:rFonts w:cs="仿宋"/>
          <w:b/>
          <w:bCs/>
          <w:color w:val="auto"/>
          <w:highlight w:val="none"/>
        </w:rPr>
        <w:t>全面提升社会保障。</w:t>
      </w:r>
      <w:r>
        <w:rPr>
          <w:rStyle w:val="15"/>
          <w:rFonts w:cs="仿宋"/>
          <w:color w:val="auto"/>
          <w:highlight w:val="none"/>
        </w:rPr>
        <w:t>建立全面、完整、准确的社会保险参保基础数据库，完善全民参保信息系统，实现数据动态更新与共建共享，为精确管理、精准服务提供数据支撑。建立“一网通办”社会保障服务公共服务平台，不断提升服务能力，加强对老年人、重病、行动不便等特殊群体实行</w:t>
      </w:r>
      <w:r>
        <w:rPr>
          <w:rStyle w:val="15"/>
          <w:color w:val="auto"/>
          <w:highlight w:val="none"/>
        </w:rPr>
        <w:t>人性化服务</w:t>
      </w:r>
      <w:r>
        <w:rPr>
          <w:rStyle w:val="15"/>
          <w:rFonts w:cs="仿宋"/>
          <w:color w:val="auto"/>
          <w:highlight w:val="none"/>
        </w:rPr>
        <w:t>，推进精神慰藉、心理疏导、能力提升和社会融入等与数字技术相结合的复合式救助模式。</w:t>
      </w:r>
    </w:p>
    <w:p>
      <w:pPr>
        <w:pStyle w:val="3"/>
        <w:numPr>
          <w:ilvl w:val="0"/>
          <w:numId w:val="2"/>
        </w:numPr>
        <w:spacing w:before="200" w:after="100" w:line="560" w:lineRule="exact"/>
        <w:rPr>
          <w:rFonts w:ascii="仿宋_GB2312" w:hAnsi="仿宋_GB2312" w:eastAsia="仿宋_GB2312" w:cs="仿宋_GB2312"/>
          <w:color w:val="auto"/>
          <w:sz w:val="32"/>
          <w:highlight w:val="none"/>
        </w:rPr>
      </w:pPr>
      <w:bookmarkStart w:id="99" w:name="_Toc81298656"/>
      <w:r>
        <w:rPr>
          <w:rFonts w:hint="eastAsia" w:ascii="仿宋_GB2312" w:hAnsi="仿宋_GB2312" w:eastAsia="仿宋_GB2312" w:cs="仿宋_GB2312"/>
          <w:color w:val="auto"/>
          <w:sz w:val="32"/>
          <w:highlight w:val="none"/>
        </w:rPr>
        <w:t>优化产业生态，助力数字经济全面发展</w:t>
      </w:r>
      <w:bookmarkEnd w:id="99"/>
    </w:p>
    <w:p>
      <w:pPr>
        <w:pStyle w:val="4"/>
        <w:rPr>
          <w:color w:val="auto"/>
          <w:sz w:val="32"/>
          <w:szCs w:val="32"/>
          <w:highlight w:val="none"/>
        </w:rPr>
      </w:pPr>
      <w:bookmarkStart w:id="100" w:name="_Toc81298657"/>
      <w:r>
        <w:rPr>
          <w:color w:val="auto"/>
          <w:sz w:val="32"/>
          <w:szCs w:val="32"/>
          <w:highlight w:val="none"/>
        </w:rPr>
        <w:t xml:space="preserve">1. </w:t>
      </w:r>
      <w:r>
        <w:rPr>
          <w:rFonts w:hint="eastAsia"/>
          <w:color w:val="auto"/>
          <w:sz w:val="32"/>
          <w:szCs w:val="32"/>
          <w:highlight w:val="none"/>
        </w:rPr>
        <w:t>探索产业集群发展</w:t>
      </w:r>
      <w:bookmarkEnd w:id="100"/>
    </w:p>
    <w:p>
      <w:pPr>
        <w:pStyle w:val="16"/>
        <w:spacing w:line="560" w:lineRule="exact"/>
        <w:ind w:firstLine="562"/>
        <w:rPr>
          <w:rStyle w:val="15"/>
          <w:rFonts w:hint="default" w:cs="仿宋"/>
          <w:color w:val="auto"/>
          <w:highlight w:val="none"/>
        </w:rPr>
      </w:pPr>
      <w:r>
        <w:rPr>
          <w:rStyle w:val="15"/>
          <w:rFonts w:cs="仿宋"/>
          <w:b/>
          <w:bCs/>
          <w:color w:val="auto"/>
          <w:highlight w:val="none"/>
        </w:rPr>
        <w:t>培育行业瞪羚企业。</w:t>
      </w:r>
      <w:r>
        <w:rPr>
          <w:rStyle w:val="15"/>
          <w:rFonts w:cs="仿宋"/>
          <w:color w:val="auto"/>
          <w:highlight w:val="none"/>
        </w:rPr>
        <w:t>依托通川传统优势产业，加快数字技术与实体经济、传统产业深入融合，围绕农产品加工、医药健康、智能制造、现代物流产业，引进培育瞪羚企业，采用以商引商、小分队招商、产业链招商等有效方式，积极引进上下游配套企业，充分发挥龙头企业对于产业链的整合、带动和提升作用，不断完善产业链条，形成区域产业链聚集生态。</w:t>
      </w:r>
    </w:p>
    <w:p>
      <w:pPr>
        <w:pStyle w:val="16"/>
        <w:spacing w:line="560" w:lineRule="exact"/>
        <w:ind w:firstLine="562"/>
        <w:rPr>
          <w:rStyle w:val="15"/>
          <w:rFonts w:hint="default" w:cs="仿宋"/>
          <w:color w:val="auto"/>
          <w:highlight w:val="none"/>
        </w:rPr>
      </w:pPr>
      <w:r>
        <w:rPr>
          <w:rStyle w:val="15"/>
          <w:rFonts w:cs="仿宋"/>
          <w:b/>
          <w:bCs/>
          <w:color w:val="auto"/>
          <w:highlight w:val="none"/>
        </w:rPr>
        <w:t>创新产业集群模式。</w:t>
      </w:r>
      <w:r>
        <w:rPr>
          <w:rStyle w:val="15"/>
          <w:rFonts w:cs="仿宋"/>
          <w:color w:val="auto"/>
          <w:highlight w:val="none"/>
        </w:rPr>
        <w:t>加快数字经济新生态建设，培育壮大“园中园”、“专业园”等特色产业集群模式，借助数字化手段完善产业园区物流、金融、仓储、销售体系，构建特色产业园区融合发展模式，探索一二三产融合发展路径，推进供应链创新与应用，加快形成大中小企业专业化分工协作的产业链创新体系，同步提升产业园区的数字化管理水平。鼓励和引导企业开展跨境电商业务，不断提升渠道、设计及营销能力，争创国家跨境电商综合试验区。大力支持电商园区、电商集聚区、直播电商孵化基地建设，通过平台化运营形成电商企业集聚效应。</w:t>
      </w:r>
    </w:p>
    <w:p>
      <w:pPr>
        <w:pStyle w:val="16"/>
        <w:spacing w:line="560" w:lineRule="exact"/>
        <w:ind w:firstLine="562"/>
        <w:rPr>
          <w:rStyle w:val="15"/>
          <w:rFonts w:hint="default" w:cs="仿宋"/>
          <w:b/>
          <w:bCs/>
          <w:color w:val="auto"/>
          <w:highlight w:val="none"/>
        </w:rPr>
      </w:pPr>
      <w:r>
        <w:rPr>
          <w:rStyle w:val="15"/>
          <w:rFonts w:cs="仿宋"/>
          <w:b/>
          <w:bCs/>
          <w:color w:val="auto"/>
          <w:highlight w:val="none"/>
        </w:rPr>
        <w:t>提升产业服务能力。</w:t>
      </w:r>
      <w:r>
        <w:rPr>
          <w:rStyle w:val="15"/>
          <w:rFonts w:cs="仿宋"/>
          <w:color w:val="auto"/>
          <w:highlight w:val="none"/>
        </w:rPr>
        <w:t>深入宣传和解读国家、省、市支持数字经济发展的相关政策，促进科技政策、产业政策、财税政策、金融政策、人才政策等相互衔接与配套。深化产融合作，积极落实支持数字经济发展的相关政策以及针对企业各项税收的优惠政策。优化产业园区生活配套和智能化服务水平，提升数字经济基础设施服务覆盖能力。建设中小企业发展公共信息服务平台，降低中小企业平台应用门槛，满足中小企业数字化转型需求。</w:t>
      </w:r>
    </w:p>
    <w:p>
      <w:pPr>
        <w:pStyle w:val="16"/>
        <w:spacing w:line="560" w:lineRule="exact"/>
        <w:ind w:firstLine="562"/>
        <w:rPr>
          <w:rStyle w:val="15"/>
          <w:rFonts w:hint="default" w:cs="仿宋"/>
          <w:color w:val="auto"/>
          <w:highlight w:val="none"/>
        </w:rPr>
      </w:pPr>
      <w:r>
        <w:rPr>
          <w:rStyle w:val="15"/>
          <w:rFonts w:cs="仿宋"/>
          <w:b/>
          <w:bCs/>
          <w:color w:val="auto"/>
          <w:highlight w:val="none"/>
        </w:rPr>
        <w:t>强化产业数字赋能。</w:t>
      </w:r>
      <w:r>
        <w:rPr>
          <w:rStyle w:val="15"/>
          <w:rFonts w:cs="仿宋"/>
          <w:color w:val="auto"/>
          <w:highlight w:val="none"/>
        </w:rPr>
        <w:t>聚焦通川区“两大两新”特色产业，以新型智慧城市建设为契机，通过市场开放、政府数据资源开放等手段，着力培育发展云计算、物联网、网络安全、大数据、人工智能等数字技术赋能新兴产业，以示范带动产业发展，形成一批数字经济新兴产业集群，提升数字经济新兴产业的辐射力和影响力，激发产业集群生态活力，从产业引入、孵化创新、产业培育、人才培养、品牌打造等多个方面发力赋能产业集群发展。</w:t>
      </w:r>
    </w:p>
    <w:p>
      <w:pPr>
        <w:pStyle w:val="4"/>
        <w:rPr>
          <w:color w:val="auto"/>
          <w:sz w:val="32"/>
          <w:szCs w:val="32"/>
          <w:highlight w:val="none"/>
        </w:rPr>
      </w:pPr>
      <w:bookmarkStart w:id="101" w:name="_Toc81298658"/>
      <w:r>
        <w:rPr>
          <w:rFonts w:hint="eastAsia"/>
          <w:color w:val="auto"/>
          <w:sz w:val="32"/>
          <w:szCs w:val="32"/>
          <w:highlight w:val="none"/>
        </w:rPr>
        <w:t>2.</w:t>
      </w:r>
      <w:r>
        <w:rPr>
          <w:color w:val="auto"/>
          <w:sz w:val="32"/>
          <w:szCs w:val="32"/>
          <w:highlight w:val="none"/>
        </w:rPr>
        <w:t xml:space="preserve"> </w:t>
      </w:r>
      <w:r>
        <w:rPr>
          <w:rFonts w:hint="eastAsia"/>
          <w:color w:val="auto"/>
          <w:sz w:val="32"/>
          <w:szCs w:val="32"/>
          <w:highlight w:val="none"/>
        </w:rPr>
        <w:t>持续</w:t>
      </w:r>
      <w:r>
        <w:rPr>
          <w:color w:val="auto"/>
          <w:sz w:val="32"/>
          <w:szCs w:val="32"/>
          <w:highlight w:val="none"/>
        </w:rPr>
        <w:t>优化营商环境</w:t>
      </w:r>
      <w:bookmarkEnd w:id="101"/>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深化“放管服”改革。</w:t>
      </w:r>
      <w:r>
        <w:rPr>
          <w:rStyle w:val="15"/>
          <w:rFonts w:cs="仿宋"/>
          <w:color w:val="auto"/>
          <w:szCs w:val="28"/>
          <w:highlight w:val="none"/>
        </w:rPr>
        <w:t>积极探索全网通办应用场景，优化各类事项审批流程，以数字化手段助力提升市场主体办事便利度，推动“放管服”改革向乡村延伸，将直接面向人民群众、点多面广、基层管理迫切需要且能有效承接的公共服务事项下放基层。建好、用好“通川民企服务平台”APP，畅通政企、银企、企企沟通服务渠道。进一步深化商事制度改革，着力提升审批时效，建立起良好的反馈监督机制，构建亲清新型政商关系的政策体系，促进政务服务效能提升、助力企业营商环境优化。</w:t>
      </w:r>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优化市场培育体系。</w:t>
      </w:r>
      <w:r>
        <w:rPr>
          <w:rStyle w:val="15"/>
          <w:rFonts w:cs="仿宋"/>
          <w:color w:val="auto"/>
          <w:szCs w:val="28"/>
          <w:highlight w:val="none"/>
        </w:rPr>
        <w:t>成立民营经济服务中心，落实减税降费政策，激励民营企业健康发展。鼓励本地金融机构加大对产业链核心企业的支持力度，优化产业链上下游企业金融服务。定期举办银企对接活动，搭建企业融资平台，着力破解中小微企业融资难题。支持服务过程运用云计算、物联网、大数据、区块链、人工智能等数字技术助力民营企业拓宽融资渠道、健全守信激励和失信惩戒机制，推动市场培育体系优化升级。</w:t>
      </w:r>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强化经营要素保障。</w:t>
      </w:r>
      <w:r>
        <w:rPr>
          <w:rStyle w:val="15"/>
          <w:rFonts w:cs="仿宋"/>
          <w:color w:val="auto"/>
          <w:szCs w:val="28"/>
          <w:highlight w:val="none"/>
        </w:rPr>
        <w:t>强化政策保障，落实减税降费、水电气热成本补助等惠企政策，大力降低园区生产要素综合成本，降低企业制度性交易成本、要素成本、经营性成本。优化产业园区生产生活配套水平，加大产业人才引进力度，加速产业服务能力升级。强化营商环境保障，建立网上政企互动机制，开设政策推送、查询检索及主题词订阅等服务功能。积极推进园区智能化建设，鼓励企业提供数字产业发展和数字化转型所需的公共性服务。建设通川经开区孵化中心，为企业孵化赋能提速，探索数字产业孵化，培育引进一批软件及信息服务企业、电子信息制造企业，推动电商直播、网红经济等新业态发展。</w:t>
      </w:r>
    </w:p>
    <w:p>
      <w:pPr>
        <w:pStyle w:val="4"/>
        <w:rPr>
          <w:color w:val="auto"/>
          <w:sz w:val="32"/>
          <w:szCs w:val="32"/>
          <w:highlight w:val="none"/>
        </w:rPr>
      </w:pPr>
      <w:bookmarkStart w:id="102" w:name="_Toc81298659"/>
      <w:r>
        <w:rPr>
          <w:rFonts w:hint="eastAsia"/>
          <w:color w:val="auto"/>
          <w:sz w:val="32"/>
          <w:szCs w:val="32"/>
          <w:highlight w:val="none"/>
        </w:rPr>
        <w:t>3.</w:t>
      </w:r>
      <w:r>
        <w:rPr>
          <w:color w:val="auto"/>
          <w:sz w:val="32"/>
          <w:szCs w:val="32"/>
          <w:highlight w:val="none"/>
        </w:rPr>
        <w:t xml:space="preserve"> </w:t>
      </w:r>
      <w:r>
        <w:rPr>
          <w:rFonts w:hint="eastAsia"/>
          <w:color w:val="auto"/>
          <w:sz w:val="32"/>
          <w:szCs w:val="32"/>
          <w:highlight w:val="none"/>
        </w:rPr>
        <w:t>提升开放合作实效</w:t>
      </w:r>
      <w:bookmarkEnd w:id="102"/>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推动产学研合作对接。</w:t>
      </w:r>
      <w:r>
        <w:rPr>
          <w:rStyle w:val="15"/>
          <w:rFonts w:cs="仿宋"/>
          <w:color w:val="auto"/>
          <w:szCs w:val="28"/>
          <w:highlight w:val="none"/>
        </w:rPr>
        <w:t>鼓励高校和研究机构的新技术成果转化、开展数字经济领域基础理论和应用研究。支持企业、高校等多方合作成立联合实验室、数字经济联盟，实现完善的科技成果转化体系搭建。与四川大学等知名高校合作搭建通川经开区食品高新技术研发中心、高新产业技术博士（后）工作站、四川大学研究生实践基地等产学研交流合作平台，促进本地传统工业企业转型升级，一定程度形成区域协同、示范带动，全面提升产学研一体化水平。</w:t>
      </w:r>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大力发展飞地经济。</w:t>
      </w:r>
      <w:r>
        <w:rPr>
          <w:rStyle w:val="15"/>
          <w:rFonts w:cs="仿宋"/>
          <w:color w:val="auto"/>
          <w:szCs w:val="28"/>
          <w:highlight w:val="none"/>
        </w:rPr>
        <w:t>充分利用中关村（达州·通川）孵化中心、通川（上海）协同创新示范中心等平台，通过产业成果协同的方式，促进创新创业要素双向流动，推进优势产业补链延链、新兴产业孵化培育“飞进来”，人才飞地、科创飞地“飞出去”。结合通川区资源禀赋及区位优势，引进优质项目在辖区内落地实施。积极推进数字经济领域科技成果转化，营造入孵企业加速成长生态环境，打造协同创新创业新格局。拓展运用离岸孵化招商等新型模式，与长三角、珠三角地区初创型项目集聚的一二线城市建立广泛合作，从孵化期即以股权、战略合作协议等模式与企业形成紧密联系，为未来落户打下基础。</w:t>
      </w:r>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打造数字经济专家库。</w:t>
      </w:r>
      <w:r>
        <w:rPr>
          <w:rStyle w:val="15"/>
          <w:rFonts w:cs="仿宋"/>
          <w:color w:val="auto"/>
          <w:szCs w:val="28"/>
          <w:highlight w:val="none"/>
        </w:rPr>
        <w:t>鼓励企业在国内外数字经济优势发展地区建设“人才飞地”，支持企业建立开放型数字化发展服务中心，积极对接数字经济领域技术领军人才和高级管理人才，为数字经济发展实现咨询及培训赋能，重点培育一批本地数字经济领域人才，面向产业链上下游企业和行业内中小微企业提供转型诊断、转型咨询、解决方案实施等服务。建立专业技术人才公共服务平台，完善专业技术人才激励机制和专业技术人才选拔培养体系，设立产业技术领军人才选拔项目，加大产业技术领军人才选拔工作力度。</w:t>
      </w:r>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聚焦重点领域精准招商。</w:t>
      </w:r>
      <w:r>
        <w:rPr>
          <w:rStyle w:val="15"/>
          <w:rFonts w:cs="仿宋"/>
          <w:color w:val="auto"/>
          <w:szCs w:val="28"/>
          <w:highlight w:val="none"/>
        </w:rPr>
        <w:t>主动融入成渝发展，深化万达开区域合作，持续扩大沿海发达地区“朋友圈”。聚焦“3+2”重点产业，整合分散的产业链资源，开展产业链精准招商，不断提升精准招商水平。构建线上招商平台，深度挖掘投资环境、投资主体、投资项目、重点产业、土地资源等招商大数据，形成招商引资信息资源库。引入各细分领域领先的数字产业企业，进一步提升市场主体的规模层级。打造招商综合服务平台，编制完善产业招商图谱，构建全员招商格局。</w:t>
      </w:r>
    </w:p>
    <w:p>
      <w:pPr>
        <w:pStyle w:val="16"/>
        <w:spacing w:line="560" w:lineRule="exact"/>
        <w:ind w:firstLine="562"/>
        <w:rPr>
          <w:rStyle w:val="15"/>
          <w:rFonts w:hint="default" w:cs="仿宋"/>
          <w:color w:val="auto"/>
          <w:szCs w:val="28"/>
          <w:highlight w:val="none"/>
        </w:rPr>
      </w:pPr>
      <w:r>
        <w:rPr>
          <w:rStyle w:val="15"/>
          <w:rFonts w:cs="仿宋"/>
          <w:b/>
          <w:bCs/>
          <w:color w:val="auto"/>
          <w:szCs w:val="28"/>
          <w:highlight w:val="none"/>
        </w:rPr>
        <w:t>鼓励促进区域协调合作。</w:t>
      </w:r>
      <w:r>
        <w:rPr>
          <w:rStyle w:val="15"/>
          <w:rFonts w:cs="仿宋"/>
          <w:color w:val="auto"/>
          <w:szCs w:val="28"/>
          <w:highlight w:val="none"/>
        </w:rPr>
        <w:t>深化部门协调和区域联动，加强产、学、研、用协调发展，构建数字经济创新协调、开放共享、协同共进、分工合作的发展格局，凝聚推动数字经济加快发展的合力。鼓励开展跨区县、跨省市区的协调与合作，在科创资源转化、优质项目、高端人才等方面与长三角发达城市积极对接，共建平台，形成要素流动机制。积极与长三角发达区县形成互通机制，加强与长江流域园区合作联盟的联系，开展市场化模式创新，强化与长三角金融机构互设、资金互融、监管互动、人员互联和信息互通。鼓励校企合作建立数字经济实训基地，培养数字经济应用型人才，为数字经济发展提供人才支撑。</w:t>
      </w:r>
    </w:p>
    <w:p>
      <w:pPr>
        <w:pStyle w:val="3"/>
        <w:spacing w:before="200" w:after="100" w:line="560" w:lineRule="exact"/>
        <w:rPr>
          <w:rFonts w:ascii="仿宋_GB2312" w:hAnsi="仿宋_GB2312" w:eastAsia="仿宋_GB2312" w:cs="仿宋_GB2312"/>
          <w:color w:val="auto"/>
          <w:sz w:val="32"/>
          <w:highlight w:val="none"/>
        </w:rPr>
      </w:pPr>
      <w:bookmarkStart w:id="103" w:name="_Toc81298660"/>
      <w:r>
        <w:rPr>
          <w:rFonts w:hint="eastAsia" w:ascii="仿宋_GB2312" w:hAnsi="仿宋_GB2312" w:eastAsia="仿宋_GB2312" w:cs="仿宋_GB2312"/>
          <w:color w:val="auto"/>
          <w:sz w:val="32"/>
          <w:highlight w:val="none"/>
        </w:rPr>
        <w:t>（五）发挥数字牵引，夯实数字基础设施建设</w:t>
      </w:r>
      <w:bookmarkEnd w:id="103"/>
    </w:p>
    <w:p>
      <w:pPr>
        <w:pStyle w:val="4"/>
        <w:ind w:firstLine="320" w:firstLineChars="100"/>
        <w:rPr>
          <w:rStyle w:val="15"/>
          <w:rFonts w:cs="仿宋"/>
          <w:color w:val="auto"/>
          <w:szCs w:val="32"/>
          <w:highlight w:val="none"/>
        </w:rPr>
      </w:pPr>
      <w:bookmarkStart w:id="104" w:name="_Toc81298661"/>
      <w:r>
        <w:rPr>
          <w:color w:val="auto"/>
          <w:sz w:val="32"/>
          <w:szCs w:val="32"/>
          <w:highlight w:val="none"/>
        </w:rPr>
        <w:t>1. 加快</w:t>
      </w:r>
      <w:r>
        <w:rPr>
          <w:rFonts w:hint="eastAsia"/>
          <w:color w:val="auto"/>
          <w:sz w:val="32"/>
          <w:szCs w:val="32"/>
          <w:highlight w:val="none"/>
        </w:rPr>
        <w:t>通信</w:t>
      </w:r>
      <w:r>
        <w:rPr>
          <w:color w:val="auto"/>
          <w:sz w:val="32"/>
          <w:szCs w:val="32"/>
          <w:highlight w:val="none"/>
        </w:rPr>
        <w:t>网络基础设施建设</w:t>
      </w:r>
      <w:bookmarkEnd w:id="104"/>
    </w:p>
    <w:p>
      <w:pPr>
        <w:pStyle w:val="16"/>
        <w:spacing w:line="560" w:lineRule="exact"/>
        <w:ind w:firstLine="560"/>
        <w:rPr>
          <w:rStyle w:val="15"/>
          <w:rFonts w:hint="default" w:cs="仿宋"/>
          <w:color w:val="auto"/>
          <w:highlight w:val="none"/>
        </w:rPr>
      </w:pPr>
      <w:r>
        <w:rPr>
          <w:rStyle w:val="15"/>
          <w:rFonts w:cs="仿宋"/>
          <w:color w:val="auto"/>
          <w:highlight w:val="none"/>
        </w:rPr>
        <w:t>完善新一代通信网络基础设施，强化数字经济基础支撑。坚持网络基础设施建设绿色、循环和低碳发展，实现与数字经济发展规模、质量、效益有机统一。</w:t>
      </w:r>
    </w:p>
    <w:p>
      <w:pPr>
        <w:pStyle w:val="16"/>
        <w:spacing w:line="560" w:lineRule="exact"/>
        <w:ind w:firstLine="562"/>
        <w:rPr>
          <w:rStyle w:val="15"/>
          <w:rFonts w:hint="default" w:cs="仿宋"/>
          <w:color w:val="auto"/>
          <w:highlight w:val="none"/>
        </w:rPr>
      </w:pPr>
      <w:r>
        <w:rPr>
          <w:rStyle w:val="15"/>
          <w:rFonts w:cs="仿宋"/>
          <w:b/>
          <w:bCs/>
          <w:color w:val="auto"/>
          <w:highlight w:val="none"/>
        </w:rPr>
        <w:t>加快5G基础设施建设。</w:t>
      </w:r>
      <w:r>
        <w:rPr>
          <w:rStyle w:val="15"/>
          <w:rFonts w:cs="仿宋"/>
          <w:color w:val="auto"/>
          <w:highlight w:val="none"/>
        </w:rPr>
        <w:t>加强5G网络规划统筹，加快5G基站建设，逐步扩大网络覆盖范围，构建全区高质量5G网络，打造中心城区5G网络先行区；培育优良5G特色产业生态圈，构建全省具有影响力的5G产业发展集聚区。2025年，实现5G网络乡镇以上全覆盖，按需覆盖到部分行政村，加快推进偏远地区5G低频广域覆盖。</w:t>
      </w:r>
    </w:p>
    <w:p>
      <w:pPr>
        <w:pStyle w:val="16"/>
        <w:spacing w:line="560" w:lineRule="exact"/>
        <w:ind w:firstLine="562"/>
        <w:rPr>
          <w:rStyle w:val="15"/>
          <w:rFonts w:hint="default" w:cs="仿宋"/>
          <w:color w:val="auto"/>
          <w:highlight w:val="none"/>
        </w:rPr>
      </w:pPr>
      <w:r>
        <w:rPr>
          <w:rStyle w:val="15"/>
          <w:rFonts w:cs="仿宋"/>
          <w:b/>
          <w:bCs/>
          <w:color w:val="auto"/>
          <w:highlight w:val="none"/>
        </w:rPr>
        <w:t>推进新型互联网基础设施建设。</w:t>
      </w:r>
      <w:r>
        <w:rPr>
          <w:rStyle w:val="15"/>
          <w:rFonts w:cs="仿宋"/>
          <w:color w:val="auto"/>
          <w:highlight w:val="none"/>
        </w:rPr>
        <w:t>加快千兆光纤建设力度，推动网络从GPON 到10G-PON 的升级，建成更加高速、连接城乡、深度覆盖、优质便捷的全光网络基础设施和服务体系，重点乡镇实现信息通信网络万兆到楼、千兆到户、普通乡村千兆到村。加快下一代互联网（IPv6）规模部署，推动城域网和接入网、广电骨干网向IPv6演进升级，显著提升IPv6 活跃用户数和流量占比，提升IPv6用户普及率和网络接入覆盖率。</w:t>
      </w:r>
    </w:p>
    <w:p>
      <w:pPr>
        <w:pStyle w:val="16"/>
        <w:spacing w:line="560" w:lineRule="exact"/>
        <w:ind w:firstLine="562"/>
        <w:rPr>
          <w:rStyle w:val="15"/>
          <w:rFonts w:hint="default" w:cs="仿宋"/>
          <w:color w:val="auto"/>
          <w:highlight w:val="none"/>
        </w:rPr>
      </w:pPr>
      <w:r>
        <w:rPr>
          <w:rStyle w:val="15"/>
          <w:rFonts w:cs="仿宋"/>
          <w:b/>
          <w:bCs/>
          <w:color w:val="auto"/>
          <w:highlight w:val="none"/>
        </w:rPr>
        <w:t>全面推动物联网感知体系建设。</w:t>
      </w:r>
      <w:r>
        <w:rPr>
          <w:rStyle w:val="15"/>
          <w:rFonts w:cs="仿宋"/>
          <w:color w:val="auto"/>
          <w:highlight w:val="none"/>
        </w:rPr>
        <w:t>积极部署低时延、高可靠、广覆盖、强感知的物联网基础设施，加大传感设备、无线通信模块、控制模块和摄像头等数据采集终端部署，搭建物联网产业公共技术服务平台，围绕行业需求、发挥社会和市场活力，以NB-IoT（窄带物联网）、e-MTC（基于LTE演进的物联网技术）、RFID（射频识别）、GIS（地理信息系统）、北斗卫星定位等技术应用为重点，通过打造高效的物联网服务能力、构建先进的物联网服务架构，建立云边一体、泛在安全的智慧物联网基础设施体系。</w:t>
      </w:r>
    </w:p>
    <w:p>
      <w:pPr>
        <w:pStyle w:val="4"/>
        <w:rPr>
          <w:color w:val="auto"/>
          <w:sz w:val="32"/>
          <w:szCs w:val="32"/>
          <w:highlight w:val="none"/>
        </w:rPr>
      </w:pPr>
      <w:bookmarkStart w:id="105" w:name="_Toc81298662"/>
      <w:r>
        <w:rPr>
          <w:color w:val="auto"/>
          <w:sz w:val="32"/>
          <w:szCs w:val="32"/>
          <w:highlight w:val="none"/>
        </w:rPr>
        <w:t>2. 开展新技术基础设施建设</w:t>
      </w:r>
      <w:bookmarkEnd w:id="105"/>
    </w:p>
    <w:p>
      <w:pPr>
        <w:pStyle w:val="16"/>
        <w:spacing w:line="560" w:lineRule="exact"/>
        <w:ind w:firstLine="560"/>
        <w:rPr>
          <w:rStyle w:val="15"/>
          <w:rFonts w:hint="default" w:cs="仿宋"/>
          <w:color w:val="auto"/>
          <w:highlight w:val="none"/>
        </w:rPr>
      </w:pPr>
      <w:r>
        <w:rPr>
          <w:rStyle w:val="15"/>
          <w:rFonts w:cs="仿宋"/>
          <w:color w:val="auto"/>
          <w:highlight w:val="none"/>
        </w:rPr>
        <w:t>围绕数字产业化、产业数字化，开展以人工智能、区块链为重点的新技术基础设施建设。推进软硬件一体化整合和生态建设，向社会开放人工智能、区块链服务能力，打造具备区域影响力的新技术基础设施，赋能通川区数字经济全面发展。</w:t>
      </w:r>
    </w:p>
    <w:p>
      <w:pPr>
        <w:pStyle w:val="16"/>
        <w:spacing w:line="560" w:lineRule="exact"/>
        <w:ind w:firstLine="562"/>
        <w:rPr>
          <w:rStyle w:val="15"/>
          <w:rFonts w:hint="default" w:cs="仿宋"/>
          <w:color w:val="auto"/>
          <w:highlight w:val="none"/>
        </w:rPr>
      </w:pPr>
      <w:r>
        <w:rPr>
          <w:rStyle w:val="15"/>
          <w:rFonts w:cs="仿宋"/>
          <w:b/>
          <w:bCs/>
          <w:color w:val="auto"/>
          <w:highlight w:val="none"/>
        </w:rPr>
        <w:t>搭建人工智能能力体系。</w:t>
      </w:r>
      <w:r>
        <w:rPr>
          <w:rStyle w:val="15"/>
          <w:rFonts w:cs="仿宋"/>
          <w:color w:val="auto"/>
          <w:highlight w:val="none"/>
        </w:rPr>
        <w:t>以区智慧城市建设为契机，聚焦城乡治理、智能制造、智慧物流、医药健康、智慧文旅、智慧教育等领域，着力推进“人工智能+场景”示范应用，沉淀各类场景的语音识别、图像和视频识别等人工智能能力，搭建通川区城乡人工智能平台，开放算法和模型，完善人工智能算法开放体系。</w:t>
      </w:r>
    </w:p>
    <w:p>
      <w:pPr>
        <w:pStyle w:val="16"/>
        <w:spacing w:line="560" w:lineRule="exact"/>
        <w:ind w:firstLine="562"/>
        <w:rPr>
          <w:rStyle w:val="15"/>
          <w:rFonts w:hint="default" w:cs="仿宋"/>
          <w:color w:val="auto"/>
          <w:highlight w:val="none"/>
        </w:rPr>
      </w:pPr>
      <w:r>
        <w:rPr>
          <w:rStyle w:val="15"/>
          <w:rFonts w:cs="仿宋"/>
          <w:b/>
          <w:bCs/>
          <w:color w:val="auto"/>
          <w:highlight w:val="none"/>
        </w:rPr>
        <w:t>建设区块链基础设施。</w:t>
      </w:r>
      <w:r>
        <w:rPr>
          <w:rStyle w:val="15"/>
          <w:rFonts w:cs="仿宋"/>
          <w:color w:val="auto"/>
          <w:highlight w:val="none"/>
        </w:rPr>
        <w:t>进一步夯实区块链发展基础，加快技术应用，将全区人、财、物三项核心数据资源通过区块链技术进行可追溯安全监管，通过社会化的区块链公共服务平台向政府、民众、产业提供全面、便捷、安全的服务，构建未来数字社会的底层支撑平台，打造全区区块链核心能力体系。</w:t>
      </w:r>
    </w:p>
    <w:p>
      <w:pPr>
        <w:pStyle w:val="4"/>
        <w:rPr>
          <w:color w:val="auto"/>
          <w:sz w:val="32"/>
          <w:szCs w:val="32"/>
          <w:highlight w:val="none"/>
        </w:rPr>
      </w:pPr>
      <w:bookmarkStart w:id="106" w:name="_Toc81298663"/>
      <w:r>
        <w:rPr>
          <w:color w:val="auto"/>
          <w:sz w:val="32"/>
          <w:szCs w:val="32"/>
          <w:highlight w:val="none"/>
        </w:rPr>
        <w:t>3. 布局</w:t>
      </w:r>
      <w:r>
        <w:rPr>
          <w:rFonts w:hint="eastAsia"/>
          <w:color w:val="auto"/>
          <w:sz w:val="32"/>
          <w:szCs w:val="32"/>
          <w:highlight w:val="none"/>
        </w:rPr>
        <w:t>新型数字</w:t>
      </w:r>
      <w:r>
        <w:rPr>
          <w:color w:val="auto"/>
          <w:sz w:val="32"/>
          <w:szCs w:val="32"/>
          <w:highlight w:val="none"/>
        </w:rPr>
        <w:t>基础设施建设</w:t>
      </w:r>
      <w:bookmarkEnd w:id="106"/>
    </w:p>
    <w:p>
      <w:pPr>
        <w:pStyle w:val="16"/>
        <w:spacing w:line="560" w:lineRule="exact"/>
        <w:ind w:firstLine="560"/>
        <w:rPr>
          <w:rStyle w:val="15"/>
          <w:rFonts w:hint="default" w:cs="仿宋"/>
          <w:color w:val="auto"/>
          <w:highlight w:val="none"/>
        </w:rPr>
      </w:pPr>
      <w:r>
        <w:rPr>
          <w:rStyle w:val="15"/>
          <w:rFonts w:cs="仿宋"/>
          <w:color w:val="auto"/>
          <w:highlight w:val="none"/>
        </w:rPr>
        <w:t>统筹布局新型数字基础设施建设，以顶层设计为引领，打造数据驱动、人机协同、跨界融合、共创分享的城市级数字大底座，为通川区提供便捷、按需的数字化服务，助力通川区全领域数字化转型，促进数字经济高质量发展。</w:t>
      </w:r>
    </w:p>
    <w:p>
      <w:pPr>
        <w:pStyle w:val="16"/>
        <w:spacing w:line="560" w:lineRule="exact"/>
        <w:ind w:firstLine="562"/>
        <w:rPr>
          <w:rStyle w:val="15"/>
          <w:rFonts w:hint="default" w:cs="仿宋"/>
          <w:color w:val="auto"/>
          <w:highlight w:val="none"/>
        </w:rPr>
      </w:pPr>
      <w:r>
        <w:rPr>
          <w:rStyle w:val="15"/>
          <w:rFonts w:cs="仿宋"/>
          <w:b/>
          <w:bCs/>
          <w:color w:val="auto"/>
          <w:highlight w:val="none"/>
        </w:rPr>
        <w:t>推进全区数据中心建设。</w:t>
      </w:r>
      <w:r>
        <w:rPr>
          <w:rStyle w:val="15"/>
          <w:rFonts w:cs="仿宋"/>
          <w:color w:val="auto"/>
          <w:highlight w:val="none"/>
        </w:rPr>
        <w:t>深入推动川东大数据中心建设，打造一体化算力网络，积极发展绿色算力，推进虚拟化、弹性计算、海量数据存储等关键技术应用，提高数据中心部署效率，将川东大数据中心打造成区域通信枢纽和国家及省级云计算、大数据、物联网重要基地。在统一的算力资源、数据资源基础上，面向政府、企业、市民提供安全、专属、创新的云服务。</w:t>
      </w:r>
    </w:p>
    <w:p>
      <w:pPr>
        <w:pStyle w:val="16"/>
        <w:spacing w:line="560" w:lineRule="exact"/>
        <w:ind w:firstLine="562"/>
        <w:rPr>
          <w:rStyle w:val="15"/>
          <w:rFonts w:hint="default" w:cs="仿宋"/>
          <w:color w:val="auto"/>
          <w:highlight w:val="none"/>
        </w:rPr>
      </w:pPr>
      <w:r>
        <w:rPr>
          <w:rStyle w:val="15"/>
          <w:rFonts w:cs="仿宋"/>
          <w:b/>
          <w:bCs/>
          <w:color w:val="auto"/>
          <w:highlight w:val="none"/>
        </w:rPr>
        <w:t>构建城市智能感知网络</w:t>
      </w:r>
      <w:r>
        <w:rPr>
          <w:rStyle w:val="15"/>
          <w:rFonts w:hint="default" w:cs="仿宋"/>
          <w:b/>
          <w:bCs/>
          <w:color w:val="auto"/>
          <w:highlight w:val="none"/>
        </w:rPr>
        <w:t>。</w:t>
      </w:r>
      <w:r>
        <w:rPr>
          <w:rStyle w:val="15"/>
          <w:rFonts w:cs="仿宋"/>
          <w:color w:val="auto"/>
          <w:highlight w:val="none"/>
        </w:rPr>
        <w:t>提供新型城市的基础支撑能力，基于城市信息模型（CIM）数据库，应用 BIM、GIS、倾斜摄影、北斗网格标识码、AR、人工智能、边缘计算等技术，实现对城市全要素的数字化和虚拟化管理，加强城市时空信息整合，建立三维城市场景，形成CIM平台为核心的全区数字孪生城市基础设施，初步建立与实体城市实时交互的虚拟城市，并逐步扩展到城乡全域，打造高品质数字通川。</w:t>
      </w:r>
    </w:p>
    <w:p>
      <w:pPr>
        <w:autoSpaceDE w:val="0"/>
        <w:autoSpaceDN w:val="0"/>
        <w:adjustRightInd w:val="0"/>
        <w:ind w:firstLine="562" w:firstLineChars="200"/>
        <w:rPr>
          <w:rStyle w:val="15"/>
          <w:rFonts w:cs="仿宋"/>
          <w:color w:val="auto"/>
          <w:highlight w:val="none"/>
        </w:rPr>
      </w:pPr>
      <w:r>
        <w:rPr>
          <w:rStyle w:val="15"/>
          <w:rFonts w:cs="仿宋"/>
          <w:b/>
          <w:bCs/>
          <w:color w:val="auto"/>
          <w:highlight w:val="none"/>
        </w:rPr>
        <w:t>布局工业互联网</w:t>
      </w:r>
      <w:r>
        <w:rPr>
          <w:rStyle w:val="15"/>
          <w:rFonts w:hint="eastAsia" w:cs="仿宋"/>
          <w:b/>
          <w:bCs/>
          <w:color w:val="auto"/>
          <w:highlight w:val="none"/>
        </w:rPr>
        <w:t>平台</w:t>
      </w:r>
      <w:r>
        <w:rPr>
          <w:rStyle w:val="15"/>
          <w:rFonts w:cs="仿宋"/>
          <w:b/>
          <w:bCs/>
          <w:color w:val="auto"/>
          <w:highlight w:val="none"/>
        </w:rPr>
        <w:t>体系</w:t>
      </w:r>
      <w:r>
        <w:rPr>
          <w:rStyle w:val="15"/>
          <w:rFonts w:cs="仿宋"/>
          <w:color w:val="auto"/>
          <w:highlight w:val="none"/>
        </w:rPr>
        <w:t>。部署低时延、高可靠、广覆盖、强感知的工业互联网基础设施，</w:t>
      </w:r>
      <w:r>
        <w:rPr>
          <w:rStyle w:val="15"/>
          <w:rFonts w:hint="eastAsia" w:cs="仿宋"/>
          <w:color w:val="auto"/>
          <w:highlight w:val="none"/>
        </w:rPr>
        <w:t>统筹推进工业互联网标识解析体系建设，构建工业互联网平台体系，持续推动基础性平台能力提升与平台服务开放，推动全区重点园区、规模以上企业的工业互联网接入与深度应用，实现数据采集、连接、自动化控制和数据运用全打通。推广新型数字化管理技术，加强产业链、供应链管理，优化原料供应和用料平衡，赋能全区制造业转型。推动完成通川区工业系统云上视频平台建设，深化实施机器换人、工厂物联网、企业上云等行动，</w:t>
      </w:r>
      <w:r>
        <w:rPr>
          <w:rStyle w:val="15"/>
          <w:rFonts w:cs="仿宋"/>
          <w:color w:val="auto"/>
          <w:highlight w:val="none"/>
        </w:rPr>
        <w:t>为通川区数字经济发展打下良好的现代化网络基础。</w:t>
      </w:r>
    </w:p>
    <w:p>
      <w:pPr>
        <w:pStyle w:val="4"/>
        <w:rPr>
          <w:color w:val="auto"/>
          <w:sz w:val="32"/>
          <w:szCs w:val="32"/>
          <w:highlight w:val="none"/>
        </w:rPr>
      </w:pPr>
      <w:bookmarkStart w:id="107" w:name="_Toc81298664"/>
      <w:r>
        <w:rPr>
          <w:color w:val="auto"/>
          <w:sz w:val="32"/>
          <w:szCs w:val="32"/>
          <w:highlight w:val="none"/>
        </w:rPr>
        <w:t>4. 构建</w:t>
      </w:r>
      <w:r>
        <w:rPr>
          <w:rFonts w:hint="eastAsia"/>
          <w:color w:val="auto"/>
          <w:sz w:val="32"/>
          <w:szCs w:val="32"/>
          <w:highlight w:val="none"/>
        </w:rPr>
        <w:t>数字经济</w:t>
      </w:r>
      <w:r>
        <w:rPr>
          <w:color w:val="auto"/>
          <w:sz w:val="32"/>
          <w:szCs w:val="32"/>
          <w:highlight w:val="none"/>
        </w:rPr>
        <w:t>安全体系</w:t>
      </w:r>
      <w:bookmarkEnd w:id="107"/>
    </w:p>
    <w:p>
      <w:pPr>
        <w:pStyle w:val="16"/>
        <w:spacing w:line="560" w:lineRule="exact"/>
        <w:ind w:firstLine="562"/>
        <w:rPr>
          <w:rStyle w:val="15"/>
          <w:rFonts w:hint="default" w:cs="仿宋"/>
          <w:color w:val="auto"/>
          <w:highlight w:val="none"/>
        </w:rPr>
      </w:pPr>
      <w:r>
        <w:rPr>
          <w:rStyle w:val="15"/>
          <w:rFonts w:cs="仿宋"/>
          <w:b/>
          <w:bCs/>
          <w:color w:val="auto"/>
          <w:highlight w:val="none"/>
        </w:rPr>
        <w:t>优化数字经济安全布局。</w:t>
      </w:r>
      <w:r>
        <w:rPr>
          <w:rStyle w:val="15"/>
          <w:rFonts w:cs="仿宋"/>
          <w:color w:val="auto"/>
          <w:highlight w:val="none"/>
        </w:rPr>
        <w:t>培育壮大网络安全体系布局，健全信息安全制度和规划方案，制定数据流动规则和技术规范，健全重点领域数据安全保障制度。构建涵盖数据采集、传输、存储、使用、开放等各环节的安全管理体系，建成覆盖数据全生命周期的安全保护机制。完善关键基础设施和重点领域安全防护体系，推进安全态势感知和风险评估体系建设，提升网络安全风险防范水平。支持龙头骨干企业建立服务全行业的安全技术应用平台，重点推进网络安全等级保护、信息安全风险评估、信息系统安全运维、网络安全应急处理等安全服务体系打造。</w:t>
      </w:r>
    </w:p>
    <w:p>
      <w:pPr>
        <w:pStyle w:val="16"/>
        <w:spacing w:line="560" w:lineRule="exact"/>
        <w:ind w:firstLine="562"/>
        <w:rPr>
          <w:rStyle w:val="15"/>
          <w:rFonts w:hint="default" w:cs="仿宋"/>
          <w:color w:val="auto"/>
          <w:highlight w:val="none"/>
        </w:rPr>
      </w:pPr>
      <w:r>
        <w:rPr>
          <w:rStyle w:val="15"/>
          <w:rFonts w:cs="仿宋"/>
          <w:b/>
          <w:bCs/>
          <w:color w:val="auto"/>
          <w:highlight w:val="none"/>
        </w:rPr>
        <w:t>推进信创产业发展。</w:t>
      </w:r>
      <w:r>
        <w:rPr>
          <w:rStyle w:val="15"/>
          <w:rFonts w:cs="仿宋"/>
          <w:color w:val="auto"/>
          <w:highlight w:val="none"/>
        </w:rPr>
        <w:t>加快构建具有自主知识产权的基础软硬件产品体系，不断推出自主、创新、可控的产品和服务，推广服务器、数据库、虚拟云桌面等地方信创产品应用，打造形成信创人才、产品和产业集群的资源池，为实现关键领域软硬件自主可控提供有力保障，为通川区数字经济发展提供坚实的数据安全、网络安全基础。</w:t>
      </w:r>
    </w:p>
    <w:p>
      <w:pPr>
        <w:pStyle w:val="16"/>
        <w:spacing w:line="560" w:lineRule="exact"/>
        <w:ind w:firstLine="562"/>
        <w:rPr>
          <w:rStyle w:val="15"/>
          <w:rFonts w:hint="default" w:cs="仿宋"/>
          <w:color w:val="auto"/>
          <w:highlight w:val="none"/>
        </w:rPr>
      </w:pPr>
      <w:r>
        <w:rPr>
          <w:rStyle w:val="15"/>
          <w:rFonts w:cs="仿宋"/>
          <w:b/>
          <w:bCs/>
          <w:color w:val="auto"/>
          <w:highlight w:val="none"/>
        </w:rPr>
        <w:t>鼓励区块链安全保障应用。</w:t>
      </w:r>
      <w:r>
        <w:rPr>
          <w:rStyle w:val="15"/>
          <w:rFonts w:cs="仿宋"/>
          <w:color w:val="auto"/>
          <w:highlight w:val="none"/>
        </w:rPr>
        <w:t>鼓励区块链技术在数字经济安全领域的深度应用，推动区块链技术在设备安全、控制安全、网络安全、平台安全、数据安全能力等多环节的渗透，服务政府、企业、个人等多方面，提供多层次的信息安全保障需求。</w:t>
      </w:r>
    </w:p>
    <w:bookmarkEnd w:id="75"/>
    <w:bookmarkEnd w:id="76"/>
    <w:bookmarkEnd w:id="77"/>
    <w:bookmarkEnd w:id="81"/>
    <w:bookmarkEnd w:id="95"/>
    <w:p>
      <w:pPr>
        <w:pStyle w:val="2"/>
        <w:spacing w:before="300" w:after="200" w:line="560" w:lineRule="exact"/>
        <w:rPr>
          <w:rFonts w:ascii="宋体" w:hAnsi="宋体" w:eastAsia="宋体" w:cs="宋体"/>
          <w:color w:val="auto"/>
          <w:sz w:val="36"/>
          <w:szCs w:val="36"/>
          <w:highlight w:val="none"/>
        </w:rPr>
      </w:pPr>
      <w:bookmarkStart w:id="108" w:name="_Hlk60836599"/>
      <w:bookmarkStart w:id="109" w:name="_Toc73119032"/>
      <w:bookmarkStart w:id="110" w:name="_Toc73544025"/>
      <w:bookmarkStart w:id="111" w:name="_Toc59043155"/>
      <w:bookmarkStart w:id="112" w:name="_Toc81298665"/>
      <w:bookmarkStart w:id="113" w:name="_Toc59043610"/>
      <w:r>
        <w:rPr>
          <w:rFonts w:hint="eastAsia" w:ascii="宋体" w:hAnsi="宋体" w:eastAsia="宋体" w:cs="宋体"/>
          <w:color w:val="auto"/>
          <w:sz w:val="36"/>
          <w:szCs w:val="36"/>
          <w:highlight w:val="none"/>
        </w:rPr>
        <w:t>五、保障措施</w:t>
      </w:r>
      <w:bookmarkEnd w:id="108"/>
      <w:bookmarkEnd w:id="109"/>
      <w:bookmarkEnd w:id="110"/>
      <w:bookmarkEnd w:id="111"/>
      <w:bookmarkEnd w:id="112"/>
      <w:bookmarkEnd w:id="113"/>
      <w:bookmarkStart w:id="114" w:name="_Toc73119033"/>
      <w:bookmarkStart w:id="115" w:name="_Toc59043156"/>
      <w:bookmarkStart w:id="116" w:name="_Toc59043611"/>
      <w:bookmarkStart w:id="117" w:name="_Hlk60836605"/>
    </w:p>
    <w:p>
      <w:pPr>
        <w:pStyle w:val="3"/>
        <w:keepNext w:val="0"/>
        <w:keepLines w:val="0"/>
        <w:widowControl/>
        <w:numPr>
          <w:ilvl w:val="255"/>
          <w:numId w:val="0"/>
        </w:numPr>
        <w:spacing w:before="200" w:after="100" w:line="560" w:lineRule="exact"/>
        <w:rPr>
          <w:rFonts w:ascii="仿宋_GB2312" w:hAnsi="仿宋_GB2312" w:eastAsia="仿宋_GB2312" w:cs="仿宋_GB2312"/>
          <w:color w:val="auto"/>
          <w:sz w:val="32"/>
          <w:highlight w:val="none"/>
        </w:rPr>
      </w:pPr>
      <w:bookmarkStart w:id="118" w:name="_Toc73544026"/>
      <w:bookmarkStart w:id="119" w:name="_Toc81298666"/>
      <w:r>
        <w:rPr>
          <w:rFonts w:hint="eastAsia" w:ascii="仿宋_GB2312" w:hAnsi="仿宋_GB2312" w:eastAsia="仿宋_GB2312" w:cs="仿宋_GB2312"/>
          <w:color w:val="auto"/>
          <w:sz w:val="32"/>
          <w:highlight w:val="none"/>
        </w:rPr>
        <w:t>（一）加强组织保障</w:t>
      </w:r>
      <w:bookmarkEnd w:id="114"/>
      <w:bookmarkEnd w:id="115"/>
      <w:bookmarkEnd w:id="116"/>
      <w:bookmarkEnd w:id="118"/>
      <w:bookmarkEnd w:id="119"/>
    </w:p>
    <w:p>
      <w:pPr>
        <w:pStyle w:val="16"/>
        <w:spacing w:line="560" w:lineRule="exact"/>
        <w:ind w:firstLine="560"/>
        <w:rPr>
          <w:rFonts w:hint="default" w:ascii="仿宋" w:hAnsi="仿宋" w:eastAsia="仿宋" w:cs="仿宋"/>
          <w:color w:val="auto"/>
          <w:sz w:val="28"/>
          <w:szCs w:val="28"/>
          <w:highlight w:val="none"/>
          <w:lang w:bidi="ar"/>
        </w:rPr>
      </w:pPr>
      <w:r>
        <w:rPr>
          <w:rFonts w:ascii="仿宋" w:hAnsi="仿宋" w:eastAsia="仿宋" w:cs="仿宋"/>
          <w:color w:val="auto"/>
          <w:sz w:val="28"/>
          <w:szCs w:val="28"/>
          <w:highlight w:val="none"/>
          <w:lang w:bidi="ar"/>
        </w:rPr>
        <w:t>建立健全数字经济发展统筹协调机制。成立通川区数字经济发展领导小组，统筹协调全区数字经济发展各领域的重大决策、工作部署和监督检查。成立数字经济发展工作专班，由政府各部门负责同志组成。在区委</w:t>
      </w:r>
      <w:r>
        <w:rPr>
          <w:rFonts w:hint="eastAsia" w:ascii="仿宋" w:hAnsi="仿宋" w:eastAsia="仿宋" w:cs="仿宋"/>
          <w:color w:val="auto"/>
          <w:sz w:val="28"/>
          <w:szCs w:val="28"/>
          <w:highlight w:val="none"/>
          <w:lang w:eastAsia="zh-CN" w:bidi="ar"/>
        </w:rPr>
        <w:t>、</w:t>
      </w:r>
      <w:r>
        <w:rPr>
          <w:rFonts w:ascii="仿宋" w:hAnsi="仿宋" w:eastAsia="仿宋" w:cs="仿宋"/>
          <w:color w:val="auto"/>
          <w:sz w:val="28"/>
          <w:szCs w:val="28"/>
          <w:highlight w:val="none"/>
          <w:lang w:bidi="ar"/>
        </w:rPr>
        <w:t>区政府的统一领导下，加强对全区数字经济发展的组织领导和统筹谋划，整合各级力量和各方资源，形成全区上下协同推进数字经济发展的工作格局。健全分工明确、责权清晰的组织协调、实施推进和督促考核机制，聚焦数字产业化、产业数字化、数字化治理，制定详细具体的数字经济评价指标体系。建立通川区大数据服务中心，并落实制定《通川区数字经济管理办法》来统一全区数字经济工作标准，统筹全区的数据归集管理及智慧项目审批、报备等工作职能职责。成立通川区数字经济专家智库委员会，明确任务分工，完善专家咨询制度，加强智库委员会对大数据等数字经济重点发展领域的指导与评估，结合实际加快推动本地数字经济长效健康发展。</w:t>
      </w:r>
    </w:p>
    <w:bookmarkEnd w:id="117"/>
    <w:p>
      <w:pPr>
        <w:pStyle w:val="3"/>
        <w:spacing w:before="200" w:after="100" w:line="560" w:lineRule="exact"/>
        <w:rPr>
          <w:rFonts w:ascii="仿宋_GB2312" w:hAnsi="仿宋_GB2312" w:eastAsia="仿宋_GB2312" w:cs="仿宋_GB2312"/>
          <w:color w:val="auto"/>
          <w:sz w:val="32"/>
          <w:highlight w:val="none"/>
        </w:rPr>
      </w:pPr>
      <w:bookmarkStart w:id="120" w:name="_Toc62743841"/>
      <w:bookmarkEnd w:id="120"/>
      <w:bookmarkStart w:id="121" w:name="_Toc81298667"/>
      <w:bookmarkStart w:id="122" w:name="_Toc73119034"/>
      <w:bookmarkStart w:id="123" w:name="_Toc59043612"/>
      <w:bookmarkStart w:id="124" w:name="_Toc59043157"/>
      <w:bookmarkStart w:id="125" w:name="_Toc73544027"/>
      <w:bookmarkStart w:id="126" w:name="_Hlk60836610"/>
      <w:r>
        <w:rPr>
          <w:rFonts w:hint="eastAsia" w:ascii="仿宋_GB2312" w:hAnsi="仿宋_GB2312" w:eastAsia="仿宋_GB2312" w:cs="仿宋_GB2312"/>
          <w:color w:val="auto"/>
          <w:sz w:val="32"/>
          <w:highlight w:val="none"/>
        </w:rPr>
        <w:t>（二）强化财政支持</w:t>
      </w:r>
      <w:bookmarkEnd w:id="121"/>
      <w:bookmarkEnd w:id="122"/>
      <w:bookmarkEnd w:id="123"/>
      <w:bookmarkEnd w:id="124"/>
      <w:bookmarkEnd w:id="125"/>
    </w:p>
    <w:p>
      <w:pPr>
        <w:pStyle w:val="16"/>
        <w:spacing w:line="560" w:lineRule="exact"/>
        <w:ind w:firstLine="560"/>
        <w:rPr>
          <w:rFonts w:hint="default" w:ascii="仿宋" w:hAnsi="仿宋" w:eastAsia="仿宋" w:cs="仿宋"/>
          <w:color w:val="auto"/>
          <w:sz w:val="28"/>
          <w:szCs w:val="28"/>
          <w:highlight w:val="none"/>
          <w:lang w:bidi="ar"/>
        </w:rPr>
      </w:pPr>
      <w:r>
        <w:rPr>
          <w:rFonts w:ascii="仿宋" w:hAnsi="仿宋" w:eastAsia="仿宋" w:cs="仿宋"/>
          <w:color w:val="auto"/>
          <w:sz w:val="28"/>
          <w:szCs w:val="28"/>
          <w:highlight w:val="none"/>
          <w:lang w:bidi="ar"/>
        </w:rPr>
        <w:t>全区各级各部门充分利用现有资金渠道，用好用活数字经济发展资金，积极争取国家相关专项资金扶持，充分集成国家级、省级和市级三级在数字经济领域相关的土地、税收、资金、人才、投融资、研发、知识产权、招商等方面的优惠政策的引导作用，积极争取并持续创新数字经济领域的各类先试先行政策，为企业发展提供多元化资本支持。通过以奖代补、贴息、股权投资等方式，大力支持数字经济领域技术研发、成果转化和示范推广所需要的资金支持，引导带动实体经济企业开展数字化升级，增加农业数字化资金扶持。运用政府投资基金等方式，扩大财政资金撬动作用，吸引资本、技术、管理等资源参与数字经济发展。</w:t>
      </w:r>
    </w:p>
    <w:bookmarkEnd w:id="126"/>
    <w:p>
      <w:pPr>
        <w:pStyle w:val="3"/>
        <w:spacing w:before="200" w:after="100" w:line="560" w:lineRule="exact"/>
        <w:rPr>
          <w:rFonts w:ascii="仿宋_GB2312" w:hAnsi="仿宋_GB2312" w:eastAsia="仿宋_GB2312" w:cs="仿宋_GB2312"/>
          <w:color w:val="auto"/>
          <w:sz w:val="32"/>
          <w:highlight w:val="none"/>
        </w:rPr>
      </w:pPr>
      <w:bookmarkStart w:id="127" w:name="_Toc73544029"/>
      <w:bookmarkStart w:id="128" w:name="_Toc59043158"/>
      <w:bookmarkStart w:id="129" w:name="_Toc73119036"/>
      <w:bookmarkStart w:id="130" w:name="_Toc81298668"/>
      <w:bookmarkStart w:id="131" w:name="_Toc59043613"/>
      <w:bookmarkStart w:id="132" w:name="_Hlk60836616"/>
      <w:r>
        <w:rPr>
          <w:rFonts w:hint="eastAsia" w:ascii="仿宋_GB2312" w:hAnsi="仿宋_GB2312" w:eastAsia="仿宋_GB2312" w:cs="仿宋_GB2312"/>
          <w:color w:val="auto"/>
          <w:sz w:val="32"/>
          <w:highlight w:val="none"/>
        </w:rPr>
        <w:t>（</w:t>
      </w:r>
      <w:r>
        <w:rPr>
          <w:rFonts w:ascii="仿宋_GB2312" w:hAnsi="仿宋_GB2312" w:eastAsia="仿宋_GB2312" w:cs="仿宋_GB2312"/>
          <w:color w:val="auto"/>
          <w:sz w:val="32"/>
          <w:highlight w:val="none"/>
        </w:rPr>
        <w:t>三</w:t>
      </w:r>
      <w:r>
        <w:rPr>
          <w:rFonts w:hint="eastAsia" w:ascii="仿宋_GB2312" w:hAnsi="仿宋_GB2312" w:eastAsia="仿宋_GB2312" w:cs="仿宋_GB2312"/>
          <w:color w:val="auto"/>
          <w:sz w:val="32"/>
          <w:highlight w:val="none"/>
        </w:rPr>
        <w:t>）夯实人才队伍</w:t>
      </w:r>
      <w:bookmarkEnd w:id="127"/>
      <w:bookmarkEnd w:id="128"/>
      <w:bookmarkEnd w:id="129"/>
      <w:bookmarkEnd w:id="130"/>
      <w:bookmarkEnd w:id="131"/>
    </w:p>
    <w:p>
      <w:pPr>
        <w:pStyle w:val="16"/>
        <w:spacing w:line="560" w:lineRule="exact"/>
        <w:ind w:firstLine="560"/>
        <w:rPr>
          <w:rFonts w:hint="default" w:ascii="仿宋" w:hAnsi="仿宋" w:eastAsia="仿宋" w:cs="仿宋"/>
          <w:color w:val="auto"/>
          <w:sz w:val="28"/>
          <w:szCs w:val="28"/>
          <w:highlight w:val="none"/>
          <w:lang w:bidi="ar"/>
        </w:rPr>
      </w:pPr>
      <w:r>
        <w:rPr>
          <w:rFonts w:ascii="仿宋" w:hAnsi="仿宋" w:eastAsia="仿宋" w:cs="仿宋"/>
          <w:color w:val="auto"/>
          <w:sz w:val="28"/>
          <w:szCs w:val="28"/>
          <w:highlight w:val="none"/>
          <w:lang w:bidi="ar"/>
        </w:rPr>
        <w:t>广泛探索数字化人才培养模式，依托本地高校和企业，积极推动政校企联合建立实训基地、高技能人才培养基地，适应本地对数字经济人才的需求。建立高端人才需求数据库和用工需求数据库，搭建人才引进、使用、政策落实等专项管理系统。积极开展各级、各领域数字经济相关业务工作培训，实施数字化素养提升计划，建设数字技术培训资源平台，提供丰富的数字化人才学习内容，构建新一代数字经济人才培养的新阵地。邀请外部专家定期为本地数字经济发展建设提供理论和技术指导，增强党政干部、企事业高层管理人员的认识和行动能力。完善数字经济领域人才评价体系，开展人才职称评审工作，完善落实数字经济领域人才及其家属的补贴及福利，切实保障数字经济领域人才在通川落户与发展。</w:t>
      </w:r>
    </w:p>
    <w:bookmarkEnd w:id="132"/>
    <w:p>
      <w:pPr>
        <w:pStyle w:val="3"/>
        <w:spacing w:before="200" w:after="100" w:line="560" w:lineRule="exact"/>
        <w:rPr>
          <w:rFonts w:ascii="仿宋_GB2312" w:hAnsi="仿宋_GB2312" w:eastAsia="仿宋_GB2312" w:cs="仿宋_GB2312"/>
          <w:color w:val="auto"/>
          <w:sz w:val="32"/>
          <w:highlight w:val="none"/>
        </w:rPr>
      </w:pPr>
      <w:bookmarkStart w:id="133" w:name="_Toc81298669"/>
      <w:bookmarkStart w:id="134" w:name="_Toc73544030"/>
      <w:bookmarkStart w:id="135" w:name="_Toc73119037"/>
      <w:r>
        <w:rPr>
          <w:rFonts w:hint="eastAsia" w:ascii="仿宋_GB2312" w:hAnsi="仿宋_GB2312" w:eastAsia="仿宋_GB2312" w:cs="仿宋_GB2312"/>
          <w:color w:val="auto"/>
          <w:sz w:val="32"/>
          <w:highlight w:val="none"/>
        </w:rPr>
        <w:t>（</w:t>
      </w:r>
      <w:r>
        <w:rPr>
          <w:rFonts w:ascii="仿宋_GB2312" w:hAnsi="仿宋_GB2312" w:eastAsia="仿宋_GB2312" w:cs="仿宋_GB2312"/>
          <w:color w:val="auto"/>
          <w:sz w:val="32"/>
          <w:highlight w:val="none"/>
        </w:rPr>
        <w:t>四</w:t>
      </w:r>
      <w:r>
        <w:rPr>
          <w:rFonts w:hint="eastAsia" w:ascii="仿宋_GB2312" w:hAnsi="仿宋_GB2312" w:eastAsia="仿宋_GB2312" w:cs="仿宋_GB2312"/>
          <w:color w:val="auto"/>
          <w:sz w:val="32"/>
          <w:highlight w:val="none"/>
        </w:rPr>
        <w:t>）优化发展环境</w:t>
      </w:r>
      <w:bookmarkEnd w:id="133"/>
      <w:bookmarkEnd w:id="134"/>
      <w:bookmarkEnd w:id="135"/>
    </w:p>
    <w:p>
      <w:pPr>
        <w:pStyle w:val="16"/>
        <w:spacing w:line="560" w:lineRule="exact"/>
        <w:ind w:firstLine="560"/>
        <w:rPr>
          <w:rFonts w:hint="default" w:ascii="仿宋" w:hAnsi="仿宋" w:eastAsia="仿宋" w:cs="仿宋"/>
          <w:color w:val="auto"/>
          <w:sz w:val="28"/>
          <w:szCs w:val="28"/>
          <w:highlight w:val="none"/>
          <w:lang w:bidi="ar"/>
        </w:rPr>
      </w:pPr>
      <w:r>
        <w:rPr>
          <w:rFonts w:ascii="仿宋" w:hAnsi="仿宋" w:eastAsia="仿宋" w:cs="仿宋"/>
          <w:color w:val="auto"/>
          <w:sz w:val="28"/>
          <w:szCs w:val="28"/>
          <w:highlight w:val="none"/>
          <w:lang w:bidi="ar"/>
        </w:rPr>
        <w:t>持续深化“放管服”、“一网通办”改革，推广“互联网+政务服务”，全面实行并联审批、限时办结等制度。调整清理不适应数字经济发展的行政许可、商事登记等相关制度，营造审慎包容的制度环境。面向数字经济行业龙头、科研机构，定期组织策划数字经济专题招商推介。积极发展第三方服务机构，为企业提供大数据技术、产品、服务和应用解决方案。鼓励社会资本积极参与城市大脑、智慧社区等公共服务重点领域建设，以市场化运作提升项目建设质量，提高数字经济发展综合效益激发市场主体活力和社会创造力。全方位开展通川区数字化建设宣传，营造全社会参与支持数字通川建设的良好氛围。加强工作部署、政策宣贯和工作动员，积极宣传推广数字经济的发展政策、创新成果、领先企业，营造全民参与的舆论氛围，持续扩大数字技术和数字产业应用的社会影响力。</w:t>
      </w:r>
    </w:p>
    <w:p>
      <w:pPr>
        <w:widowControl/>
        <w:jc w:val="left"/>
        <w:rPr>
          <w:rFonts w:ascii="仿宋" w:hAnsi="仿宋" w:eastAsia="仿宋" w:cs="仿宋"/>
          <w:color w:val="auto"/>
          <w:sz w:val="28"/>
          <w:szCs w:val="28"/>
          <w:highlight w:val="none"/>
          <w:lang w:bidi="ar"/>
        </w:rPr>
      </w:pPr>
      <w:r>
        <w:rPr>
          <w:rFonts w:ascii="仿宋" w:hAnsi="仿宋" w:eastAsia="仿宋" w:cs="仿宋"/>
          <w:color w:val="auto"/>
          <w:sz w:val="28"/>
          <w:szCs w:val="28"/>
          <w:highlight w:val="none"/>
          <w:lang w:bidi="ar"/>
        </w:rPr>
        <w:br w:type="page"/>
      </w:r>
    </w:p>
    <w:p>
      <w:pPr>
        <w:pStyle w:val="2"/>
        <w:ind w:right="-1191" w:rightChars="-567"/>
        <w:rPr>
          <w:rFonts w:ascii="仿宋" w:hAnsi="仿宋" w:eastAsia="仿宋"/>
          <w:color w:val="auto"/>
          <w:highlight w:val="none"/>
        </w:rPr>
      </w:pPr>
      <w:bookmarkStart w:id="136" w:name="_Toc81298670"/>
      <w:bookmarkStart w:id="137" w:name="_Toc16965"/>
      <w:bookmarkStart w:id="138" w:name="_Toc73544031"/>
      <w:bookmarkStart w:id="139" w:name="_Toc73119038"/>
      <w:r>
        <w:rPr>
          <w:rFonts w:hint="eastAsia" w:ascii="仿宋" w:hAnsi="仿宋" w:eastAsia="仿宋"/>
          <w:color w:val="auto"/>
          <w:highlight w:val="none"/>
        </w:rPr>
        <w:t>附录1：通川区数字经济重大建设项目</w:t>
      </w:r>
      <w:bookmarkEnd w:id="136"/>
      <w:bookmarkEnd w:id="137"/>
      <w:bookmarkEnd w:id="138"/>
    </w:p>
    <w:tbl>
      <w:tblPr>
        <w:tblStyle w:val="11"/>
        <w:tblW w:w="12332" w:type="dxa"/>
        <w:tblInd w:w="0" w:type="dxa"/>
        <w:tblLayout w:type="autofit"/>
        <w:tblCellMar>
          <w:top w:w="0" w:type="dxa"/>
          <w:left w:w="108" w:type="dxa"/>
          <w:bottom w:w="0" w:type="dxa"/>
          <w:right w:w="108" w:type="dxa"/>
        </w:tblCellMar>
      </w:tblPr>
      <w:tblGrid>
        <w:gridCol w:w="1504"/>
        <w:gridCol w:w="1701"/>
        <w:gridCol w:w="3260"/>
        <w:gridCol w:w="1190"/>
        <w:gridCol w:w="1417"/>
        <w:gridCol w:w="3260"/>
      </w:tblGrid>
      <w:tr>
        <w:tblPrEx>
          <w:tblCellMar>
            <w:top w:w="0" w:type="dxa"/>
            <w:left w:w="108" w:type="dxa"/>
            <w:bottom w:w="0" w:type="dxa"/>
            <w:right w:w="108" w:type="dxa"/>
          </w:tblCellMar>
        </w:tblPrEx>
        <w:trPr>
          <w:gridAfter w:val="1"/>
          <w:wAfter w:w="3260" w:type="dxa"/>
          <w:trHeight w:val="31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类别</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项目名称</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建设内容</w:t>
            </w:r>
          </w:p>
        </w:tc>
        <w:tc>
          <w:tcPr>
            <w:tcW w:w="1190"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完成时间</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牵头单位</w:t>
            </w:r>
            <w:r>
              <w:rPr>
                <w:rFonts w:ascii="Times New Roman" w:hAnsi="Times New Roman" w:eastAsia="仿宋" w:cs="Times New Roman"/>
                <w:color w:val="auto"/>
                <w:kern w:val="0"/>
                <w:sz w:val="22"/>
                <w:highlight w:val="none"/>
              </w:rPr>
              <w:t>  </w:t>
            </w:r>
          </w:p>
        </w:tc>
      </w:tr>
      <w:tr>
        <w:trPr>
          <w:gridAfter w:val="1"/>
          <w:wAfter w:w="3260" w:type="dxa"/>
          <w:trHeight w:val="31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第一阶段（2021~2022</w:t>
            </w:r>
            <w:r>
              <w:rPr>
                <w:rFonts w:hint="eastAsia" w:ascii="Times New Roman" w:hAnsi="Times New Roman" w:eastAsia="仿宋" w:cs="Times New Roman"/>
                <w:b/>
                <w:bCs/>
                <w:color w:val="auto"/>
                <w:kern w:val="0"/>
                <w:sz w:val="22"/>
                <w:highlight w:val="none"/>
              </w:rPr>
              <w:t>上半年</w:t>
            </w:r>
            <w:r>
              <w:rPr>
                <w:rFonts w:ascii="Times New Roman" w:hAnsi="Times New Roman" w:eastAsia="仿宋" w:cs="Times New Roman"/>
                <w:b/>
                <w:bCs/>
                <w:color w:val="auto"/>
                <w:kern w:val="0"/>
                <w:sz w:val="22"/>
                <w:highlight w:val="none"/>
              </w:rPr>
              <w:t>）：夯实基础、重点突破</w:t>
            </w:r>
          </w:p>
        </w:tc>
      </w:tr>
      <w:tr>
        <w:tblPrEx>
          <w:tblCellMar>
            <w:top w:w="0" w:type="dxa"/>
            <w:left w:w="108" w:type="dxa"/>
            <w:bottom w:w="0" w:type="dxa"/>
            <w:right w:w="108" w:type="dxa"/>
          </w:tblCellMar>
        </w:tblPrEx>
        <w:trPr>
          <w:gridAfter w:val="1"/>
          <w:wAfter w:w="3260" w:type="dxa"/>
          <w:trHeight w:val="310" w:hRule="atLeast"/>
        </w:trPr>
        <w:tc>
          <w:tcPr>
            <w:tcW w:w="907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数字产业化</w:t>
            </w:r>
          </w:p>
        </w:tc>
      </w:tr>
      <w:tr>
        <w:trPr>
          <w:gridAfter w:val="1"/>
          <w:wAfter w:w="3260" w:type="dxa"/>
          <w:trHeight w:val="320" w:hRule="atLeast"/>
        </w:trPr>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智能设备装备制造业</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Cs w:val="21"/>
                <w:highlight w:val="none"/>
              </w:rPr>
            </w:pPr>
            <w:r>
              <w:rPr>
                <w:rFonts w:ascii="Times New Roman" w:hAnsi="Times New Roman" w:eastAsia="仿宋" w:cs="Times New Roman"/>
                <w:color w:val="auto"/>
                <w:kern w:val="0"/>
                <w:szCs w:val="21"/>
                <w:highlight w:val="none"/>
              </w:rPr>
              <w:t>达州智能机器人研发基地建设</w:t>
            </w:r>
          </w:p>
        </w:tc>
        <w:tc>
          <w:tcPr>
            <w:tcW w:w="326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Cs w:val="21"/>
                <w:highlight w:val="none"/>
              </w:rPr>
            </w:pPr>
            <w:r>
              <w:rPr>
                <w:rFonts w:ascii="Times New Roman" w:hAnsi="Times New Roman" w:eastAsia="仿宋" w:cs="Times New Roman"/>
                <w:color w:val="auto"/>
                <w:kern w:val="0"/>
                <w:szCs w:val="21"/>
                <w:highlight w:val="none"/>
              </w:rPr>
              <w:t>总建筑面积6万平方米，建成年产10万台各型号机器人的生产车间，该项目建设有利于产业园区智能化水平的提升，将更对高危岗位更换为机器人，降低不安全因素，带动周边产业健康智能安全发展。</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通川经开区</w:t>
            </w:r>
          </w:p>
        </w:tc>
      </w:tr>
      <w:tr>
        <w:trPr>
          <w:gridAfter w:val="1"/>
          <w:wAfter w:w="3260" w:type="dxa"/>
          <w:trHeight w:val="31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Cs w:val="21"/>
                <w:highlight w:val="none"/>
              </w:rPr>
            </w:pPr>
            <w:r>
              <w:rPr>
                <w:rFonts w:ascii="Times New Roman" w:hAnsi="Times New Roman" w:eastAsia="仿宋" w:cs="Times New Roman"/>
                <w:color w:val="auto"/>
                <w:kern w:val="0"/>
                <w:szCs w:val="21"/>
                <w:highlight w:val="none"/>
              </w:rPr>
              <w:t>达州汉芯半导体产业园</w:t>
            </w:r>
          </w:p>
        </w:tc>
        <w:tc>
          <w:tcPr>
            <w:tcW w:w="326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Cs w:val="21"/>
                <w:highlight w:val="none"/>
              </w:rPr>
            </w:pPr>
            <w:r>
              <w:rPr>
                <w:rFonts w:ascii="Times New Roman" w:hAnsi="Times New Roman" w:eastAsia="仿宋" w:cs="Times New Roman"/>
                <w:color w:val="auto"/>
                <w:kern w:val="0"/>
                <w:szCs w:val="21"/>
                <w:highlight w:val="none"/>
              </w:rPr>
              <w:t>项目计划用地约200亩，产业园计划引进离岸设计公司、大型封装测试厂、晶片CP厂、半导体设备制造公司及相关特种材料加工厂，可在园区内实现半导体封测全产业链运作，并配套有集成电路信赖性实验室，高端PCB贴片厂等高科技公司。</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310" w:hRule="atLeast"/>
        </w:trPr>
        <w:tc>
          <w:tcPr>
            <w:tcW w:w="150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信息通信与新媒体产业</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Cs w:val="21"/>
                <w:highlight w:val="none"/>
              </w:rPr>
            </w:pPr>
            <w:r>
              <w:rPr>
                <w:rFonts w:ascii="Times New Roman" w:hAnsi="Times New Roman" w:eastAsia="仿宋" w:cs="Times New Roman"/>
                <w:color w:val="auto"/>
                <w:kern w:val="0"/>
                <w:sz w:val="20"/>
                <w:szCs w:val="20"/>
                <w:highlight w:val="none"/>
              </w:rPr>
              <w:t>智慧广电</w:t>
            </w:r>
          </w:p>
        </w:tc>
        <w:tc>
          <w:tcPr>
            <w:tcW w:w="3260"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Cs w:val="21"/>
                <w:highlight w:val="none"/>
              </w:rPr>
            </w:pPr>
            <w:r>
              <w:rPr>
                <w:rFonts w:hint="eastAsia" w:ascii="Times New Roman" w:hAnsi="Times New Roman" w:eastAsia="仿宋" w:cs="Times New Roman"/>
                <w:color w:val="auto"/>
                <w:kern w:val="0"/>
                <w:szCs w:val="21"/>
                <w:highlight w:val="none"/>
              </w:rPr>
              <w:t>积极推进下一代广播电视网络建设，</w:t>
            </w:r>
            <w:r>
              <w:rPr>
                <w:rFonts w:ascii="Times New Roman" w:hAnsi="Times New Roman" w:eastAsia="仿宋" w:cs="Times New Roman"/>
                <w:color w:val="auto"/>
                <w:kern w:val="0"/>
                <w:szCs w:val="21"/>
                <w:highlight w:val="none"/>
              </w:rPr>
              <w:t>加快智慧广电内容生产体系、节目制播体系、传播体系建设</w:t>
            </w:r>
            <w:r>
              <w:rPr>
                <w:rFonts w:hint="eastAsia" w:ascii="Times New Roman" w:hAnsi="Times New Roman" w:eastAsia="仿宋" w:cs="Times New Roman"/>
                <w:color w:val="auto"/>
                <w:kern w:val="0"/>
                <w:szCs w:val="21"/>
                <w:highlight w:val="none"/>
              </w:rPr>
              <w:t>，</w:t>
            </w:r>
            <w:r>
              <w:rPr>
                <w:rFonts w:ascii="Times New Roman" w:hAnsi="Times New Roman" w:eastAsia="仿宋" w:cs="Times New Roman"/>
                <w:color w:val="auto"/>
                <w:kern w:val="0"/>
                <w:szCs w:val="21"/>
                <w:highlight w:val="none"/>
              </w:rPr>
              <w:t>推</w:t>
            </w:r>
            <w:r>
              <w:rPr>
                <w:rFonts w:hint="eastAsia" w:ascii="Times New Roman" w:hAnsi="Times New Roman" w:eastAsia="仿宋" w:cs="Times New Roman"/>
                <w:color w:val="auto"/>
                <w:kern w:val="0"/>
                <w:szCs w:val="21"/>
                <w:highlight w:val="none"/>
              </w:rPr>
              <w:t>动</w:t>
            </w:r>
            <w:r>
              <w:rPr>
                <w:rFonts w:ascii="Times New Roman" w:hAnsi="Times New Roman" w:eastAsia="仿宋" w:cs="Times New Roman"/>
                <w:color w:val="auto"/>
                <w:kern w:val="0"/>
                <w:szCs w:val="21"/>
                <w:highlight w:val="none"/>
              </w:rPr>
              <w:t>5G在4K/8K超高清数字内容、游戏等方面应用，</w:t>
            </w:r>
            <w:r>
              <w:rPr>
                <w:rFonts w:hint="eastAsia" w:ascii="Times New Roman" w:hAnsi="Times New Roman" w:eastAsia="仿宋" w:cs="Times New Roman"/>
                <w:color w:val="auto"/>
                <w:kern w:val="0"/>
                <w:szCs w:val="21"/>
                <w:highlight w:val="none"/>
              </w:rPr>
              <w:t>丰富智慧广电服务产品。</w:t>
            </w:r>
            <w:r>
              <w:rPr>
                <w:rFonts w:ascii="Times New Roman" w:hAnsi="Times New Roman" w:eastAsia="仿宋" w:cs="Times New Roman"/>
                <w:color w:val="auto"/>
                <w:kern w:val="0"/>
                <w:szCs w:val="21"/>
                <w:highlight w:val="none"/>
              </w:rPr>
              <w:t xml:space="preserve"> </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区融媒体中心、区经信局</w:t>
            </w:r>
          </w:p>
        </w:tc>
      </w:tr>
      <w:tr>
        <w:trPr>
          <w:gridAfter w:val="1"/>
          <w:wAfter w:w="3260" w:type="dxa"/>
          <w:trHeight w:val="310" w:hRule="atLeast"/>
        </w:trPr>
        <w:tc>
          <w:tcPr>
            <w:tcW w:w="907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产业数字化</w:t>
            </w:r>
          </w:p>
        </w:tc>
      </w:tr>
      <w:tr>
        <w:tblPrEx>
          <w:tblCellMar>
            <w:top w:w="0" w:type="dxa"/>
            <w:left w:w="108" w:type="dxa"/>
            <w:bottom w:w="0" w:type="dxa"/>
            <w:right w:w="108" w:type="dxa"/>
          </w:tblCellMar>
        </w:tblPrEx>
        <w:trPr>
          <w:gridAfter w:val="1"/>
          <w:wAfter w:w="3260" w:type="dxa"/>
          <w:trHeight w:val="280" w:hRule="atLeast"/>
        </w:trPr>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工业</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Cs w:val="21"/>
                <w:highlight w:val="none"/>
              </w:rPr>
              <w:t>智慧工业云平台</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Cs w:val="21"/>
                <w:highlight w:val="none"/>
              </w:rPr>
              <w:t>平台担负着“企业上云”的政策法规、热点活动、技术联盟、云服务产品宣传的工作；在公共服务平台上进行“企业上云”资格认定、监督考核及上云任务完成情况督查和评估；云服务商在平台上提供展示销售云服务产品，会员企业通过平台线上订购云服务产品。</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Cs w:val="21"/>
                <w:highlight w:val="none"/>
              </w:rPr>
              <w:t>工业互联网标识解析体系建设</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Cs w:val="21"/>
                <w:highlight w:val="none"/>
              </w:rPr>
              <w:t>部署优化工业互联网标识解析行业节点；开展工业互联网标识解析体系建设，紧抓工业互联网标识解析二级节点/行业节点建设；推进工业互联网创新应用，打造工业互联网标识解析产业生态；</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智慧园区</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以源美冷链物流食品工业园为试点，推进智慧园区建设。实现园区“数据全融合、状态全可视、业务全可管、事件全可控”；基于“安全、舒适、高效、绿色”的智慧园区理念，利用先进的技术与优秀的产品能力为园区使用者提供更安全优质的服务体验。</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农业</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智慧农业建设项目</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通过在现场部署多种传感器、水泵、智能喷灌机、电动闸阀、视频监控、太阳能供电等设备，并结合智能喷灌技术、水肥水药一体化技术、综合智能化管理技术，实现对农场的高度智能化管理、作物长势及农场生产环境自动监测、大数据分析等，有效降低种植成本、提高作物产量。</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2023</w:t>
            </w:r>
            <w:r>
              <w:rPr>
                <w:rFonts w:hint="eastAsia" w:ascii="仿宋" w:hAnsi="仿宋" w:eastAsia="仿宋"/>
                <w:color w:val="auto"/>
                <w:sz w:val="22"/>
                <w:highlight w:val="none"/>
              </w:rPr>
              <w:t>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区农业农村局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0"/>
                <w:szCs w:val="20"/>
                <w:highlight w:val="none"/>
              </w:rPr>
              <w:t>农产品溯源平台</w:t>
            </w:r>
          </w:p>
        </w:tc>
        <w:tc>
          <w:tcPr>
            <w:tcW w:w="3260" w:type="dxa"/>
            <w:tcBorders>
              <w:top w:val="nil"/>
              <w:left w:val="nil"/>
              <w:bottom w:val="single" w:color="auto" w:sz="4" w:space="0"/>
              <w:right w:val="single" w:color="auto" w:sz="4" w:space="0"/>
            </w:tcBorders>
            <w:shd w:val="clear" w:color="auto" w:fill="auto"/>
            <w:noWrap/>
            <w:vAlign w:val="center"/>
          </w:tcPr>
          <w:p>
            <w:pPr>
              <w:rPr>
                <w:color w:val="auto"/>
                <w:highlight w:val="none"/>
              </w:rPr>
            </w:pPr>
          </w:p>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0"/>
                <w:szCs w:val="20"/>
                <w:highlight w:val="none"/>
              </w:rPr>
              <w:t>依托区块链技术，搭建农产品溯源平台，进行产品主权的监管和维护。针对农产品从生产到销售各环节的质量安全数据进行及时采集上传，为消费者提供及时的质量安全追溯查询服务，为监管部门提供有效的质量安全监督管理机制和手段。</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区农业农村局</w:t>
            </w:r>
          </w:p>
        </w:tc>
      </w:tr>
      <w:tr>
        <w:trPr>
          <w:gridAfter w:val="1"/>
          <w:wAfter w:w="3260" w:type="dxa"/>
          <w:trHeight w:val="280" w:hRule="atLeast"/>
        </w:trPr>
        <w:tc>
          <w:tcPr>
            <w:tcW w:w="1504" w:type="dxa"/>
            <w:vMerge w:val="restart"/>
            <w:tcBorders>
              <w:top w:val="nil"/>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服务业</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lang w:bidi="ar"/>
              </w:rPr>
              <w:t>物流</w:t>
            </w:r>
            <w:r>
              <w:rPr>
                <w:rFonts w:hint="eastAsia" w:ascii="Times New Roman" w:hAnsi="Times New Roman" w:eastAsia="仿宋" w:cs="Times New Roman"/>
                <w:color w:val="auto"/>
                <w:kern w:val="0"/>
                <w:sz w:val="20"/>
                <w:szCs w:val="20"/>
                <w:highlight w:val="none"/>
                <w:lang w:bidi="ar"/>
              </w:rPr>
              <w:t>大数据中心</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hint="eastAsia"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建设基于大数据的调度中心、结算中心。综合分析物流企业的运力资源、报价、信用评价等信息，对物流企业的运能、仓储、订单进行优化组合配置。</w:t>
            </w:r>
            <w:r>
              <w:rPr>
                <w:rFonts w:hint="eastAsia" w:ascii="Times New Roman" w:hAnsi="Times New Roman" w:eastAsia="仿宋" w:cs="Times New Roman"/>
                <w:color w:val="auto"/>
                <w:kern w:val="0"/>
                <w:sz w:val="20"/>
                <w:szCs w:val="20"/>
                <w:highlight w:val="none"/>
              </w:rPr>
              <w:t>督促冷链食品生产经营主体严格落实进货查验、索证索票制度，严格按要求在“川冷链</w:t>
            </w:r>
            <w:r>
              <w:rPr>
                <w:rFonts w:hint="eastAsia" w:ascii="Times New Roman" w:hAnsi="Times New Roman" w:eastAsia="仿宋" w:cs="Times New Roman"/>
                <w:color w:val="auto"/>
                <w:kern w:val="0"/>
                <w:sz w:val="20"/>
                <w:szCs w:val="20"/>
                <w:highlight w:val="none"/>
                <w:lang w:eastAsia="zh-CN"/>
              </w:rPr>
              <w:t>”</w:t>
            </w:r>
            <w:r>
              <w:rPr>
                <w:rFonts w:hint="eastAsia" w:ascii="Times New Roman" w:hAnsi="Times New Roman" w:eastAsia="仿宋" w:cs="Times New Roman"/>
                <w:color w:val="auto"/>
                <w:kern w:val="0"/>
                <w:sz w:val="20"/>
                <w:szCs w:val="20"/>
                <w:highlight w:val="none"/>
              </w:rPr>
              <w:t>平台登记完善信息，实现对进口冷链各环节的闭环管理。</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w:t>
            </w:r>
            <w:r>
              <w:rPr>
                <w:rFonts w:hint="eastAsia" w:ascii="Times New Roman" w:hAnsi="Times New Roman" w:eastAsia="仿宋" w:cs="Times New Roman"/>
                <w:color w:val="auto"/>
                <w:kern w:val="0"/>
                <w:sz w:val="22"/>
                <w:highlight w:val="none"/>
              </w:rPr>
              <w:t>4</w:t>
            </w:r>
            <w:r>
              <w:rPr>
                <w:rFonts w:ascii="Times New Roman" w:hAnsi="Times New Roman" w:eastAsia="仿宋" w:cs="Times New Roman"/>
                <w:color w:val="auto"/>
                <w:kern w:val="0"/>
                <w:sz w:val="22"/>
                <w:highlight w:val="none"/>
              </w:rPr>
              <w:t>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w:t>
            </w:r>
            <w:r>
              <w:rPr>
                <w:rFonts w:hint="eastAsia" w:ascii="Times New Roman" w:hAnsi="Times New Roman" w:eastAsia="仿宋" w:cs="Times New Roman"/>
                <w:color w:val="auto"/>
                <w:kern w:val="0"/>
                <w:sz w:val="22"/>
                <w:highlight w:val="none"/>
              </w:rPr>
              <w:t>口岸物流中心</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通川区张爱萍故居智慧旅游项目</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以张爱萍故居景点为示范点，开展电子门禁、票务系统、定位</w:t>
            </w:r>
            <w:r>
              <w:rPr>
                <w:rFonts w:ascii="Times New Roman" w:hAnsi="Times New Roman" w:eastAsia="仿宋" w:cs="Times New Roman"/>
                <w:color w:val="auto"/>
                <w:kern w:val="0"/>
                <w:sz w:val="20"/>
                <w:szCs w:val="20"/>
                <w:highlight w:val="none"/>
              </w:rPr>
              <w:t>+监控系统、公共广播对讲系统、景区综合管理平台、智能停车场升级等建设。</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区文旅局</w:t>
            </w:r>
          </w:p>
        </w:tc>
      </w:tr>
      <w:tr>
        <w:trPr>
          <w:gridAfter w:val="1"/>
          <w:wAfter w:w="3260" w:type="dxa"/>
          <w:trHeight w:val="310" w:hRule="atLeast"/>
        </w:trPr>
        <w:tc>
          <w:tcPr>
            <w:tcW w:w="907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数字化治理</w:t>
            </w:r>
          </w:p>
        </w:tc>
      </w:tr>
      <w:tr>
        <w:tblPrEx>
          <w:tblCellMar>
            <w:top w:w="0" w:type="dxa"/>
            <w:left w:w="108" w:type="dxa"/>
            <w:bottom w:w="0" w:type="dxa"/>
            <w:right w:w="108" w:type="dxa"/>
          </w:tblCellMar>
        </w:tblPrEx>
        <w:trPr>
          <w:gridAfter w:val="1"/>
          <w:wAfter w:w="3260" w:type="dxa"/>
          <w:trHeight w:val="280" w:hRule="atLeast"/>
        </w:trPr>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数字政府</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互联网+政务服务</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完善政务服务事项标准化管理机制</w:t>
            </w:r>
            <w:r>
              <w:rPr>
                <w:rFonts w:hint="eastAsia" w:ascii="Times New Roman" w:hAnsi="Times New Roman" w:eastAsia="仿宋" w:cs="Times New Roman"/>
                <w:color w:val="auto"/>
                <w:kern w:val="0"/>
                <w:sz w:val="20"/>
                <w:szCs w:val="20"/>
                <w:highlight w:val="none"/>
              </w:rPr>
              <w:t>，加强</w:t>
            </w:r>
            <w:r>
              <w:rPr>
                <w:rFonts w:ascii="Times New Roman" w:hAnsi="Times New Roman" w:eastAsia="仿宋" w:cs="Times New Roman"/>
                <w:color w:val="auto"/>
                <w:kern w:val="0"/>
                <w:sz w:val="20"/>
                <w:szCs w:val="20"/>
                <w:highlight w:val="none"/>
              </w:rPr>
              <w:t>“一窗式”综合服务，加大政务服务终端在办事大厅的普及推广力度，完善移动政务服务模式，加快实现“一网通办”。</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区行政审批局</w:t>
            </w:r>
          </w:p>
        </w:tc>
      </w:tr>
      <w:tr>
        <w:trPr>
          <w:gridAfter w:val="1"/>
          <w:wAfter w:w="3260" w:type="dxa"/>
          <w:trHeight w:val="28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智慧执法</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综合应用数字技术，构建智慧执法平台，实现行政执法无纸化，推进综合行政执法改革，优化线上执法办案。</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区综合执法局</w:t>
            </w:r>
          </w:p>
        </w:tc>
      </w:tr>
      <w:tr>
        <w:tblPrEx>
          <w:tblCellMar>
            <w:top w:w="0" w:type="dxa"/>
            <w:left w:w="108" w:type="dxa"/>
            <w:bottom w:w="0" w:type="dxa"/>
            <w:right w:w="108" w:type="dxa"/>
          </w:tblCellMar>
        </w:tblPrEx>
        <w:trPr>
          <w:gridAfter w:val="1"/>
          <w:wAfter w:w="3260" w:type="dxa"/>
          <w:trHeight w:val="3422"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城乡协同治理</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通川区“城市大脑”建设</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按照统一的标准规范，构建城市大脑数据中台、AI智能中台、应用中台，赋能各类智慧应用。数据中台整合全区各部门城市管理数据资源，实现对城市管理领域的数据归集、治理、服务的集合，实现与市级数据共享交换平台的汇聚整合和数据共享交换，通过数据中台的建设建立健全数据共享使用的长效机制，解决城市管理数据共享、应用和服务问题。</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798"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民生服务</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智慧医疗服务体系建设</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依托市全民健康信息平台，整合医院、公共卫生和生育健康服务等信息系统，实现预约挂号、诊疗服务、个人健康档案查阅、电子病历共享调阅、检验检查结果共享互认、家庭医生签约、分级诊疗、</w:t>
            </w:r>
            <w:r>
              <w:rPr>
                <w:rFonts w:hint="eastAsia" w:ascii="Times New Roman" w:hAnsi="Times New Roman" w:eastAsia="仿宋" w:cs="Times New Roman"/>
                <w:color w:val="auto"/>
                <w:kern w:val="0"/>
                <w:sz w:val="20"/>
                <w:szCs w:val="20"/>
                <w:highlight w:val="none"/>
                <w:lang w:eastAsia="zh-CN"/>
              </w:rPr>
              <w:t>慢性病</w:t>
            </w:r>
            <w:r>
              <w:rPr>
                <w:rFonts w:ascii="Times New Roman" w:hAnsi="Times New Roman" w:eastAsia="仿宋" w:cs="Times New Roman"/>
                <w:color w:val="auto"/>
                <w:kern w:val="0"/>
                <w:sz w:val="20"/>
                <w:szCs w:val="20"/>
                <w:highlight w:val="none"/>
              </w:rPr>
              <w:t xml:space="preserve">管理、妇幼保健等一站式服务功能，提高服务效率和质量，使居民健康医疗服务便捷化。 </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区卫健局</w:t>
            </w:r>
          </w:p>
        </w:tc>
      </w:tr>
      <w:tr>
        <w:tblPrEx>
          <w:tblCellMar>
            <w:top w:w="0" w:type="dxa"/>
            <w:left w:w="108" w:type="dxa"/>
            <w:bottom w:w="0" w:type="dxa"/>
            <w:right w:w="108" w:type="dxa"/>
          </w:tblCellMar>
        </w:tblPrEx>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rPr>
              <w:t>数字化生态</w:t>
            </w:r>
          </w:p>
        </w:tc>
      </w:tr>
      <w:tr>
        <w:trPr>
          <w:gridAfter w:val="1"/>
          <w:wAfter w:w="3260" w:type="dxa"/>
          <w:trHeight w:val="280" w:hRule="atLeast"/>
        </w:trPr>
        <w:tc>
          <w:tcPr>
            <w:tcW w:w="1504" w:type="dxa"/>
            <w:vMerge w:val="restart"/>
            <w:tcBorders>
              <w:left w:val="single" w:color="auto" w:sz="4" w:space="0"/>
              <w:right w:val="single" w:color="auto" w:sz="4" w:space="0"/>
            </w:tcBorders>
            <w:vAlign w:val="center"/>
          </w:tcPr>
          <w:p>
            <w:pPr>
              <w:jc w:val="left"/>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rPr>
              <w:t>开放合作</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人力资源电子商务服务平台项目</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华文仿宋" w:hAnsi="华文仿宋" w:eastAsia="华文仿宋"/>
                <w:color w:val="auto"/>
                <w:szCs w:val="21"/>
                <w:highlight w:val="none"/>
              </w:rPr>
              <w:t>通过人力资源电子商务服务平台的建立，为成渝两地企业和劳动者提供便捷个求职招聘平台，促进人才引进、招聘联动服务，满足人力资源需求的差异性和互补性。</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区人社局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“通川</w:t>
            </w:r>
            <w:r>
              <w:rPr>
                <w:rFonts w:hint="eastAsia" w:ascii="Times New Roman" w:hAnsi="Times New Roman" w:eastAsia="仿宋" w:cs="Times New Roman"/>
                <w:color w:val="auto"/>
                <w:kern w:val="0"/>
                <w:sz w:val="20"/>
                <w:szCs w:val="20"/>
                <w:highlight w:val="none"/>
                <w:lang w:eastAsia="zh-CN"/>
              </w:rPr>
              <w:t>－</w:t>
            </w:r>
            <w:r>
              <w:rPr>
                <w:rFonts w:hint="eastAsia" w:ascii="Times New Roman" w:hAnsi="Times New Roman" w:eastAsia="仿宋" w:cs="Times New Roman"/>
                <w:color w:val="auto"/>
                <w:kern w:val="0"/>
                <w:sz w:val="20"/>
                <w:szCs w:val="20"/>
                <w:highlight w:val="none"/>
              </w:rPr>
              <w:t>上海”大数据联盟项目</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利用上海数字经济资源，帮助搭建人才、技术跨区域合作平台，积极引入国内顶尖的智慧城市建设企业及其细分领域的头部或准头部企业开展合作，指导通川建立高品质的大数据中心，帮助通川布局数字经济产业生态。</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2025年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区经信局</w:t>
            </w:r>
          </w:p>
        </w:tc>
      </w:tr>
      <w:tr>
        <w:trPr>
          <w:gridAfter w:val="1"/>
          <w:wAfter w:w="3260" w:type="dxa"/>
          <w:trHeight w:val="310" w:hRule="atLeast"/>
        </w:trPr>
        <w:tc>
          <w:tcPr>
            <w:tcW w:w="9072"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数字基础设施建设</w:t>
            </w:r>
          </w:p>
        </w:tc>
      </w:tr>
      <w:tr>
        <w:tblPrEx>
          <w:tblCellMar>
            <w:top w:w="0" w:type="dxa"/>
            <w:left w:w="108" w:type="dxa"/>
            <w:bottom w:w="0" w:type="dxa"/>
            <w:right w:w="108" w:type="dxa"/>
          </w:tblCellMar>
        </w:tblPrEx>
        <w:trPr>
          <w:gridAfter w:val="1"/>
          <w:wAfter w:w="3260" w:type="dxa"/>
          <w:trHeight w:val="280" w:hRule="atLeast"/>
        </w:trPr>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通信网络基础设施</w:t>
            </w: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5G信息基础建设</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通川经济开发区5G网络全覆盖，建设内容包括5G终端、5G网络基站，5G铁塔以及相关配套设施。</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IPv6升级改造</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加快IPv6关键设备的应用部署，鼓励制造企业、政府机关和国有企事业单位外网系统、重点商业网站系统应用IPv6，带动社会各领域网络系统的全面升级。</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2022年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物联网信息基础设施建设</w:t>
            </w:r>
          </w:p>
        </w:tc>
        <w:tc>
          <w:tcPr>
            <w:tcW w:w="3260"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建设全区统一的城市物联网感知平台，实现城市管理中城市基础设施、城市交通出行、城市公共安全、城市生态环境等维度场景，提供有限空间、NB抄表、智能烟感、智慧井盖、智慧灯杆、人口管理、车辆管理等统一设备接入管理能力，对不同种类的终端及海量数据集中管理，并提供标准化数据输入输出，通过平台连接各种业务相关的异构系统、应用以及数据源，满足系统之间数据共享。</w:t>
            </w:r>
          </w:p>
        </w:tc>
        <w:tc>
          <w:tcPr>
            <w:tcW w:w="119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2023年</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保障措施</w:t>
            </w:r>
          </w:p>
        </w:tc>
      </w:tr>
      <w:tr>
        <w:tblPrEx>
          <w:tblCellMar>
            <w:top w:w="0" w:type="dxa"/>
            <w:left w:w="108" w:type="dxa"/>
            <w:bottom w:w="0" w:type="dxa"/>
            <w:right w:w="108" w:type="dxa"/>
          </w:tblCellMar>
        </w:tblPrEx>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人才队伍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数字技术创新培训中心</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rPr>
                <w:rFonts w:ascii="Times New Roman" w:hAnsi="Times New Roman" w:eastAsia="仿宋" w:cs="Times New Roman"/>
                <w:color w:val="auto"/>
                <w:sz w:val="20"/>
                <w:szCs w:val="20"/>
                <w:highlight w:val="none"/>
              </w:rPr>
            </w:pPr>
            <w:r>
              <w:rPr>
                <w:rFonts w:ascii="Times New Roman" w:hAnsi="Times New Roman" w:eastAsia="仿宋" w:cs="Times New Roman"/>
                <w:color w:val="auto"/>
                <w:kern w:val="0"/>
                <w:sz w:val="20"/>
                <w:szCs w:val="20"/>
                <w:highlight w:val="none"/>
              </w:rPr>
              <w:t>建设数字技术培训资源平台、新一代信息技术互动产品体验馆等，打造川东创新应用型和技术技能型人才实训培养基地、“双师双能”队伍建设的重要平台，培养数字经济应用型人才，提升政府、企业、高校等数字经济领域关键人员的专业水平，打造一批本地数字经济专家人才。</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区人社局、区经信局</w:t>
            </w:r>
            <w:r>
              <w:rPr>
                <w:rFonts w:hint="eastAsia" w:ascii="Times New Roman" w:hAnsi="Times New Roman" w:eastAsia="仿宋" w:cs="Times New Roman"/>
                <w:color w:val="auto"/>
                <w:kern w:val="0"/>
                <w:sz w:val="22"/>
                <w:highlight w:val="none"/>
              </w:rPr>
              <w:t>、区教科局</w:t>
            </w:r>
          </w:p>
        </w:tc>
      </w:tr>
      <w:tr>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 xml:space="preserve">第二阶段（2022 </w:t>
            </w:r>
            <w:r>
              <w:rPr>
                <w:rFonts w:hint="eastAsia" w:ascii="Times New Roman" w:hAnsi="Times New Roman" w:eastAsia="仿宋" w:cs="Times New Roman"/>
                <w:b/>
                <w:bCs/>
                <w:color w:val="auto"/>
                <w:kern w:val="0"/>
                <w:sz w:val="22"/>
                <w:highlight w:val="none"/>
              </w:rPr>
              <w:t>下半年</w:t>
            </w:r>
            <w:r>
              <w:rPr>
                <w:rFonts w:ascii="Times New Roman" w:hAnsi="Times New Roman" w:eastAsia="仿宋" w:cs="Times New Roman"/>
                <w:b/>
                <w:bCs/>
                <w:color w:val="auto"/>
                <w:kern w:val="0"/>
                <w:sz w:val="22"/>
                <w:highlight w:val="none"/>
              </w:rPr>
              <w:t>~2023年）：融合协同，稳步推进</w:t>
            </w:r>
          </w:p>
        </w:tc>
      </w:tr>
      <w:tr>
        <w:tblPrEx>
          <w:tblCellMar>
            <w:top w:w="0" w:type="dxa"/>
            <w:left w:w="108" w:type="dxa"/>
            <w:bottom w:w="0" w:type="dxa"/>
            <w:right w:w="108" w:type="dxa"/>
          </w:tblCellMar>
        </w:tblPrEx>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数字产业化</w:t>
            </w:r>
          </w:p>
        </w:tc>
      </w:tr>
      <w:tr>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智能设备装备制造业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电子信息产业智能制造及互联网配套业务项目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重点企业引进集成电路先进工艺生产线，大力推进劳动密集型企业实施自动化、数字化智能改造；加快互联网配套平台的深度集成应用，培育“电子信息制造业</w:t>
            </w:r>
            <w:r>
              <w:rPr>
                <w:rFonts w:ascii="Times New Roman" w:hAnsi="Times New Roman" w:eastAsia="仿宋" w:cs="Times New Roman"/>
                <w:color w:val="auto"/>
                <w:kern w:val="0"/>
                <w:sz w:val="20"/>
                <w:szCs w:val="20"/>
                <w:highlight w:val="none"/>
              </w:rPr>
              <w:t>+互联网”模式应用试点示范。</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信息通信与新媒体产业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5G产业化应用</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推进5G网络在主要城镇、重点地区全覆盖。对接垂直领域行业应用，在生产制造、交通运输、社会治理、公共服务、文体旅游等领域广泛部署融合应用。</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产业数字化</w:t>
            </w:r>
          </w:p>
        </w:tc>
      </w:tr>
      <w:tr>
        <w:tblPrEx>
          <w:tblCellMar>
            <w:top w:w="0" w:type="dxa"/>
            <w:left w:w="108" w:type="dxa"/>
            <w:bottom w:w="0" w:type="dxa"/>
            <w:right w:w="108" w:type="dxa"/>
          </w:tblCellMar>
        </w:tblPrEx>
        <w:trPr>
          <w:gridAfter w:val="1"/>
          <w:wAfter w:w="3260" w:type="dxa"/>
          <w:trHeight w:val="280" w:hRule="atLeast"/>
        </w:trPr>
        <w:tc>
          <w:tcPr>
            <w:tcW w:w="150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工业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工业互联网平台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建设经开区工业互联网企业外网标杆网络，完成经开区600多家企业内网升级和改造，建成集成网络技术创新、应用示范、产业促进、设备和生产线自动化等工业互联网平台，形成标准的经开区工业互联网网络技术体系和标准体系。</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通川区工业系统云上视频平台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利用视频监控、移动终端等设备进行音视频采集，现场图像实时传送到云上视频平台，实现固定</w:t>
            </w:r>
            <w:r>
              <w:rPr>
                <w:rFonts w:ascii="Times New Roman" w:hAnsi="Times New Roman" w:eastAsia="仿宋" w:cs="Times New Roman"/>
                <w:color w:val="auto"/>
                <w:kern w:val="0"/>
                <w:sz w:val="20"/>
                <w:szCs w:val="20"/>
                <w:highlight w:val="none"/>
              </w:rPr>
              <w:t>+移动的监控体系，消除监控死角，方便调度指挥，形成对工业系统检查过程的完整记录，引入数字化监控手段提升工业安全监管、工业污染防治能力，为实现工业安全生产、碳达峰和碳中和提供科技助力，同时为通川区各工业企业提供远程视频交互服务，提升工业企业的远程作业协同能力。</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智慧园区公共服务及管理平台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建设智慧园区公共服务平台，推进园区大数据物业管理、智能泊车、园区智慧生活共享平台等功能。建设智慧园区公共管理平台，推进安全监测应急管理平台、环境保护监测预警平台、能源综合管理信息平台等子平台建设，全面提升园区公共治理能力。</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restart"/>
            <w:tcBorders>
              <w:top w:val="single" w:color="auto" w:sz="4" w:space="0"/>
              <w:left w:val="single" w:color="auto" w:sz="4" w:space="0"/>
              <w:right w:val="single" w:color="auto" w:sz="4" w:space="0"/>
            </w:tcBorders>
            <w:shd w:val="clear" w:color="auto" w:fill="auto"/>
            <w:vAlign w:val="center"/>
          </w:tcPr>
          <w:p>
            <w:pPr>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农业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农业物联网综合管理平台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提供全面农业物联网感知层信息采集、数据分析、物联信息展现、健康检查、视频管理、设备管理及联动控制等功能；南向对接主流农业物联网设备采集协议、传输协议，将不同厂商、不同类型的物联网感知层设备采集的数据统一纳入平台管理，提供标准化的API接口，方便第三方应用数据对接，为上层的农产品溯源、农业电商平台等农业应用提供数据支撑及能力开放。</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w:t>
            </w:r>
            <w:r>
              <w:rPr>
                <w:rFonts w:hint="eastAsia" w:ascii="Times New Roman" w:hAnsi="Times New Roman" w:eastAsia="仿宋" w:cs="Times New Roman"/>
                <w:color w:val="auto"/>
                <w:kern w:val="0"/>
                <w:sz w:val="22"/>
                <w:highlight w:val="none"/>
              </w:rPr>
              <w:t>4</w:t>
            </w:r>
            <w:r>
              <w:rPr>
                <w:rFonts w:ascii="Times New Roman" w:hAnsi="Times New Roman" w:eastAsia="仿宋" w:cs="Times New Roman"/>
                <w:color w:val="auto"/>
                <w:kern w:val="0"/>
                <w:sz w:val="22"/>
                <w:highlight w:val="none"/>
              </w:rPr>
              <w:t>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区农业农村局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农产品产销对接平台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搭建灯影牛肉、保丰大米、通川青脆李、磐石草莓、蒲家蓝莓等特色农产品的大数据平台，对接省、市农业大数据平台，汇聚农业生产经营全流程数据</w:t>
            </w:r>
            <w:r>
              <w:rPr>
                <w:rFonts w:hint="eastAsia" w:ascii="Times New Roman" w:hAnsi="Times New Roman" w:eastAsia="仿宋" w:cs="Times New Roman"/>
                <w:color w:val="auto"/>
                <w:kern w:val="0"/>
                <w:sz w:val="20"/>
                <w:szCs w:val="20"/>
                <w:highlight w:val="none"/>
                <w:lang w:eastAsia="zh-CN"/>
              </w:rPr>
              <w:t>，</w:t>
            </w:r>
            <w:r>
              <w:rPr>
                <w:rFonts w:ascii="Times New Roman" w:hAnsi="Times New Roman" w:eastAsia="仿宋" w:cs="Times New Roman"/>
                <w:color w:val="auto"/>
                <w:kern w:val="0"/>
                <w:sz w:val="20"/>
                <w:szCs w:val="20"/>
                <w:highlight w:val="none"/>
              </w:rPr>
              <w:t>与各大电商平台实时对接，实现一平台、多应用，对各领域的信息发布、产销对接、交易等进行全过程管控。</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区农业农村局</w:t>
            </w:r>
            <w:r>
              <w:rPr>
                <w:rFonts w:hint="eastAsia" w:ascii="Times New Roman" w:hAnsi="Times New Roman" w:eastAsia="仿宋" w:cs="Times New Roman"/>
                <w:color w:val="auto"/>
                <w:kern w:val="0"/>
                <w:sz w:val="22"/>
                <w:highlight w:val="none"/>
              </w:rPr>
              <w:t>、区商务局</w:t>
            </w:r>
          </w:p>
        </w:tc>
      </w:tr>
      <w:tr>
        <w:trPr>
          <w:gridAfter w:val="1"/>
          <w:wAfter w:w="3260" w:type="dxa"/>
          <w:trHeight w:val="2036" w:hRule="atLeast"/>
        </w:trPr>
        <w:tc>
          <w:tcPr>
            <w:tcW w:w="150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服务业</w:t>
            </w:r>
          </w:p>
        </w:tc>
        <w:tc>
          <w:tcPr>
            <w:tcW w:w="1701"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全域旅游平台</w:t>
            </w:r>
          </w:p>
        </w:tc>
        <w:tc>
          <w:tcPr>
            <w:tcW w:w="3260" w:type="dxa"/>
            <w:tcBorders>
              <w:top w:val="single" w:color="auto" w:sz="4" w:space="0"/>
              <w:left w:val="nil"/>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建设全域旅游大数据平台，通过对客流实时采集、景区安防视频监控、紧急求助等基础设施建设和改造，实现全面、透彻、及时地感知和可视化管理，增加旅游附加值收入。</w:t>
            </w:r>
          </w:p>
        </w:tc>
        <w:tc>
          <w:tcPr>
            <w:tcW w:w="1190"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w:t>
            </w:r>
            <w:r>
              <w:rPr>
                <w:rFonts w:hint="eastAsia" w:ascii="Times New Roman" w:hAnsi="Times New Roman" w:eastAsia="仿宋" w:cs="Times New Roman"/>
                <w:color w:val="auto"/>
                <w:kern w:val="0"/>
                <w:sz w:val="22"/>
                <w:highlight w:val="none"/>
              </w:rPr>
              <w:t>5</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区文旅</w:t>
            </w:r>
            <w:r>
              <w:rPr>
                <w:rFonts w:hint="eastAsia" w:ascii="Times New Roman" w:hAnsi="Times New Roman" w:eastAsia="仿宋" w:cs="Times New Roman"/>
                <w:color w:val="auto"/>
                <w:kern w:val="0"/>
                <w:sz w:val="22"/>
                <w:highlight w:val="none"/>
              </w:rPr>
              <w:t>中心</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现场直播带货演播室建设</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在特色农产品原产地、旅游景点等网红打卡地建立直播平台以及直播所需基础设施。</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区商务局</w:t>
            </w:r>
          </w:p>
        </w:tc>
      </w:tr>
      <w:tr>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数字化治理</w:t>
            </w:r>
          </w:p>
        </w:tc>
      </w:tr>
      <w:tr>
        <w:tblPrEx>
          <w:tblCellMar>
            <w:top w:w="0" w:type="dxa"/>
            <w:left w:w="108" w:type="dxa"/>
            <w:bottom w:w="0" w:type="dxa"/>
            <w:right w:w="108" w:type="dxa"/>
          </w:tblCellMar>
        </w:tblPrEx>
        <w:trPr>
          <w:gridAfter w:val="1"/>
          <w:wAfter w:w="3260" w:type="dxa"/>
          <w:trHeight w:val="4202" w:hRule="atLeast"/>
        </w:trPr>
        <w:tc>
          <w:tcPr>
            <w:tcW w:w="1504" w:type="dxa"/>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0"/>
                <w:szCs w:val="20"/>
                <w:highlight w:val="none"/>
              </w:rPr>
              <w:t>数字政府</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通川区大数据整合共享平台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整合接入公安、政法、交通、城管、应急、教育、水利等各行业的数据资源，形成统一的通川区数据整合共享平台，实施政务信息资源整合计划，推进区、乡镇、村各部门逐步开放共享各类政府数据资源。 </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trHeight w:val="280" w:hRule="atLeast"/>
        </w:trPr>
        <w:tc>
          <w:tcPr>
            <w:tcW w:w="1504" w:type="dxa"/>
            <w:vMerge w:val="restart"/>
            <w:tcBorders>
              <w:top w:val="single" w:color="auto" w:sz="4" w:space="0"/>
              <w:left w:val="single" w:color="auto" w:sz="4" w:space="0"/>
              <w:right w:val="single" w:color="auto" w:sz="4" w:space="0"/>
            </w:tcBorders>
            <w:shd w:val="clear" w:color="auto" w:fill="auto"/>
            <w:vAlign w:val="center"/>
          </w:tcPr>
          <w:p>
            <w:pPr>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城乡协同治理</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通川区智慧城市管控系统项目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建设涵盖城市基础设施管理、人口管理、公共安全管理、交通出行管理、生态环境管理等维度，打造集物联网感知平台、城市管理应用系统、指挥中心展示全景图的</w:t>
            </w:r>
            <w:r>
              <w:rPr>
                <w:rFonts w:ascii="Times New Roman" w:hAnsi="Times New Roman" w:eastAsia="仿宋" w:cs="Times New Roman"/>
                <w:color w:val="auto"/>
                <w:kern w:val="0"/>
                <w:sz w:val="20"/>
                <w:szCs w:val="20"/>
                <w:highlight w:val="none"/>
              </w:rPr>
              <w:t>AIoT城市管控系统，提升城市管控综合水平，同时为城市新基建建设输出服务能力。</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华文仿宋" w:hAnsi="华文仿宋" w:eastAsia="华文仿宋"/>
                <w:color w:val="auto"/>
                <w:szCs w:val="21"/>
                <w:highlight w:val="none"/>
              </w:rPr>
              <w:t>区经信局</w:t>
            </w:r>
          </w:p>
        </w:tc>
        <w:tc>
          <w:tcPr>
            <w:tcW w:w="3260" w:type="dxa"/>
            <w:vAlign w:val="center"/>
          </w:tcPr>
          <w:p>
            <w:pPr>
              <w:widowControl/>
              <w:jc w:val="left"/>
              <w:rPr>
                <w:color w:val="auto"/>
                <w:highlight w:val="none"/>
              </w:rPr>
            </w:pP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城乡智能运营管理中心建设</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依托于“城市大脑”对全量数据资源的整合，构建数字驾驶舱、指挥体系、多级城市运营指挥中心，实现行业全域、可视直观的感知城市运行管理状态，统一调度城市管理资源，城市日常运行管理及突发事件的全景式指挥。</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olor w:val="auto"/>
                <w:szCs w:val="21"/>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华文仿宋" w:hAnsi="华文仿宋" w:eastAsia="华文仿宋"/>
                <w:color w:val="auto"/>
                <w:szCs w:val="21"/>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智慧城管</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仿宋" w:hAnsi="仿宋" w:eastAsia="仿宋" w:cs="仿宋"/>
                <w:color w:val="auto"/>
                <w:kern w:val="0"/>
                <w:szCs w:val="21"/>
                <w:highlight w:val="none"/>
              </w:rPr>
              <w:t>建设城市综合治理平台，基于“网格化+综合治理”创新，针对各类社会管理问题实施精细化、信息化、动态化服务管理，推进社会管理网格化服务。推进移动执法建设，扩大一线现场数据采集和使用，优化无线上网移动终端，更好地适应执法工作移动性、突发性、紧急性等特点。</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仿宋" w:hAnsi="仿宋" w:eastAsia="仿宋" w:cs="仿宋"/>
                <w:color w:val="auto"/>
                <w:kern w:val="0"/>
                <w:szCs w:val="21"/>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区综合执法局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智慧应急</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依托达州市云平台，构建通川区 “安全云”信息化平台</w:t>
            </w:r>
            <w:r>
              <w:rPr>
                <w:rFonts w:ascii="Times New Roman" w:hAnsi="Times New Roman" w:eastAsia="仿宋" w:cs="Times New Roman"/>
                <w:color w:val="auto"/>
                <w:kern w:val="0"/>
                <w:sz w:val="20"/>
                <w:szCs w:val="20"/>
                <w:highlight w:val="none"/>
              </w:rPr>
              <w:t xml:space="preserve"> ，增强</w:t>
            </w:r>
            <w:r>
              <w:rPr>
                <w:rFonts w:hint="eastAsia" w:ascii="Times New Roman" w:hAnsi="Times New Roman" w:eastAsia="仿宋" w:cs="Times New Roman"/>
                <w:color w:val="auto"/>
                <w:kern w:val="0"/>
                <w:sz w:val="20"/>
                <w:szCs w:val="20"/>
                <w:highlight w:val="none"/>
              </w:rPr>
              <w:t>平台按“分级负责、属地为主、层级响应”的原则提升应急指挥、协调处置能力</w:t>
            </w:r>
            <w:r>
              <w:rPr>
                <w:rFonts w:ascii="Times New Roman" w:hAnsi="Times New Roman" w:eastAsia="仿宋" w:cs="Times New Roman"/>
                <w:color w:val="auto"/>
                <w:kern w:val="0"/>
                <w:sz w:val="20"/>
                <w:szCs w:val="20"/>
                <w:highlight w:val="none"/>
              </w:rPr>
              <w:t>。建设应急广播体系 ，实现“统一联网、分级管控”，发挥应急广播在政策宣传、社会动员、风险预警、应急救灾等方面的作用，提升面向公众的突发事件应急信息传播能力。</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区应急管理局</w:t>
            </w:r>
          </w:p>
        </w:tc>
      </w:tr>
      <w:tr>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智慧交通</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通过监控、监测、交通流量分布优化等技术，完善道路监控体系和信息网络系统，建立以交通引导、应急指挥、智能出行、出租车、公交车、客运车、物流管理等系统为重点的、统一的智能化城市交通综合管理和服务系统建设，实现交通信息的充分共享、公路交通状况的实时监控及动态管理。</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区交运局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公安视频智能分析平台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通过对公安天网的视频进行人工智能技术应用，实现对人员、车辆的识别，结合公安技战法，实现对公安视频大数据的转型升级和科技强警。</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区公安分局</w:t>
            </w:r>
          </w:p>
        </w:tc>
      </w:tr>
      <w:tr>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数字乡村平台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数字乡村平台围绕乡村“数字治理、数字服务、数字经济”三个重点方向，打造“党建引领”、“富农产业”、“农技服务”、“政务服务”、“村务公开”等具有较高实用价值的应用服务</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区乡村振兴局、区经信局、</w:t>
            </w:r>
            <w:r>
              <w:rPr>
                <w:rFonts w:ascii="Times New Roman" w:hAnsi="Times New Roman" w:eastAsia="仿宋" w:cs="Times New Roman"/>
                <w:color w:val="auto"/>
                <w:kern w:val="0"/>
                <w:sz w:val="22"/>
                <w:highlight w:val="none"/>
              </w:rPr>
              <w:t>区农业农村局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智慧水务项目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构建通川区水务大数据平台，完善水务生态环境监测网络，加快拓展水务感知网覆盖范围全面推进</w:t>
            </w:r>
            <w:r>
              <w:rPr>
                <w:rFonts w:hint="eastAsia" w:ascii="Times New Roman" w:hAnsi="Times New Roman" w:eastAsia="仿宋" w:cs="Times New Roman"/>
                <w:color w:val="auto"/>
                <w:kern w:val="0"/>
                <w:sz w:val="20"/>
                <w:szCs w:val="20"/>
                <w:highlight w:val="none"/>
              </w:rPr>
              <w:t>重点河流防汛智能指挥决策系统</w:t>
            </w:r>
            <w:r>
              <w:rPr>
                <w:rFonts w:ascii="Times New Roman" w:hAnsi="Times New Roman" w:eastAsia="仿宋" w:cs="Times New Roman"/>
                <w:color w:val="auto"/>
                <w:kern w:val="0"/>
                <w:sz w:val="20"/>
                <w:szCs w:val="20"/>
                <w:highlight w:val="none"/>
              </w:rPr>
              <w:t>、节约用水及水资源管理、水利工程建设管理、河湖长制管理等业务信息化建设。</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区水务局</w:t>
            </w:r>
          </w:p>
        </w:tc>
      </w:tr>
      <w:tr>
        <w:trPr>
          <w:gridAfter w:val="1"/>
          <w:wAfter w:w="3260" w:type="dxa"/>
          <w:trHeight w:val="280" w:hRule="atLeast"/>
        </w:trPr>
        <w:tc>
          <w:tcPr>
            <w:tcW w:w="150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民生服务</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智慧教育云服务平台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聚焦教育信息化2.0政策，依托云计算、大数据和人工智能等技术打造“互联网+教育”一站式云服务平台，推进信息技术与教育教学、管理的深度融合，提高教育教学质量，提升教育治理水平，促进教育公平和优质均衡发展。</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区教科局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区域健康医疗大数据平台建设项目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搭建区域健康医疗大数据平台，鼓励医疗机构开展互联网医院建设，完善远程医疗体系，推广“5G+医疗”应用，提供远程诊断、在线就医复诊、线上预约挂号等服务。</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区卫健局</w:t>
            </w:r>
          </w:p>
        </w:tc>
      </w:tr>
      <w:tr>
        <w:trPr>
          <w:gridAfter w:val="1"/>
          <w:wAfter w:w="3260" w:type="dxa"/>
          <w:trHeight w:val="280" w:hRule="atLeast"/>
        </w:trPr>
        <w:tc>
          <w:tcPr>
            <w:tcW w:w="9072" w:type="dxa"/>
            <w:gridSpan w:val="5"/>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数字化生态</w:t>
            </w:r>
          </w:p>
        </w:tc>
      </w:tr>
      <w:tr>
        <w:tblPrEx>
          <w:tblCellMar>
            <w:top w:w="0" w:type="dxa"/>
            <w:left w:w="108" w:type="dxa"/>
            <w:bottom w:w="0" w:type="dxa"/>
            <w:right w:w="108" w:type="dxa"/>
          </w:tblCellMar>
        </w:tblPrEx>
        <w:trPr>
          <w:gridAfter w:val="1"/>
          <w:wAfter w:w="3260" w:type="dxa"/>
          <w:trHeight w:val="280" w:hRule="atLeast"/>
        </w:trPr>
        <w:tc>
          <w:tcPr>
            <w:tcW w:w="1504" w:type="dxa"/>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营商环境</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数</w:t>
            </w:r>
            <w:r>
              <w:rPr>
                <w:rFonts w:hint="eastAsia" w:ascii="Times New Roman" w:hAnsi="Times New Roman" w:eastAsia="仿宋" w:cs="Times New Roman"/>
                <w:color w:val="auto"/>
                <w:kern w:val="0"/>
                <w:sz w:val="20"/>
                <w:szCs w:val="20"/>
                <w:highlight w:val="none"/>
                <w:lang w:eastAsia="zh-CN"/>
              </w:rPr>
              <w:t>字</w:t>
            </w:r>
            <w:r>
              <w:rPr>
                <w:rFonts w:ascii="Times New Roman" w:hAnsi="Times New Roman" w:eastAsia="仿宋" w:cs="Times New Roman"/>
                <w:color w:val="auto"/>
                <w:kern w:val="0"/>
                <w:sz w:val="20"/>
                <w:szCs w:val="20"/>
                <w:highlight w:val="none"/>
              </w:rPr>
              <w:t>产融平台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建立通川区经济监测指标库，构建营商环境监管专题库、政策库，建设营商环境监测和评价分析系统、经济发展相关指标体系、政策精准匹配及评估，汇聚展示和经济形势分析预判、营商环境监测、企业投融资于一体的</w:t>
            </w:r>
            <w:r>
              <w:rPr>
                <w:rFonts w:hint="eastAsia" w:ascii="Times New Roman" w:hAnsi="Times New Roman" w:eastAsia="仿宋" w:cs="Times New Roman"/>
                <w:color w:val="auto"/>
                <w:kern w:val="0"/>
                <w:sz w:val="20"/>
                <w:szCs w:val="20"/>
                <w:highlight w:val="none"/>
                <w:lang w:eastAsia="zh-CN"/>
              </w:rPr>
              <w:t>数字</w:t>
            </w:r>
            <w:r>
              <w:rPr>
                <w:rFonts w:ascii="Times New Roman" w:hAnsi="Times New Roman" w:eastAsia="仿宋" w:cs="Times New Roman"/>
                <w:color w:val="auto"/>
                <w:kern w:val="0"/>
                <w:sz w:val="20"/>
                <w:szCs w:val="20"/>
                <w:highlight w:val="none"/>
              </w:rPr>
              <w:t>产融平台。</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w:t>
            </w:r>
            <w:r>
              <w:rPr>
                <w:rFonts w:hint="eastAsia" w:ascii="Times New Roman" w:hAnsi="Times New Roman" w:eastAsia="仿宋" w:cs="Times New Roman"/>
                <w:color w:val="auto"/>
                <w:kern w:val="0"/>
                <w:sz w:val="22"/>
                <w:highlight w:val="none"/>
              </w:rPr>
              <w:t>5</w:t>
            </w:r>
            <w:r>
              <w:rPr>
                <w:rFonts w:ascii="Times New Roman" w:hAnsi="Times New Roman" w:eastAsia="仿宋" w:cs="Times New Roman"/>
                <w:color w:val="auto"/>
                <w:kern w:val="0"/>
                <w:sz w:val="22"/>
                <w:highlight w:val="none"/>
              </w:rPr>
              <w:t>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数字基础设施建设</w:t>
            </w:r>
          </w:p>
        </w:tc>
      </w:tr>
      <w:tr>
        <w:tblPrEx>
          <w:tblCellMar>
            <w:top w:w="0" w:type="dxa"/>
            <w:left w:w="108" w:type="dxa"/>
            <w:bottom w:w="0" w:type="dxa"/>
            <w:right w:w="108" w:type="dxa"/>
          </w:tblCellMar>
        </w:tblPrEx>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新技术基础设施建设</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通川区城乡人工智能平台建设</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搭通川区城乡人工智能平台，开放算法和模型，完善人工智能算法开放体系，着力推进“人工智能+场景”在重点行业的示范应用，沉淀各类场景的语音识别、图像和视频识别等人工智能能力。</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新型数字基础设施</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时空地理信息平台建设项目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搭建全区集约统一的时空地理信息平台，整合各行业单位的地理空间数据，建立城区范围高精度遥感及三维建模数据，形成集二维、三维、遥感影像、倾斜摄影等多种数据格式的高清晰度时空地理信息平台，为通川的发展规划、民生保障、政府管理、应急指挥等应用提供地理信息共享服务。</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2024年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区自然资源局</w:t>
            </w:r>
          </w:p>
        </w:tc>
      </w:tr>
      <w:tr>
        <w:tblPrEx>
          <w:tblCellMar>
            <w:top w:w="0" w:type="dxa"/>
            <w:left w:w="108" w:type="dxa"/>
            <w:bottom w:w="0" w:type="dxa"/>
            <w:right w:w="108" w:type="dxa"/>
          </w:tblCellMar>
        </w:tblPrEx>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第三阶段（202</w:t>
            </w:r>
            <w:r>
              <w:rPr>
                <w:rFonts w:hint="eastAsia" w:ascii="Times New Roman" w:hAnsi="Times New Roman" w:eastAsia="仿宋" w:cs="Times New Roman"/>
                <w:b/>
                <w:bCs/>
                <w:color w:val="auto"/>
                <w:kern w:val="0"/>
                <w:sz w:val="22"/>
                <w:highlight w:val="none"/>
              </w:rPr>
              <w:t>4</w:t>
            </w:r>
            <w:r>
              <w:rPr>
                <w:rFonts w:ascii="Times New Roman" w:hAnsi="Times New Roman" w:eastAsia="仿宋" w:cs="Times New Roman"/>
                <w:b/>
                <w:bCs/>
                <w:color w:val="auto"/>
                <w:kern w:val="0"/>
                <w:sz w:val="22"/>
                <w:highlight w:val="none"/>
              </w:rPr>
              <w:t xml:space="preserve"> ~</w:t>
            </w:r>
            <w:r>
              <w:rPr>
                <w:rFonts w:hint="eastAsia" w:ascii="Times New Roman" w:hAnsi="Times New Roman" w:eastAsia="仿宋" w:cs="Times New Roman"/>
                <w:b/>
                <w:bCs/>
                <w:color w:val="auto"/>
                <w:kern w:val="0"/>
                <w:sz w:val="22"/>
                <w:highlight w:val="none"/>
              </w:rPr>
              <w:t>2025</w:t>
            </w:r>
            <w:r>
              <w:rPr>
                <w:rFonts w:ascii="Times New Roman" w:hAnsi="Times New Roman" w:eastAsia="仿宋" w:cs="Times New Roman"/>
                <w:b/>
                <w:bCs/>
                <w:color w:val="auto"/>
                <w:kern w:val="0"/>
                <w:sz w:val="22"/>
                <w:highlight w:val="none"/>
              </w:rPr>
              <w:t>年）：智能引领、全面提升</w:t>
            </w:r>
          </w:p>
        </w:tc>
      </w:tr>
      <w:tr>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数字产业化</w:t>
            </w:r>
          </w:p>
        </w:tc>
      </w:tr>
      <w:tr>
        <w:tblPrEx>
          <w:tblCellMar>
            <w:top w:w="0" w:type="dxa"/>
            <w:left w:w="108" w:type="dxa"/>
            <w:bottom w:w="0" w:type="dxa"/>
            <w:right w:w="108" w:type="dxa"/>
          </w:tblCellMar>
        </w:tblPrEx>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信息通信与新媒体产业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平台经济产业孵化</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推动建设工业、农业、旅游等产业综合服务平台，加强本地出行平台、生活服务平台、直播娱乐平台等各类网络平台建设及管理。提升新兴业态的招引力度和培育力度，力争与“阿里巴巴”“美团”“快手”“字节跳动”“京东”“携程网”“去哪儿”等知名网络平台企业达成合作协议，推进协同共治与项目落地。扩大区内电商产品销售规模，以更好的营商环境服务平台经济产业。</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新兴数字产业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区块链行业应用拓展</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以区块链应用需求为引导，积极拓宽区块链在公共服务、金融征信、特色产业等领域的应用场景，建设并推广在数据共享开放、数字档案管理、身份认证、供应链金融、保险、产品溯源、市场监管等方面的区块链创新示范应用。</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产业数字化</w:t>
            </w:r>
          </w:p>
        </w:tc>
      </w:tr>
      <w:tr>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rPr>
              <w:t>工业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园区惠企平台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建立园区企业数据库、高端人才和用工数据库等主题数据库，应用大数据技术，分析园区产业情况，智能匹配和推送招商政策等信息。</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1504" w:type="dxa"/>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rPr>
              <w:t>农业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华文仿宋" w:hAnsi="华文仿宋" w:eastAsia="华文仿宋"/>
                <w:color w:val="auto"/>
                <w:szCs w:val="21"/>
                <w:highlight w:val="none"/>
              </w:rPr>
              <w:t>通川区数字三农项目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华文仿宋" w:hAnsi="华文仿宋" w:eastAsia="华文仿宋"/>
                <w:color w:val="auto"/>
                <w:szCs w:val="21"/>
                <w:highlight w:val="none"/>
              </w:rPr>
              <w:t>前端建设三农军情室、通川三农数字星空；中端建设空天地一体化管理平台、物联网平台、病虫害监测平台、全产业链大数据采集平台；后端新开发建设全产业链大数据分析平台、全产业链大数据服务应用平台、区块链防伪追溯云平台等，实现通川三农数字化管理。</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区农业农村局</w:t>
            </w:r>
          </w:p>
        </w:tc>
      </w:tr>
      <w:tr>
        <w:trPr>
          <w:gridAfter w:val="1"/>
          <w:wAfter w:w="3260" w:type="dxa"/>
          <w:trHeight w:val="280" w:hRule="atLeast"/>
        </w:trPr>
        <w:tc>
          <w:tcPr>
            <w:tcW w:w="1504" w:type="dxa"/>
            <w:tcBorders>
              <w:top w:val="single" w:color="auto" w:sz="4" w:space="0"/>
              <w:left w:val="single" w:color="auto" w:sz="4" w:space="0"/>
              <w:right w:val="single" w:color="auto" w:sz="4" w:space="0"/>
            </w:tcBorders>
            <w:shd w:val="clear" w:color="auto" w:fill="auto"/>
            <w:vAlign w:val="center"/>
          </w:tcPr>
          <w:p>
            <w:pPr>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服务业</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车货匹配平台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大力发展“互联网+高效物流”，推动为社会大众提供车货信息平台采集与发布、数据交换、车辆定位、配送管理、车辆调配等综合服务，支持构建地方信息平台建设。</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区口岸物流中心</w:t>
            </w:r>
          </w:p>
        </w:tc>
      </w:tr>
      <w:tr>
        <w:tblPrEx>
          <w:tblCellMar>
            <w:top w:w="0" w:type="dxa"/>
            <w:left w:w="108" w:type="dxa"/>
            <w:bottom w:w="0" w:type="dxa"/>
            <w:right w:w="108" w:type="dxa"/>
          </w:tblCellMar>
        </w:tblPrEx>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数字化治理</w:t>
            </w:r>
          </w:p>
        </w:tc>
      </w:tr>
      <w:tr>
        <w:trPr>
          <w:gridAfter w:val="1"/>
          <w:wAfter w:w="3260" w:type="dxa"/>
          <w:trHeight w:val="1887"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数字政府</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信用体系建设</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构建和完善信用信息数据库、公共信用信息平台、信用信息共享平台，建立多部门、多企业联动工作机制和监管协调机制，提高社会自治能力与诚信水平。</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区发改局</w:t>
            </w:r>
          </w:p>
        </w:tc>
      </w:tr>
      <w:tr>
        <w:tblPrEx>
          <w:tblCellMar>
            <w:top w:w="0" w:type="dxa"/>
            <w:left w:w="108" w:type="dxa"/>
            <w:bottom w:w="0" w:type="dxa"/>
            <w:right w:w="108" w:type="dxa"/>
          </w:tblCellMar>
        </w:tblPrEx>
        <w:trPr>
          <w:gridAfter w:val="1"/>
          <w:wAfter w:w="3260" w:type="dxa"/>
          <w:trHeight w:val="280" w:hRule="atLeast"/>
        </w:trPr>
        <w:tc>
          <w:tcPr>
            <w:tcW w:w="1504" w:type="dxa"/>
            <w:vMerge w:val="restart"/>
            <w:tcBorders>
              <w:left w:val="single" w:color="auto" w:sz="4" w:space="0"/>
              <w:right w:val="single" w:color="auto" w:sz="4" w:space="0"/>
            </w:tcBorders>
            <w:shd w:val="clear" w:color="auto" w:fill="auto"/>
            <w:vAlign w:val="center"/>
          </w:tcPr>
          <w:p>
            <w:pPr>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城乡协同治理</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智慧城市技术创新中心</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建设智慧城市信息库，构建开源开放、共享协同为一体的创新服务平台。支持各行业的企业建立行业数据资源库，为工业、金融、医疗、交通等领域建立高质量的训练资源库、标准数据集、云服务平台和项目发布平台，沉淀各类场景的语音识别、图像和视频识别等人工智能能力，开放算法和模型。</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社区信息模型（CIM）平台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实行基层事务数字化、精益化统筹管理，建设社区信息模型（CIM）平台，推进社区智慧服务全覆盖，实现政府</w:t>
            </w:r>
            <w:r>
              <w:rPr>
                <w:rFonts w:hint="eastAsia" w:ascii="Times New Roman" w:hAnsi="Times New Roman" w:eastAsia="仿宋" w:cs="Times New Roman"/>
                <w:color w:val="auto"/>
                <w:kern w:val="0"/>
                <w:sz w:val="20"/>
                <w:szCs w:val="20"/>
                <w:highlight w:val="none"/>
                <w:lang w:eastAsia="zh-CN"/>
              </w:rPr>
              <w:t>－</w:t>
            </w:r>
            <w:r>
              <w:rPr>
                <w:rFonts w:ascii="Times New Roman" w:hAnsi="Times New Roman" w:eastAsia="仿宋" w:cs="Times New Roman"/>
                <w:color w:val="auto"/>
                <w:kern w:val="0"/>
                <w:sz w:val="20"/>
                <w:szCs w:val="20"/>
                <w:highlight w:val="none"/>
              </w:rPr>
              <w:t>物业</w:t>
            </w:r>
            <w:r>
              <w:rPr>
                <w:rFonts w:hint="eastAsia" w:ascii="Times New Roman" w:hAnsi="Times New Roman" w:eastAsia="仿宋" w:cs="Times New Roman"/>
                <w:color w:val="auto"/>
                <w:kern w:val="0"/>
                <w:sz w:val="20"/>
                <w:szCs w:val="20"/>
                <w:highlight w:val="none"/>
                <w:lang w:eastAsia="zh-CN"/>
              </w:rPr>
              <w:t>－</w:t>
            </w:r>
            <w:r>
              <w:rPr>
                <w:rFonts w:ascii="Times New Roman" w:hAnsi="Times New Roman" w:eastAsia="仿宋" w:cs="Times New Roman"/>
                <w:color w:val="auto"/>
                <w:kern w:val="0"/>
                <w:sz w:val="20"/>
                <w:szCs w:val="20"/>
                <w:highlight w:val="none"/>
              </w:rPr>
              <w:t>居民三端协同治理，打造城市数字化治理创新落地单元。</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区住建局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智慧消防</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综合运用物联网、云计算、大数据、移动互联网等新兴信息技术，建设智慧消防远程物联管理平台</w:t>
            </w:r>
            <w:r>
              <w:rPr>
                <w:rFonts w:ascii="Times New Roman" w:hAnsi="Times New Roman" w:eastAsia="仿宋" w:cs="Times New Roman"/>
                <w:color w:val="auto"/>
                <w:kern w:val="0"/>
                <w:sz w:val="20"/>
                <w:szCs w:val="20"/>
                <w:highlight w:val="none"/>
              </w:rPr>
              <w:t xml:space="preserve"> ，构建消防设施维保巡检、社会火灾隐患预警、远程控制、智能识别、培训演练、监督管理、分析研判、应急指挥全流程的现代消防警务勤务管理体系。推进信息化与消防业务工作的深度融合，全面提升社会火灾防控能力、灭火应急救援能力和队伍管理水平，从而实现“传统消防”向“现代消防”的转变。</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区应急管理局、区消防救援大队</w:t>
            </w:r>
          </w:p>
        </w:tc>
      </w:tr>
      <w:tr>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智慧环保</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rPr>
                <w:color w:val="auto"/>
                <w:highlight w:val="none"/>
              </w:rPr>
            </w:pPr>
            <w:r>
              <w:rPr>
                <w:rFonts w:hint="eastAsia" w:ascii="Times New Roman" w:hAnsi="Times New Roman" w:eastAsia="仿宋" w:cs="Times New Roman"/>
                <w:color w:val="auto"/>
                <w:kern w:val="0"/>
                <w:sz w:val="20"/>
                <w:szCs w:val="20"/>
                <w:highlight w:val="none"/>
              </w:rPr>
              <w:t>利用智能监测设备和移动互联网，增加污染物在线监测种类、扩大监测范围，形成全天候、多层次的智能多源感知体系。建立基于大数据、云计算等信息技术的环境管理现代化系统，形成覆盖主要生态要素</w:t>
            </w:r>
          </w:p>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的大数据平台，实现生态环境质量、资源环境承载力、污染排放、风险源、环境执法、环评管理、专家库等数据整合集成、动态更新。</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区生态环境局</w:t>
            </w:r>
          </w:p>
        </w:tc>
      </w:tr>
      <w:tr>
        <w:tblPrEx>
          <w:tblCellMar>
            <w:top w:w="0" w:type="dxa"/>
            <w:left w:w="108" w:type="dxa"/>
            <w:bottom w:w="0" w:type="dxa"/>
            <w:right w:w="108" w:type="dxa"/>
          </w:tblCellMar>
        </w:tblPrEx>
        <w:trPr>
          <w:gridAfter w:val="1"/>
          <w:wAfter w:w="3260" w:type="dxa"/>
          <w:trHeight w:val="5165" w:hRule="atLeast"/>
        </w:trPr>
        <w:tc>
          <w:tcPr>
            <w:tcW w:w="1504" w:type="dxa"/>
            <w:vMerge w:val="continue"/>
            <w:tcBorders>
              <w:left w:val="single" w:color="auto" w:sz="4" w:space="0"/>
              <w:right w:val="single" w:color="auto" w:sz="4" w:space="0"/>
            </w:tcBorders>
            <w:shd w:val="clear" w:color="auto" w:fill="auto"/>
            <w:vAlign w:val="center"/>
          </w:tcPr>
          <w:p>
            <w:pPr>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通川区罗江柳家坝城市新区智慧能源项目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柳家坝城市新区智慧能源项目分为物理层、信息层和应用层三方面。物理层建设任务主要包括电动汽车充电设施、氢能产业链、电网数字化建设、管廊、站址等供能设施一体化，以及清洁能源产业智能化生产；信息层任务主要是建设能源大数据平台，强化电力、天然气、热力管网等各类能源网络信息系统的互联互通和数据共享；应用层任务主要提供智慧用能服务，包括能耗监测平台和监测终端建设，促进不同能源形态协同转化，“能源</w:t>
            </w:r>
            <w:r>
              <w:rPr>
                <w:rFonts w:ascii="Times New Roman" w:hAnsi="Times New Roman" w:eastAsia="仿宋" w:cs="Times New Roman"/>
                <w:color w:val="auto"/>
                <w:kern w:val="0"/>
                <w:sz w:val="20"/>
                <w:szCs w:val="20"/>
                <w:highlight w:val="none"/>
              </w:rPr>
              <w:t>+”多种场景应用等，实现新区智慧能源管理。</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区经信局</w:t>
            </w:r>
          </w:p>
        </w:tc>
      </w:tr>
      <w:tr>
        <w:trPr>
          <w:gridAfter w:val="1"/>
          <w:wAfter w:w="3260" w:type="dxa"/>
          <w:trHeight w:val="280" w:hRule="atLeast"/>
        </w:trPr>
        <w:tc>
          <w:tcPr>
            <w:tcW w:w="1504" w:type="dxa"/>
            <w:vMerge w:val="restart"/>
            <w:tcBorders>
              <w:top w:val="single" w:color="auto" w:sz="4" w:space="0"/>
              <w:left w:val="single" w:color="auto" w:sz="4" w:space="0"/>
              <w:right w:val="single" w:color="auto" w:sz="4" w:space="0"/>
            </w:tcBorders>
            <w:shd w:val="clear" w:color="auto" w:fill="auto"/>
            <w:vAlign w:val="center"/>
          </w:tcPr>
          <w:p>
            <w:pPr>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民生服务</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教育综合管理决策平台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基于大数据、AI、区块链等数字技术，实现教育教学评测与管理智能化，提供学生学习成长监测与干预全流程跟踪，创新教育教学模式。</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区教科局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5G全息互动课堂平台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基于5G+全息技术的智慧授课，是网络课堂、在线互动课堂、网络联校的2.0版本，解决教育资源均衡化</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r>
              <w:rPr>
                <w:rFonts w:hint="eastAsia" w:ascii="Times New Roman" w:hAnsi="Times New Roman" w:eastAsia="仿宋" w:cs="Times New Roman"/>
                <w:color w:val="auto"/>
                <w:kern w:val="0"/>
                <w:sz w:val="22"/>
                <w:highlight w:val="none"/>
                <w:lang w:eastAsia="zh-CN"/>
              </w:rPr>
              <w:t>～</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区教科局</w:t>
            </w:r>
          </w:p>
        </w:tc>
      </w:tr>
      <w:tr>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通川经开区医药产业公共服务平台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rPr>
              <w:t>打造川东医药产业公共服务平台，建设“核心技术、研发创新、中试孵化、规模生产、人才培育、产业服务”的现代创新体系，为达州市医药行业研发创新提供有力支撑。</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区卫健局</w:t>
            </w:r>
          </w:p>
        </w:tc>
      </w:tr>
      <w:tr>
        <w:tblPrEx>
          <w:tblCellMar>
            <w:top w:w="0" w:type="dxa"/>
            <w:left w:w="108" w:type="dxa"/>
            <w:bottom w:w="0" w:type="dxa"/>
            <w:right w:w="108" w:type="dxa"/>
          </w:tblCellMar>
        </w:tblPrEx>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智慧康养</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推广发展智慧健康养老服务，搭建社区健康小屋，应用可穿戴设备，重点发展慢性病管理、互联网健康咨询、生活照护、家庭医生等服务；支持医疗卫生机构与养老机构建立合作机制，着力推动在线常见病和慢性病复诊、远程会诊、远程影像诊断等服务，加快构建完善的医养结合服务体系。</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区卫健局</w:t>
            </w:r>
          </w:p>
        </w:tc>
      </w:tr>
      <w:tr>
        <w:trPr>
          <w:gridAfter w:val="1"/>
          <w:wAfter w:w="3260" w:type="dxa"/>
          <w:trHeight w:val="280" w:hRule="atLeast"/>
        </w:trPr>
        <w:tc>
          <w:tcPr>
            <w:tcW w:w="150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健康养老公共服务云平台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搭建健康养老公共服务平台，为老年人提供多样化养老服务。支持各类养老服务市场主体，开发和应用信息化、智能化、智慧化、数字化养老产品和服务。</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区民政局</w:t>
            </w:r>
          </w:p>
        </w:tc>
      </w:tr>
      <w:tr>
        <w:tblPrEx>
          <w:tblCellMar>
            <w:top w:w="0" w:type="dxa"/>
            <w:left w:w="108" w:type="dxa"/>
            <w:bottom w:w="0" w:type="dxa"/>
            <w:right w:w="108" w:type="dxa"/>
          </w:tblCellMar>
        </w:tblPrEx>
        <w:trPr>
          <w:gridAfter w:val="1"/>
          <w:wAfter w:w="3260" w:type="dxa"/>
          <w:trHeight w:val="280" w:hRule="atLeast"/>
        </w:trPr>
        <w:tc>
          <w:tcPr>
            <w:tcW w:w="9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b/>
                <w:bCs/>
                <w:color w:val="auto"/>
                <w:kern w:val="0"/>
                <w:sz w:val="22"/>
                <w:highlight w:val="none"/>
              </w:rPr>
              <w:t>数字基础设施建设</w:t>
            </w:r>
          </w:p>
        </w:tc>
      </w:tr>
      <w:tr>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新技术基础设施</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区块链公共服务平台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以自主可控底层平台为基础，推进区块链公共服务平台建设，围绕公共服务、金融征信、产品监管追溯、电商物流等特色产业领域，打造一批具有全市乃至全省影响力的区块链开放服务平台。</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区经信局</w:t>
            </w:r>
          </w:p>
        </w:tc>
      </w:tr>
      <w:tr>
        <w:tblPrEx>
          <w:tblCellMar>
            <w:top w:w="0" w:type="dxa"/>
            <w:left w:w="108" w:type="dxa"/>
            <w:bottom w:w="0" w:type="dxa"/>
            <w:right w:w="108" w:type="dxa"/>
          </w:tblCellMar>
        </w:tblPrEx>
        <w:trPr>
          <w:gridAfter w:val="1"/>
          <w:wAfter w:w="3260" w:type="dxa"/>
          <w:trHeight w:val="280" w:hRule="atLeast"/>
        </w:trPr>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数字经济安全体系</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安全态势感知平台</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sz w:val="20"/>
                <w:szCs w:val="20"/>
                <w:highlight w:val="none"/>
              </w:rPr>
              <w:t>建设支撑通川区安全场景的安全态势感知平台，基于威胁情报、知识库AI、安全专家和全网安全大数据，实现对城市基础云环境安全、政务网站安全、终端安全、应用数据安全态势监控的全覆盖，技术与管理并重共同实现安全运营。</w:t>
            </w:r>
          </w:p>
        </w:tc>
        <w:tc>
          <w:tcPr>
            <w:tcW w:w="11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2025年</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区委网信办、区经信局</w:t>
            </w:r>
          </w:p>
        </w:tc>
      </w:tr>
      <w:bookmarkEnd w:id="139"/>
    </w:tbl>
    <w:p>
      <w:pPr>
        <w:spacing w:line="20" w:lineRule="exact"/>
        <w:rPr>
          <w:rFonts w:ascii="仿宋" w:hAnsi="仿宋" w:eastAsia="仿宋" w:cs="仿宋"/>
          <w:color w:val="auto"/>
          <w:szCs w:val="21"/>
          <w:highlight w:val="none"/>
        </w:rPr>
      </w:pPr>
    </w:p>
    <w:p>
      <w:pPr>
        <w:rPr>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黑体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92311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44C45"/>
    <w:multiLevelType w:val="singleLevel"/>
    <w:tmpl w:val="B7344C45"/>
    <w:lvl w:ilvl="0" w:tentative="0">
      <w:start w:val="4"/>
      <w:numFmt w:val="chineseCounting"/>
      <w:suff w:val="nothing"/>
      <w:lvlText w:val="（%1）"/>
      <w:lvlJc w:val="left"/>
      <w:rPr>
        <w:rFonts w:hint="eastAsia"/>
      </w:rPr>
    </w:lvl>
  </w:abstractNum>
  <w:abstractNum w:abstractNumId="1">
    <w:nsid w:val="EFAD3149"/>
    <w:multiLevelType w:val="singleLevel"/>
    <w:tmpl w:val="EFAD3149"/>
    <w:lvl w:ilvl="0" w:tentative="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ZGE5ODljZjcyMTdlZjRmZjJkMzdjZjcxZDVjOGIifQ=="/>
  </w:docVars>
  <w:rsids>
    <w:rsidRoot w:val="0FA330D6"/>
    <w:rsid w:val="0FA330D6"/>
    <w:rsid w:val="21EA1D42"/>
    <w:rsid w:val="2DB756D1"/>
    <w:rsid w:val="421A5F66"/>
    <w:rsid w:val="52FB1641"/>
    <w:rsid w:val="54043D65"/>
    <w:rsid w:val="54401CB8"/>
    <w:rsid w:val="54AB2576"/>
    <w:rsid w:val="58F63C1E"/>
    <w:rsid w:val="63DA28CD"/>
    <w:rsid w:val="69BA6807"/>
    <w:rsid w:val="77461A5C"/>
    <w:rsid w:val="7CFF3AC8"/>
    <w:rsid w:val="7D2B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华文仿宋"/>
      <w:b/>
      <w:bCs/>
      <w:kern w:val="44"/>
      <w:sz w:val="28"/>
      <w:szCs w:val="44"/>
    </w:rPr>
  </w:style>
  <w:style w:type="paragraph" w:styleId="3">
    <w:name w:val="heading 2"/>
    <w:basedOn w:val="1"/>
    <w:next w:val="1"/>
    <w:unhideWhenUsed/>
    <w:qFormat/>
    <w:uiPriority w:val="0"/>
    <w:pPr>
      <w:keepNext/>
      <w:keepLines/>
      <w:spacing w:before="260" w:after="260" w:line="416" w:lineRule="auto"/>
      <w:outlineLvl w:val="1"/>
    </w:pPr>
    <w:rPr>
      <w:rFonts w:eastAsia="华文仿宋" w:asciiTheme="majorHAnsi" w:hAnsiTheme="majorHAnsi" w:cstheme="majorBidi"/>
      <w:b/>
      <w:bCs/>
      <w:sz w:val="28"/>
      <w:szCs w:val="32"/>
    </w:rPr>
  </w:style>
  <w:style w:type="paragraph" w:styleId="4">
    <w:name w:val="heading 3"/>
    <w:basedOn w:val="1"/>
    <w:next w:val="1"/>
    <w:unhideWhenUsed/>
    <w:qFormat/>
    <w:uiPriority w:val="0"/>
    <w:pPr>
      <w:keepNext/>
      <w:keepLines/>
      <w:spacing w:before="260" w:after="260" w:line="416" w:lineRule="auto"/>
      <w:outlineLvl w:val="2"/>
    </w:pPr>
    <w:rPr>
      <w:rFonts w:ascii="华文仿宋" w:hAnsi="华文仿宋" w:eastAsia="华文仿宋"/>
      <w:b/>
      <w:bCs/>
      <w:sz w:val="30"/>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toc 3"/>
    <w:basedOn w:val="1"/>
    <w:next w:val="1"/>
    <w:unhideWhenUsed/>
    <w:qFormat/>
    <w:uiPriority w:val="39"/>
    <w:pPr>
      <w:tabs>
        <w:tab w:val="left" w:pos="1680"/>
        <w:tab w:val="right" w:leader="dot" w:pos="8296"/>
      </w:tabs>
      <w:adjustRightInd w:val="0"/>
      <w:snapToGrid w:val="0"/>
      <w:spacing w:line="276" w:lineRule="auto"/>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pPr>
      <w:tabs>
        <w:tab w:val="left" w:pos="840"/>
        <w:tab w:val="right" w:leader="dot" w:pos="8296"/>
      </w:tabs>
      <w:adjustRightInd w:val="0"/>
      <w:snapToGrid w:val="0"/>
      <w:spacing w:line="276" w:lineRule="auto"/>
      <w:jc w:val="left"/>
    </w:pPr>
  </w:style>
  <w:style w:type="paragraph" w:styleId="9">
    <w:name w:val="toc 2"/>
    <w:basedOn w:val="1"/>
    <w:next w:val="1"/>
    <w:unhideWhenUsed/>
    <w:qFormat/>
    <w:uiPriority w:val="39"/>
    <w:pPr>
      <w:tabs>
        <w:tab w:val="left" w:pos="1260"/>
        <w:tab w:val="right" w:leader="dot" w:pos="8296"/>
      </w:tabs>
      <w:adjustRightInd w:val="0"/>
      <w:snapToGrid w:val="0"/>
      <w:spacing w:line="276" w:lineRule="auto"/>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
    <w:name w:val="fontstyle01"/>
    <w:qFormat/>
    <w:uiPriority w:val="0"/>
    <w:rPr>
      <w:rFonts w:ascii="仿宋" w:hAnsi="仿宋" w:eastAsia="仿宋"/>
      <w:color w:val="000000"/>
      <w:sz w:val="28"/>
    </w:rPr>
  </w:style>
  <w:style w:type="paragraph" w:customStyle="1" w:styleId="16">
    <w:name w:val="msolistparagraph"/>
    <w:basedOn w:val="1"/>
    <w:qFormat/>
    <w:uiPriority w:val="0"/>
    <w:pPr>
      <w:ind w:firstLine="420" w:firstLineChars="200"/>
    </w:pPr>
    <w:rPr>
      <w:rFonts w:hint="eastAsia" w:ascii="等线" w:hAnsi="等线" w:eastAsia="宋体" w:cs="Times New Roman"/>
    </w:rPr>
  </w:style>
  <w:style w:type="character" w:customStyle="1" w:styleId="17">
    <w:name w:val="fontstyle31"/>
    <w:basedOn w:val="12"/>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30098</Words>
  <Characters>30780</Characters>
  <Lines>0</Lines>
  <Paragraphs>0</Paragraphs>
  <TotalTime>2</TotalTime>
  <ScaleCrop>false</ScaleCrop>
  <LinksUpToDate>false</LinksUpToDate>
  <CharactersWithSpaces>30983</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2021-11-16T12:39:00Z</dcterms:created>
  <dc:creator>爱兮贝</dc:creator>
  <cp:lastModifiedBy>user</cp:lastModifiedBy>
  <dcterms:modified xsi:type="dcterms:W3CDTF">2023-08-28T17:04:26Z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98EBEB3308E540C787B126E271FE56A8</vt:lpwstr>
  </property>
</Properties>
</file>