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color w:val="000000" w:themeColor="text1"/>
          <w:sz w:val="36"/>
          <w:szCs w:val="36"/>
          <w:highlight w:val="none"/>
          <w14:textFill>
            <w14:solidFill>
              <w14:schemeClr w14:val="tx1"/>
            </w14:solidFill>
          </w14:textFill>
        </w:rPr>
      </w:pPr>
      <w:bookmarkStart w:id="0" w:name="_Hlk57883707"/>
    </w:p>
    <w:p>
      <w:pPr>
        <w:rPr>
          <w:rFonts w:eastAsia="仿宋_GB2312"/>
          <w:color w:val="000000" w:themeColor="text1"/>
          <w:sz w:val="36"/>
          <w:szCs w:val="36"/>
          <w:highlight w:val="none"/>
          <w14:textFill>
            <w14:solidFill>
              <w14:schemeClr w14:val="tx1"/>
            </w14:solidFill>
          </w14:textFill>
        </w:rPr>
      </w:pPr>
    </w:p>
    <w:p>
      <w:pPr>
        <w:rPr>
          <w:rFonts w:eastAsia="仿宋_GB2312"/>
          <w:color w:val="000000" w:themeColor="text1"/>
          <w:sz w:val="36"/>
          <w:szCs w:val="36"/>
          <w:highlight w:val="none"/>
          <w14:textFill>
            <w14:solidFill>
              <w14:schemeClr w14:val="tx1"/>
            </w14:solidFill>
          </w14:textFill>
        </w:rPr>
      </w:pPr>
    </w:p>
    <w:bookmarkEnd w:id="0"/>
    <w:p>
      <w:pPr>
        <w:jc w:val="center"/>
        <w:rPr>
          <w:b/>
          <w:bCs/>
          <w:color w:val="000000" w:themeColor="text1"/>
          <w:sz w:val="72"/>
          <w:szCs w:val="72"/>
          <w:highlight w:val="none"/>
          <w14:textFill>
            <w14:solidFill>
              <w14:schemeClr w14:val="tx1"/>
            </w14:solidFill>
          </w14:textFill>
        </w:rPr>
      </w:pPr>
      <w:r>
        <w:rPr>
          <w:b/>
          <w:bCs/>
          <w:color w:val="000000" w:themeColor="text1"/>
          <w:sz w:val="72"/>
          <w:szCs w:val="72"/>
          <w:highlight w:val="none"/>
          <w14:textFill>
            <w14:solidFill>
              <w14:schemeClr w14:val="tx1"/>
            </w14:solidFill>
          </w14:textFill>
        </w:rPr>
        <w:t>建设项目环境影响报告表</w:t>
      </w:r>
    </w:p>
    <w:p>
      <w:pPr>
        <w:adjustRightInd w:val="0"/>
        <w:snapToGrid w:val="0"/>
        <w:spacing w:before="192" w:beforeLines="80" w:line="360" w:lineRule="auto"/>
        <w:jc w:val="center"/>
        <w:rPr>
          <w:b/>
          <w:color w:val="000000" w:themeColor="text1"/>
          <w:sz w:val="48"/>
          <w:szCs w:val="48"/>
          <w:highlight w:val="none"/>
          <w14:textFill>
            <w14:solidFill>
              <w14:schemeClr w14:val="tx1"/>
            </w14:solidFill>
          </w14:textFill>
        </w:rPr>
      </w:pPr>
      <w:r>
        <w:rPr>
          <w:b/>
          <w:color w:val="000000" w:themeColor="text1"/>
          <w:sz w:val="48"/>
          <w:szCs w:val="48"/>
          <w:highlight w:val="none"/>
          <w14:textFill>
            <w14:solidFill>
              <w14:schemeClr w14:val="tx1"/>
            </w14:solidFill>
          </w14:textFill>
        </w:rPr>
        <w:t>（生态影响类）</w:t>
      </w:r>
    </w:p>
    <w:p>
      <w:pPr>
        <w:pStyle w:val="56"/>
        <w:ind w:firstLine="198" w:firstLineChars="41"/>
        <w:jc w:val="center"/>
        <w:rPr>
          <w:b/>
          <w:color w:val="000000" w:themeColor="text1"/>
          <w:kern w:val="2"/>
          <w:sz w:val="48"/>
          <w:szCs w:val="48"/>
          <w:highlight w:val="none"/>
          <w14:textFill>
            <w14:solidFill>
              <w14:schemeClr w14:val="tx1"/>
            </w14:solidFill>
          </w14:textFill>
        </w:rPr>
      </w:pPr>
      <w:bookmarkStart w:id="1" w:name="_Hlk57883728"/>
    </w:p>
    <w:p>
      <w:pPr>
        <w:jc w:val="center"/>
        <w:rPr>
          <w:rFonts w:eastAsia="仿宋"/>
          <w:color w:val="000000" w:themeColor="text1"/>
          <w:sz w:val="52"/>
          <w:szCs w:val="52"/>
          <w:highlight w:val="none"/>
          <w14:textFill>
            <w14:solidFill>
              <w14:schemeClr w14:val="tx1"/>
            </w14:solidFill>
          </w14:textFill>
        </w:rPr>
      </w:pPr>
    </w:p>
    <w:p>
      <w:pPr>
        <w:ind w:firstLine="1040"/>
        <w:rPr>
          <w:rFonts w:eastAsia="仿宋"/>
          <w:color w:val="000000" w:themeColor="text1"/>
          <w:sz w:val="44"/>
          <w:szCs w:val="44"/>
          <w:highlight w:val="none"/>
          <w14:textFill>
            <w14:solidFill>
              <w14:schemeClr w14:val="tx1"/>
            </w14:solidFill>
          </w14:textFill>
        </w:rPr>
      </w:pPr>
    </w:p>
    <w:p>
      <w:pPr>
        <w:ind w:firstLine="1040"/>
        <w:rPr>
          <w:rFonts w:eastAsia="仿宋"/>
          <w:color w:val="000000" w:themeColor="text1"/>
          <w:sz w:val="44"/>
          <w:szCs w:val="44"/>
          <w:highlight w:val="none"/>
          <w14:textFill>
            <w14:solidFill>
              <w14:schemeClr w14:val="tx1"/>
            </w14:solidFill>
          </w14:textFill>
        </w:rPr>
      </w:pPr>
    </w:p>
    <w:p>
      <w:pPr>
        <w:ind w:firstLine="1040"/>
        <w:rPr>
          <w:rFonts w:eastAsia="仿宋"/>
          <w:color w:val="000000" w:themeColor="text1"/>
          <w:sz w:val="44"/>
          <w:szCs w:val="44"/>
          <w:highlight w:val="none"/>
          <w14:textFill>
            <w14:solidFill>
              <w14:schemeClr w14:val="tx1"/>
            </w14:solidFill>
          </w14:textFill>
        </w:rPr>
      </w:pPr>
    </w:p>
    <w:p>
      <w:pPr>
        <w:ind w:firstLine="1040"/>
        <w:rPr>
          <w:rFonts w:eastAsia="仿宋"/>
          <w:color w:val="000000" w:themeColor="text1"/>
          <w:sz w:val="44"/>
          <w:szCs w:val="44"/>
          <w:highlight w:val="none"/>
          <w14:textFill>
            <w14:solidFill>
              <w14:schemeClr w14:val="tx1"/>
            </w14:solidFill>
          </w14:textFill>
        </w:rPr>
      </w:pPr>
    </w:p>
    <w:p>
      <w:pPr>
        <w:ind w:firstLine="1040"/>
        <w:rPr>
          <w:rFonts w:eastAsia="仿宋"/>
          <w:color w:val="000000" w:themeColor="text1"/>
          <w:sz w:val="44"/>
          <w:szCs w:val="44"/>
          <w:highlight w:val="none"/>
          <w14:textFill>
            <w14:solidFill>
              <w14:schemeClr w14:val="tx1"/>
            </w14:solidFill>
          </w14:textFill>
        </w:rPr>
      </w:pPr>
    </w:p>
    <w:p>
      <w:pPr>
        <w:ind w:firstLine="1040"/>
        <w:rPr>
          <w:rFonts w:eastAsia="仿宋"/>
          <w:color w:val="000000" w:themeColor="text1"/>
          <w:sz w:val="44"/>
          <w:szCs w:val="44"/>
          <w:highlight w:val="none"/>
          <w14:textFill>
            <w14:solidFill>
              <w14:schemeClr w14:val="tx1"/>
            </w14:solidFill>
          </w14:textFill>
        </w:rPr>
      </w:pPr>
    </w:p>
    <w:tbl>
      <w:tblPr>
        <w:tblStyle w:val="24"/>
        <w:tblW w:w="0" w:type="auto"/>
        <w:jc w:val="center"/>
        <w:tblLayout w:type="autofit"/>
        <w:tblCellMar>
          <w:top w:w="0" w:type="dxa"/>
          <w:left w:w="108" w:type="dxa"/>
          <w:bottom w:w="0" w:type="dxa"/>
          <w:right w:w="108" w:type="dxa"/>
        </w:tblCellMar>
      </w:tblPr>
      <w:tblGrid>
        <w:gridCol w:w="2802"/>
        <w:gridCol w:w="5495"/>
      </w:tblGrid>
      <w:tr>
        <w:tblPrEx>
          <w:tblCellMar>
            <w:top w:w="0" w:type="dxa"/>
            <w:left w:w="108" w:type="dxa"/>
            <w:bottom w:w="0" w:type="dxa"/>
            <w:right w:w="108" w:type="dxa"/>
          </w:tblCellMar>
        </w:tblPrEx>
        <w:trPr>
          <w:trHeight w:val="846" w:hRule="atLeast"/>
          <w:jc w:val="center"/>
        </w:trPr>
        <w:tc>
          <w:tcPr>
            <w:tcW w:w="2802" w:type="dxa"/>
            <w:shd w:val="clear" w:color="auto" w:fill="auto"/>
          </w:tcPr>
          <w:p>
            <w:pPr>
              <w:keepNext w:val="0"/>
              <w:keepLines w:val="0"/>
              <w:suppressLineNumbers w:val="0"/>
              <w:spacing w:before="0" w:beforeAutospacing="0" w:after="0" w:afterAutospacing="0"/>
              <w:ind w:left="0" w:right="0"/>
              <w:rPr>
                <w:rFonts w:eastAsia="仿宋"/>
                <w:color w:val="000000" w:themeColor="text1"/>
                <w:sz w:val="44"/>
                <w:szCs w:val="44"/>
                <w:highlight w:val="none"/>
                <w14:textFill>
                  <w14:solidFill>
                    <w14:schemeClr w14:val="tx1"/>
                  </w14:solidFill>
                </w14:textFill>
              </w:rPr>
            </w:pPr>
            <w:r>
              <w:rPr>
                <w:b/>
                <w:bCs/>
                <w:color w:val="000000" w:themeColor="text1"/>
                <w:sz w:val="32"/>
                <w:szCs w:val="32"/>
                <w:highlight w:val="none"/>
                <w14:textFill>
                  <w14:solidFill>
                    <w14:schemeClr w14:val="tx1"/>
                  </w14:solidFill>
                </w14:textFill>
              </w:rPr>
              <w:t>项</w:t>
            </w:r>
            <w:r>
              <w:rPr>
                <w:rFonts w:hint="eastAsia"/>
                <w:b/>
                <w:bCs/>
                <w:color w:val="000000" w:themeColor="text1"/>
                <w:sz w:val="32"/>
                <w:szCs w:val="32"/>
                <w:highlight w:val="none"/>
                <w:lang w:val="en-US" w:eastAsia="zh-CN"/>
                <w14:textFill>
                  <w14:solidFill>
                    <w14:schemeClr w14:val="tx1"/>
                  </w14:solidFill>
                </w14:textFill>
              </w:rPr>
              <w:t xml:space="preserve">   </w:t>
            </w:r>
            <w:r>
              <w:rPr>
                <w:b/>
                <w:bCs/>
                <w:color w:val="000000" w:themeColor="text1"/>
                <w:sz w:val="32"/>
                <w:szCs w:val="32"/>
                <w:highlight w:val="none"/>
                <w14:textFill>
                  <w14:solidFill>
                    <w14:schemeClr w14:val="tx1"/>
                  </w14:solidFill>
                </w14:textFill>
              </w:rPr>
              <w:t>目</w:t>
            </w:r>
            <w:r>
              <w:rPr>
                <w:rFonts w:hint="eastAsia"/>
                <w:b/>
                <w:bCs/>
                <w:color w:val="000000" w:themeColor="text1"/>
                <w:sz w:val="32"/>
                <w:szCs w:val="32"/>
                <w:highlight w:val="none"/>
                <w:lang w:val="en-US" w:eastAsia="zh-CN"/>
                <w14:textFill>
                  <w14:solidFill>
                    <w14:schemeClr w14:val="tx1"/>
                  </w14:solidFill>
                </w14:textFill>
              </w:rPr>
              <w:t xml:space="preserve">  </w:t>
            </w:r>
            <w:r>
              <w:rPr>
                <w:b/>
                <w:bCs/>
                <w:color w:val="000000" w:themeColor="text1"/>
                <w:sz w:val="32"/>
                <w:szCs w:val="32"/>
                <w:highlight w:val="none"/>
                <w14:textFill>
                  <w14:solidFill>
                    <w14:schemeClr w14:val="tx1"/>
                  </w14:solidFill>
                </w14:textFill>
              </w:rPr>
              <w:t>名</w:t>
            </w:r>
            <w:r>
              <w:rPr>
                <w:rFonts w:hint="eastAsia"/>
                <w:b/>
                <w:bCs/>
                <w:color w:val="000000" w:themeColor="text1"/>
                <w:sz w:val="32"/>
                <w:szCs w:val="32"/>
                <w:highlight w:val="none"/>
                <w:lang w:val="en-US" w:eastAsia="zh-CN"/>
                <w14:textFill>
                  <w14:solidFill>
                    <w14:schemeClr w14:val="tx1"/>
                  </w14:solidFill>
                </w14:textFill>
              </w:rPr>
              <w:t xml:space="preserve">  </w:t>
            </w:r>
            <w:r>
              <w:rPr>
                <w:b/>
                <w:bCs/>
                <w:color w:val="000000" w:themeColor="text1"/>
                <w:sz w:val="32"/>
                <w:szCs w:val="32"/>
                <w:highlight w:val="none"/>
                <w14:textFill>
                  <w14:solidFill>
                    <w14:schemeClr w14:val="tx1"/>
                  </w14:solidFill>
                </w14:textFill>
              </w:rPr>
              <w:t>称：</w:t>
            </w:r>
          </w:p>
        </w:tc>
        <w:tc>
          <w:tcPr>
            <w:tcW w:w="5495" w:type="dxa"/>
            <w:shd w:val="clear" w:color="auto" w:fill="auto"/>
          </w:tcPr>
          <w:p>
            <w:pPr>
              <w:keepNext w:val="0"/>
              <w:keepLines w:val="0"/>
              <w:suppressLineNumbers w:val="0"/>
              <w:spacing w:before="0" w:beforeAutospacing="0" w:after="0" w:afterAutospacing="0"/>
              <w:ind w:left="0" w:right="0"/>
              <w:rPr>
                <w:rFonts w:hint="eastAsia" w:eastAsia="宋体"/>
                <w:b/>
                <w:bCs/>
                <w:color w:val="000000" w:themeColor="text1"/>
                <w:sz w:val="44"/>
                <w:szCs w:val="44"/>
                <w:highlight w:val="none"/>
                <w:u w:val="thick"/>
                <w:lang w:eastAsia="zh-CN"/>
                <w14:textFill>
                  <w14:solidFill>
                    <w14:schemeClr w14:val="tx1"/>
                  </w14:solidFill>
                </w14:textFill>
              </w:rPr>
            </w:pPr>
            <w:r>
              <w:rPr>
                <w:rFonts w:hint="eastAsia"/>
                <w:b/>
                <w:bCs/>
                <w:color w:val="000000" w:themeColor="text1"/>
                <w:sz w:val="32"/>
                <w:szCs w:val="32"/>
                <w:highlight w:val="none"/>
                <w:u w:val="thick"/>
                <w:lang w:eastAsia="zh-CN"/>
                <w14:textFill>
                  <w14:solidFill>
                    <w14:schemeClr w14:val="tx1"/>
                  </w14:solidFill>
                </w14:textFill>
              </w:rPr>
              <w:t>金南大道西延线四期项目</w:t>
            </w:r>
          </w:p>
        </w:tc>
      </w:tr>
      <w:tr>
        <w:tblPrEx>
          <w:tblCellMar>
            <w:top w:w="0" w:type="dxa"/>
            <w:left w:w="108" w:type="dxa"/>
            <w:bottom w:w="0" w:type="dxa"/>
            <w:right w:w="108" w:type="dxa"/>
          </w:tblCellMar>
        </w:tblPrEx>
        <w:trPr>
          <w:trHeight w:val="846" w:hRule="atLeast"/>
          <w:jc w:val="center"/>
        </w:trPr>
        <w:tc>
          <w:tcPr>
            <w:tcW w:w="2802" w:type="dxa"/>
            <w:shd w:val="clear" w:color="auto" w:fill="auto"/>
          </w:tcPr>
          <w:p>
            <w:pPr>
              <w:keepNext w:val="0"/>
              <w:keepLines w:val="0"/>
              <w:suppressLineNumbers w:val="0"/>
              <w:spacing w:before="0" w:beforeAutospacing="0" w:after="0" w:afterAutospacing="0"/>
              <w:ind w:left="0" w:right="0"/>
              <w:rPr>
                <w:rFonts w:hint="eastAsia" w:eastAsia="宋体"/>
                <w:b/>
                <w:bCs/>
                <w:color w:val="000000" w:themeColor="text1"/>
                <w:sz w:val="32"/>
                <w:szCs w:val="32"/>
                <w:highlight w:val="none"/>
                <w:lang w:eastAsia="zh-CN"/>
                <w14:textFill>
                  <w14:solidFill>
                    <w14:schemeClr w14:val="tx1"/>
                  </w14:solidFill>
                </w14:textFill>
              </w:rPr>
            </w:pPr>
            <w:r>
              <w:rPr>
                <w:b/>
                <w:bCs/>
                <w:color w:val="000000" w:themeColor="text1"/>
                <w:sz w:val="32"/>
                <w:szCs w:val="32"/>
                <w:highlight w:val="none"/>
                <w14:textFill>
                  <w14:solidFill>
                    <w14:schemeClr w14:val="tx1"/>
                  </w14:solidFill>
                </w14:textFill>
              </w:rPr>
              <w:t>建设单位</w:t>
            </w:r>
            <w:r>
              <w:rPr>
                <w:rFonts w:hint="eastAsia"/>
                <w:b/>
                <w:bCs/>
                <w:color w:val="000000" w:themeColor="text1"/>
                <w:sz w:val="32"/>
                <w:szCs w:val="32"/>
                <w:highlight w:val="none"/>
                <w:lang w:eastAsia="zh-CN"/>
                <w14:textFill>
                  <w14:solidFill>
                    <w14:schemeClr w14:val="tx1"/>
                  </w14:solidFill>
                </w14:textFill>
              </w:rPr>
              <w:t>（</w:t>
            </w:r>
            <w:r>
              <w:rPr>
                <w:rFonts w:hint="eastAsia"/>
                <w:b/>
                <w:bCs/>
                <w:color w:val="000000" w:themeColor="text1"/>
                <w:sz w:val="32"/>
                <w:szCs w:val="32"/>
                <w:highlight w:val="none"/>
                <w:lang w:val="en-US" w:eastAsia="zh-CN"/>
                <w14:textFill>
                  <w14:solidFill>
                    <w14:schemeClr w14:val="tx1"/>
                  </w14:solidFill>
                </w14:textFill>
              </w:rPr>
              <w:t>盖章）</w:t>
            </w:r>
            <w:r>
              <w:rPr>
                <w:rFonts w:hint="eastAsia"/>
                <w:b/>
                <w:bCs/>
                <w:color w:val="000000" w:themeColor="text1"/>
                <w:sz w:val="32"/>
                <w:szCs w:val="32"/>
                <w:highlight w:val="none"/>
                <w:lang w:eastAsia="zh-CN"/>
                <w14:textFill>
                  <w14:solidFill>
                    <w14:schemeClr w14:val="tx1"/>
                  </w14:solidFill>
                </w14:textFill>
              </w:rPr>
              <w:t>：</w:t>
            </w:r>
          </w:p>
        </w:tc>
        <w:tc>
          <w:tcPr>
            <w:tcW w:w="5495" w:type="dxa"/>
            <w:shd w:val="clear" w:color="auto" w:fill="auto"/>
          </w:tcPr>
          <w:p>
            <w:pPr>
              <w:keepNext w:val="0"/>
              <w:keepLines w:val="0"/>
              <w:suppressLineNumbers w:val="0"/>
              <w:spacing w:before="0" w:beforeAutospacing="0" w:after="0" w:afterAutospacing="0"/>
              <w:ind w:left="0" w:right="0"/>
              <w:rPr>
                <w:rFonts w:hint="eastAsia" w:eastAsia="宋体"/>
                <w:b/>
                <w:bCs/>
                <w:color w:val="000000" w:themeColor="text1"/>
                <w:sz w:val="32"/>
                <w:szCs w:val="32"/>
                <w:highlight w:val="none"/>
                <w:u w:val="thick"/>
                <w:lang w:eastAsia="zh-CN"/>
                <w14:textFill>
                  <w14:solidFill>
                    <w14:schemeClr w14:val="tx1"/>
                  </w14:solidFill>
                </w14:textFill>
              </w:rPr>
            </w:pPr>
            <w:r>
              <w:rPr>
                <w:rFonts w:hint="eastAsia"/>
                <w:b/>
                <w:bCs/>
                <w:color w:val="000000" w:themeColor="text1"/>
                <w:sz w:val="32"/>
                <w:szCs w:val="32"/>
                <w:highlight w:val="none"/>
                <w:u w:val="thick"/>
                <w:lang w:val="en-US" w:eastAsia="zh-CN"/>
                <w14:textFill>
                  <w14:solidFill>
                    <w14:schemeClr w14:val="tx1"/>
                  </w14:solidFill>
                </w14:textFill>
              </w:rPr>
              <w:t>达州发展(控股)有限责任公司</w:t>
            </w:r>
          </w:p>
        </w:tc>
      </w:tr>
      <w:tr>
        <w:tblPrEx>
          <w:tblCellMar>
            <w:top w:w="0" w:type="dxa"/>
            <w:left w:w="108" w:type="dxa"/>
            <w:bottom w:w="0" w:type="dxa"/>
            <w:right w:w="108" w:type="dxa"/>
          </w:tblCellMar>
        </w:tblPrEx>
        <w:trPr>
          <w:trHeight w:val="414" w:hRule="atLeast"/>
          <w:jc w:val="center"/>
        </w:trPr>
        <w:tc>
          <w:tcPr>
            <w:tcW w:w="2802" w:type="dxa"/>
            <w:shd w:val="clear" w:color="auto" w:fill="auto"/>
          </w:tcPr>
          <w:p>
            <w:pPr>
              <w:keepNext w:val="0"/>
              <w:keepLines w:val="0"/>
              <w:suppressLineNumbers w:val="0"/>
              <w:spacing w:before="0" w:beforeAutospacing="0" w:after="0" w:afterAutospacing="0"/>
              <w:ind w:left="0" w:right="0"/>
              <w:rPr>
                <w:rFonts w:eastAsia="仿宋"/>
                <w:color w:val="000000" w:themeColor="text1"/>
                <w:sz w:val="44"/>
                <w:szCs w:val="44"/>
                <w:highlight w:val="none"/>
                <w14:textFill>
                  <w14:solidFill>
                    <w14:schemeClr w14:val="tx1"/>
                  </w14:solidFill>
                </w14:textFill>
              </w:rPr>
            </w:pPr>
            <w:r>
              <w:rPr>
                <w:b/>
                <w:bCs/>
                <w:color w:val="000000" w:themeColor="text1"/>
                <w:sz w:val="32"/>
                <w:szCs w:val="32"/>
                <w:highlight w:val="none"/>
                <w14:textFill>
                  <w14:solidFill>
                    <w14:schemeClr w14:val="tx1"/>
                  </w14:solidFill>
                </w14:textFill>
              </w:rPr>
              <w:t>编</w:t>
            </w:r>
            <w:r>
              <w:rPr>
                <w:rFonts w:hint="eastAsia"/>
                <w:b/>
                <w:bCs/>
                <w:color w:val="000000" w:themeColor="text1"/>
                <w:sz w:val="32"/>
                <w:szCs w:val="32"/>
                <w:highlight w:val="none"/>
                <w:lang w:val="en-US" w:eastAsia="zh-CN"/>
                <w14:textFill>
                  <w14:solidFill>
                    <w14:schemeClr w14:val="tx1"/>
                  </w14:solidFill>
                </w14:textFill>
              </w:rPr>
              <w:t xml:space="preserve">   </w:t>
            </w:r>
            <w:r>
              <w:rPr>
                <w:b/>
                <w:bCs/>
                <w:color w:val="000000" w:themeColor="text1"/>
                <w:sz w:val="32"/>
                <w:szCs w:val="32"/>
                <w:highlight w:val="none"/>
                <w14:textFill>
                  <w14:solidFill>
                    <w14:schemeClr w14:val="tx1"/>
                  </w14:solidFill>
                </w14:textFill>
              </w:rPr>
              <w:t>制</w:t>
            </w:r>
            <w:r>
              <w:rPr>
                <w:rFonts w:hint="eastAsia"/>
                <w:b/>
                <w:bCs/>
                <w:color w:val="000000" w:themeColor="text1"/>
                <w:sz w:val="32"/>
                <w:szCs w:val="32"/>
                <w:highlight w:val="none"/>
                <w:lang w:val="en-US" w:eastAsia="zh-CN"/>
                <w14:textFill>
                  <w14:solidFill>
                    <w14:schemeClr w14:val="tx1"/>
                  </w14:solidFill>
                </w14:textFill>
              </w:rPr>
              <w:t xml:space="preserve">  </w:t>
            </w:r>
            <w:r>
              <w:rPr>
                <w:b/>
                <w:bCs/>
                <w:color w:val="000000" w:themeColor="text1"/>
                <w:sz w:val="32"/>
                <w:szCs w:val="32"/>
                <w:highlight w:val="none"/>
                <w14:textFill>
                  <w14:solidFill>
                    <w14:schemeClr w14:val="tx1"/>
                  </w14:solidFill>
                </w14:textFill>
              </w:rPr>
              <w:t>日</w:t>
            </w:r>
            <w:r>
              <w:rPr>
                <w:rFonts w:hint="eastAsia"/>
                <w:b/>
                <w:bCs/>
                <w:color w:val="000000" w:themeColor="text1"/>
                <w:sz w:val="32"/>
                <w:szCs w:val="32"/>
                <w:highlight w:val="none"/>
                <w:lang w:val="en-US" w:eastAsia="zh-CN"/>
                <w14:textFill>
                  <w14:solidFill>
                    <w14:schemeClr w14:val="tx1"/>
                  </w14:solidFill>
                </w14:textFill>
              </w:rPr>
              <w:t xml:space="preserve">  </w:t>
            </w:r>
            <w:r>
              <w:rPr>
                <w:b/>
                <w:bCs/>
                <w:color w:val="000000" w:themeColor="text1"/>
                <w:sz w:val="32"/>
                <w:szCs w:val="32"/>
                <w:highlight w:val="none"/>
                <w14:textFill>
                  <w14:solidFill>
                    <w14:schemeClr w14:val="tx1"/>
                  </w14:solidFill>
                </w14:textFill>
              </w:rPr>
              <w:t>期：</w:t>
            </w:r>
          </w:p>
        </w:tc>
        <w:tc>
          <w:tcPr>
            <w:tcW w:w="5495" w:type="dxa"/>
            <w:shd w:val="clear" w:color="auto" w:fill="auto"/>
          </w:tcPr>
          <w:p>
            <w:pPr>
              <w:keepNext w:val="0"/>
              <w:keepLines w:val="0"/>
              <w:suppressLineNumbers w:val="0"/>
              <w:spacing w:before="0" w:beforeAutospacing="0" w:after="0" w:afterAutospacing="0"/>
              <w:ind w:left="0" w:right="0"/>
              <w:rPr>
                <w:rFonts w:hint="eastAsia" w:eastAsia="宋体"/>
                <w:b/>
                <w:bCs/>
                <w:color w:val="000000" w:themeColor="text1"/>
                <w:sz w:val="44"/>
                <w:szCs w:val="44"/>
                <w:highlight w:val="none"/>
                <w:u w:val="thick"/>
                <w:lang w:eastAsia="zh-CN"/>
                <w14:textFill>
                  <w14:solidFill>
                    <w14:schemeClr w14:val="tx1"/>
                  </w14:solidFill>
                </w14:textFill>
              </w:rPr>
            </w:pPr>
            <w:r>
              <w:rPr>
                <w:b/>
                <w:bCs/>
                <w:color w:val="000000" w:themeColor="text1"/>
                <w:sz w:val="32"/>
                <w:szCs w:val="32"/>
                <w:highlight w:val="none"/>
                <w:u w:val="thick"/>
                <w14:textFill>
                  <w14:solidFill>
                    <w14:schemeClr w14:val="tx1"/>
                  </w14:solidFill>
                </w14:textFill>
              </w:rPr>
              <w:t>202</w:t>
            </w:r>
            <w:r>
              <w:rPr>
                <w:rFonts w:hint="eastAsia"/>
                <w:b/>
                <w:bCs/>
                <w:color w:val="000000" w:themeColor="text1"/>
                <w:sz w:val="32"/>
                <w:szCs w:val="32"/>
                <w:highlight w:val="none"/>
                <w:u w:val="thick"/>
                <w:lang w:val="en-US" w:eastAsia="zh-CN"/>
                <w14:textFill>
                  <w14:solidFill>
                    <w14:schemeClr w14:val="tx1"/>
                  </w14:solidFill>
                </w14:textFill>
              </w:rPr>
              <w:t>4</w:t>
            </w:r>
            <w:r>
              <w:rPr>
                <w:b/>
                <w:bCs/>
                <w:color w:val="000000" w:themeColor="text1"/>
                <w:sz w:val="32"/>
                <w:szCs w:val="32"/>
                <w:highlight w:val="none"/>
                <w:u w:val="thick"/>
                <w14:textFill>
                  <w14:solidFill>
                    <w14:schemeClr w14:val="tx1"/>
                  </w14:solidFill>
                </w14:textFill>
              </w:rPr>
              <w:t>年</w:t>
            </w:r>
            <w:r>
              <w:rPr>
                <w:rFonts w:hint="eastAsia"/>
                <w:b/>
                <w:bCs/>
                <w:color w:val="000000" w:themeColor="text1"/>
                <w:sz w:val="32"/>
                <w:szCs w:val="32"/>
                <w:highlight w:val="none"/>
                <w:u w:val="thick"/>
                <w:lang w:val="en-US" w:eastAsia="zh-CN"/>
                <w14:textFill>
                  <w14:solidFill>
                    <w14:schemeClr w14:val="tx1"/>
                  </w14:solidFill>
                </w14:textFill>
              </w:rPr>
              <w:t>4</w:t>
            </w:r>
            <w:r>
              <w:rPr>
                <w:b/>
                <w:bCs/>
                <w:color w:val="000000" w:themeColor="text1"/>
                <w:sz w:val="32"/>
                <w:szCs w:val="32"/>
                <w:highlight w:val="none"/>
                <w:u w:val="thick"/>
                <w14:textFill>
                  <w14:solidFill>
                    <w14:schemeClr w14:val="tx1"/>
                  </w14:solidFill>
                </w14:textFill>
              </w:rPr>
              <w:t>月</w:t>
            </w:r>
          </w:p>
        </w:tc>
      </w:tr>
    </w:tbl>
    <w:p>
      <w:pPr>
        <w:ind w:firstLine="1040"/>
        <w:rPr>
          <w:rFonts w:eastAsia="仿宋"/>
          <w:color w:val="000000" w:themeColor="text1"/>
          <w:sz w:val="44"/>
          <w:szCs w:val="44"/>
          <w:highlight w:val="none"/>
          <w14:textFill>
            <w14:solidFill>
              <w14:schemeClr w14:val="tx1"/>
            </w14:solidFill>
          </w14:textFill>
        </w:rPr>
      </w:pPr>
    </w:p>
    <w:p>
      <w:pPr>
        <w:ind w:firstLine="1040"/>
        <w:rPr>
          <w:rFonts w:eastAsia="仿宋"/>
          <w:color w:val="000000" w:themeColor="text1"/>
          <w:sz w:val="44"/>
          <w:szCs w:val="44"/>
          <w:highlight w:val="none"/>
          <w14:textFill>
            <w14:solidFill>
              <w14:schemeClr w14:val="tx1"/>
            </w14:solidFill>
          </w14:textFill>
        </w:rPr>
      </w:pPr>
    </w:p>
    <w:bookmarkEnd w:id="1"/>
    <w:p>
      <w:pPr>
        <w:adjustRightInd w:val="0"/>
        <w:snapToGrid w:val="0"/>
        <w:spacing w:line="360" w:lineRule="auto"/>
        <w:ind w:firstLine="1084" w:firstLineChars="300"/>
        <w:rPr>
          <w:rFonts w:hint="eastAsia" w:eastAsia="仿宋_GB2312"/>
          <w:b/>
          <w:bCs/>
          <w:color w:val="000000" w:themeColor="text1"/>
          <w:sz w:val="36"/>
          <w:szCs w:val="36"/>
          <w:highlight w:val="none"/>
          <w:u w:val="single"/>
          <w:lang w:eastAsia="zh-CN"/>
          <w14:textFill>
            <w14:solidFill>
              <w14:schemeClr w14:val="tx1"/>
            </w14:solidFill>
          </w14:textFill>
        </w:rPr>
      </w:pPr>
    </w:p>
    <w:p>
      <w:pPr>
        <w:adjustRightInd w:val="0"/>
        <w:snapToGrid w:val="0"/>
        <w:spacing w:line="288" w:lineRule="auto"/>
        <w:jc w:val="center"/>
        <w:rPr>
          <w:b/>
          <w:color w:val="000000" w:themeColor="text1"/>
          <w:sz w:val="34"/>
          <w:szCs w:val="22"/>
          <w:highlight w:val="none"/>
          <w14:textFill>
            <w14:solidFill>
              <w14:schemeClr w14:val="tx1"/>
            </w14:solidFill>
          </w14:textFill>
        </w:rPr>
      </w:pPr>
      <w:r>
        <w:rPr>
          <w:rFonts w:hint="eastAsia"/>
          <w:b/>
          <w:color w:val="000000" w:themeColor="text1"/>
          <w:sz w:val="34"/>
          <w:szCs w:val="22"/>
          <w:highlight w:val="none"/>
          <w14:textFill>
            <w14:solidFill>
              <w14:schemeClr w14:val="tx1"/>
            </w14:solidFill>
          </w14:textFill>
        </w:rPr>
        <w:t>中华人民共和国生态环境部制</w:t>
      </w:r>
    </w:p>
    <w:p>
      <w:pPr>
        <w:adjustRightInd w:val="0"/>
        <w:snapToGrid w:val="0"/>
        <w:spacing w:line="288" w:lineRule="auto"/>
        <w:ind w:firstLine="1040"/>
        <w:rPr>
          <w:rFonts w:eastAsia="仿宋_GB2312"/>
          <w:color w:val="000000" w:themeColor="text1"/>
          <w:sz w:val="36"/>
          <w:szCs w:val="36"/>
          <w:highlight w:val="none"/>
          <w14:textFill>
            <w14:solidFill>
              <w14:schemeClr w14:val="tx1"/>
            </w14:solidFill>
          </w14:textFill>
        </w:rPr>
        <w:sectPr>
          <w:footerReference r:id="rId3" w:type="default"/>
          <w:footerReference r:id="rId4" w:type="even"/>
          <w:pgSz w:w="11906" w:h="16838"/>
          <w:pgMar w:top="1701" w:right="1531" w:bottom="1701" w:left="1531" w:header="851" w:footer="1077" w:gutter="0"/>
          <w:pgNumType w:start="21"/>
          <w:cols w:space="720" w:num="1"/>
          <w:docGrid w:linePitch="312" w:charSpace="0"/>
        </w:sectPr>
      </w:pPr>
    </w:p>
    <w:p>
      <w:pPr>
        <w:pStyle w:val="19"/>
        <w:jc w:val="center"/>
        <w:outlineLvl w:val="0"/>
        <w:rPr>
          <w:rFonts w:ascii="Times New Roman" w:hAnsi="Times New Roman"/>
          <w:b/>
          <w:bCs/>
          <w:snapToGrid w:val="0"/>
          <w:color w:val="000000" w:themeColor="text1"/>
          <w:sz w:val="30"/>
          <w:szCs w:val="30"/>
          <w:highlight w:val="none"/>
          <w14:textFill>
            <w14:solidFill>
              <w14:schemeClr w14:val="tx1"/>
            </w14:solidFill>
          </w14:textFill>
        </w:rPr>
      </w:pPr>
      <w:r>
        <w:rPr>
          <w:rFonts w:ascii="Times New Roman" w:hAnsi="Times New Roman"/>
          <w:b/>
          <w:bCs/>
          <w:snapToGrid w:val="0"/>
          <w:color w:val="000000" w:themeColor="text1"/>
          <w:sz w:val="30"/>
          <w:szCs w:val="30"/>
          <w:highlight w:val="none"/>
          <w14:textFill>
            <w14:solidFill>
              <w14:schemeClr w14:val="tx1"/>
            </w14:solidFill>
          </w14:textFill>
        </w:rPr>
        <w:t>一、建设项目基本情况</w:t>
      </w:r>
    </w:p>
    <w:tbl>
      <w:tblPr>
        <w:tblStyle w:val="24"/>
        <w:tblW w:w="9267"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04"/>
        <w:gridCol w:w="2156"/>
        <w:gridCol w:w="2633"/>
        <w:gridCol w:w="29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6" w:hRule="atLeast"/>
        </w:trPr>
        <w:tc>
          <w:tcPr>
            <w:tcW w:w="1504"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建设项目名称</w:t>
            </w:r>
          </w:p>
        </w:tc>
        <w:tc>
          <w:tcPr>
            <w:tcW w:w="7763"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金南大道西延线四期项目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1504"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项目代码</w:t>
            </w:r>
          </w:p>
        </w:tc>
        <w:tc>
          <w:tcPr>
            <w:tcW w:w="7763"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2307-511700-04-01-936465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504"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建设单位联系人</w:t>
            </w:r>
          </w:p>
        </w:tc>
        <w:tc>
          <w:tcPr>
            <w:tcW w:w="2156" w:type="dxa"/>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蒲长虹</w:t>
            </w:r>
          </w:p>
        </w:tc>
        <w:tc>
          <w:tcPr>
            <w:tcW w:w="2633" w:type="dxa"/>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联系方式</w:t>
            </w:r>
          </w:p>
        </w:tc>
        <w:tc>
          <w:tcPr>
            <w:tcW w:w="2974" w:type="dxa"/>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14:textFill>
                  <w14:solidFill>
                    <w14:schemeClr w14:val="tx1"/>
                  </w14:solidFill>
                </w14:textFill>
              </w:rPr>
              <w:t>15</w:t>
            </w:r>
            <w:r>
              <w:rPr>
                <w:rFonts w:hint="eastAsia"/>
                <w:color w:val="000000" w:themeColor="text1"/>
                <w:sz w:val="24"/>
                <w:highlight w:val="none"/>
                <w:lang w:val="en-US" w:eastAsia="zh-CN"/>
                <w14:textFill>
                  <w14:solidFill>
                    <w14:schemeClr w14:val="tx1"/>
                  </w14:solidFill>
                </w14:textFill>
              </w:rPr>
              <w:t>683301109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8" w:hRule="atLeast"/>
        </w:trPr>
        <w:tc>
          <w:tcPr>
            <w:tcW w:w="1504"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建设地点</w:t>
            </w:r>
          </w:p>
        </w:tc>
        <w:tc>
          <w:tcPr>
            <w:tcW w:w="7763"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达州市</w:t>
            </w:r>
            <w:r>
              <w:rPr>
                <w:rFonts w:hint="eastAsia"/>
                <w:color w:val="000000" w:themeColor="text1"/>
                <w:sz w:val="24"/>
                <w:highlight w:val="none"/>
                <w14:textFill>
                  <w14:solidFill>
                    <w14:schemeClr w14:val="tx1"/>
                  </w14:solidFill>
                </w14:textFill>
              </w:rPr>
              <w:t>通川区马踏洞新区</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起点与金南大道西延线三期相接（已建），终点与绕城高速西段连接线相接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504"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地理坐标</w:t>
            </w:r>
          </w:p>
        </w:tc>
        <w:tc>
          <w:tcPr>
            <w:tcW w:w="7763" w:type="dxa"/>
            <w:gridSpan w:val="3"/>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4"/>
                <w:highlight w:val="none"/>
                <w:lang w:val="en-US" w:eastAsia="zh-CN"/>
                <w14:textFill>
                  <w14:solidFill>
                    <w14:schemeClr w14:val="tx1"/>
                  </w14:solidFill>
                </w14:textFill>
              </w:rPr>
            </w:pPr>
            <w:r>
              <w:rPr>
                <w:rFonts w:hint="eastAsia" w:eastAsia="宋体"/>
                <w:color w:val="000000" w:themeColor="text1"/>
                <w:sz w:val="24"/>
                <w:highlight w:val="none"/>
                <w:lang w:val="en-US" w:eastAsia="zh-CN"/>
                <w14:textFill>
                  <w14:solidFill>
                    <w14:schemeClr w14:val="tx1"/>
                  </w14:solidFill>
                </w14:textFill>
              </w:rPr>
              <w:t>起点：经度</w:t>
            </w:r>
            <w:r>
              <w:rPr>
                <w:rFonts w:hint="default" w:eastAsia="宋体"/>
                <w:color w:val="000000" w:themeColor="text1"/>
                <w:sz w:val="24"/>
                <w:highlight w:val="none"/>
                <w:lang w:val="en-US" w:eastAsia="zh-CN"/>
                <w14:textFill>
                  <w14:solidFill>
                    <w14:schemeClr w14:val="tx1"/>
                  </w14:solidFill>
                </w14:textFill>
              </w:rPr>
              <w:t>10</w:t>
            </w:r>
            <w:r>
              <w:rPr>
                <w:rFonts w:hint="eastAsia" w:eastAsia="宋体"/>
                <w:color w:val="000000" w:themeColor="text1"/>
                <w:sz w:val="24"/>
                <w:highlight w:val="none"/>
                <w:lang w:val="en-US" w:eastAsia="zh-CN"/>
                <w14:textFill>
                  <w14:solidFill>
                    <w14:schemeClr w14:val="tx1"/>
                  </w14:solidFill>
                </w14:textFill>
              </w:rPr>
              <w:t>7</w:t>
            </w:r>
            <w:r>
              <w:rPr>
                <w:rFonts w:hint="default" w:eastAsia="宋体"/>
                <w:color w:val="000000" w:themeColor="text1"/>
                <w:sz w:val="24"/>
                <w:highlight w:val="none"/>
                <w:lang w:val="en-US" w:eastAsia="zh-CN"/>
                <w14:textFill>
                  <w14:solidFill>
                    <w14:schemeClr w14:val="tx1"/>
                  </w14:solidFill>
                </w14:textFill>
              </w:rPr>
              <w:t>°</w:t>
            </w:r>
            <w:r>
              <w:rPr>
                <w:rFonts w:hint="eastAsia" w:eastAsia="宋体"/>
                <w:color w:val="000000" w:themeColor="text1"/>
                <w:sz w:val="24"/>
                <w:highlight w:val="none"/>
                <w:lang w:val="en-US" w:eastAsia="zh-CN"/>
                <w14:textFill>
                  <w14:solidFill>
                    <w14:schemeClr w14:val="tx1"/>
                  </w14:solidFill>
                </w14:textFill>
              </w:rPr>
              <w:t>25</w:t>
            </w:r>
            <w:r>
              <w:rPr>
                <w:rFonts w:hint="default" w:eastAsia="宋体"/>
                <w:color w:val="000000" w:themeColor="text1"/>
                <w:sz w:val="24"/>
                <w:highlight w:val="none"/>
                <w:lang w:val="en-US" w:eastAsia="zh-CN"/>
                <w14:textFill>
                  <w14:solidFill>
                    <w14:schemeClr w14:val="tx1"/>
                  </w14:solidFill>
                </w14:textFill>
              </w:rPr>
              <w:t>′</w:t>
            </w:r>
            <w:r>
              <w:rPr>
                <w:rFonts w:hint="eastAsia" w:eastAsia="宋体"/>
                <w:color w:val="000000" w:themeColor="text1"/>
                <w:sz w:val="24"/>
                <w:highlight w:val="none"/>
                <w:lang w:val="en-US" w:eastAsia="zh-CN"/>
                <w14:textFill>
                  <w14:solidFill>
                    <w14:schemeClr w14:val="tx1"/>
                  </w14:solidFill>
                </w14:textFill>
              </w:rPr>
              <w:t>11.893</w:t>
            </w:r>
            <w:r>
              <w:rPr>
                <w:rFonts w:hint="default" w:eastAsia="宋体"/>
                <w:color w:val="000000" w:themeColor="text1"/>
                <w:sz w:val="24"/>
                <w:highlight w:val="none"/>
                <w:lang w:val="en-US" w:eastAsia="zh-CN"/>
                <w14:textFill>
                  <w14:solidFill>
                    <w14:schemeClr w14:val="tx1"/>
                  </w14:solidFill>
                </w14:textFill>
              </w:rPr>
              <w:t>′′</w:t>
            </w:r>
            <w:r>
              <w:rPr>
                <w:rFonts w:hint="eastAsia" w:eastAsia="宋体"/>
                <w:color w:val="000000" w:themeColor="text1"/>
                <w:sz w:val="24"/>
                <w:highlight w:val="none"/>
                <w:lang w:val="en-US" w:eastAsia="zh-CN"/>
                <w14:textFill>
                  <w14:solidFill>
                    <w14:schemeClr w14:val="tx1"/>
                  </w14:solidFill>
                </w14:textFill>
              </w:rPr>
              <w:t>，纬度</w:t>
            </w:r>
            <w:r>
              <w:rPr>
                <w:rFonts w:hint="default" w:eastAsia="宋体"/>
                <w:color w:val="000000" w:themeColor="text1"/>
                <w:sz w:val="24"/>
                <w:highlight w:val="none"/>
                <w:lang w:val="en-US" w:eastAsia="zh-CN"/>
                <w14:textFill>
                  <w14:solidFill>
                    <w14:schemeClr w14:val="tx1"/>
                  </w14:solidFill>
                </w14:textFill>
              </w:rPr>
              <w:t>3</w:t>
            </w:r>
            <w:r>
              <w:rPr>
                <w:rFonts w:hint="eastAsia" w:eastAsia="宋体"/>
                <w:color w:val="000000" w:themeColor="text1"/>
                <w:sz w:val="24"/>
                <w:highlight w:val="none"/>
                <w:lang w:val="en-US" w:eastAsia="zh-CN"/>
                <w14:textFill>
                  <w14:solidFill>
                    <w14:schemeClr w14:val="tx1"/>
                  </w14:solidFill>
                </w14:textFill>
              </w:rPr>
              <w:t>1</w:t>
            </w:r>
            <w:r>
              <w:rPr>
                <w:rFonts w:hint="default" w:eastAsia="宋体"/>
                <w:color w:val="000000" w:themeColor="text1"/>
                <w:sz w:val="24"/>
                <w:highlight w:val="none"/>
                <w:lang w:val="en-US" w:eastAsia="zh-CN"/>
                <w14:textFill>
                  <w14:solidFill>
                    <w14:schemeClr w14:val="tx1"/>
                  </w14:solidFill>
                </w14:textFill>
              </w:rPr>
              <w:t>°</w:t>
            </w:r>
            <w:r>
              <w:rPr>
                <w:rFonts w:hint="eastAsia" w:eastAsia="宋体"/>
                <w:color w:val="000000" w:themeColor="text1"/>
                <w:sz w:val="24"/>
                <w:highlight w:val="none"/>
                <w:lang w:val="en-US" w:eastAsia="zh-CN"/>
                <w14:textFill>
                  <w14:solidFill>
                    <w14:schemeClr w14:val="tx1"/>
                  </w14:solidFill>
                </w14:textFill>
              </w:rPr>
              <w:t>12</w:t>
            </w:r>
            <w:r>
              <w:rPr>
                <w:rFonts w:hint="default" w:eastAsia="宋体"/>
                <w:color w:val="000000" w:themeColor="text1"/>
                <w:sz w:val="24"/>
                <w:highlight w:val="none"/>
                <w:lang w:val="en-US" w:eastAsia="zh-CN"/>
                <w14:textFill>
                  <w14:solidFill>
                    <w14:schemeClr w14:val="tx1"/>
                  </w14:solidFill>
                </w14:textFill>
              </w:rPr>
              <w:t>′</w:t>
            </w:r>
            <w:r>
              <w:rPr>
                <w:rFonts w:hint="eastAsia" w:eastAsia="宋体"/>
                <w:color w:val="000000" w:themeColor="text1"/>
                <w:sz w:val="24"/>
                <w:highlight w:val="none"/>
                <w:lang w:val="en-US" w:eastAsia="zh-CN"/>
                <w14:textFill>
                  <w14:solidFill>
                    <w14:schemeClr w14:val="tx1"/>
                  </w14:solidFill>
                </w14:textFill>
              </w:rPr>
              <w:t>6.183″</w:t>
            </w:r>
          </w:p>
          <w:p>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4"/>
                <w:highlight w:val="none"/>
                <w:lang w:val="en-US" w:eastAsia="zh-CN"/>
                <w14:textFill>
                  <w14:solidFill>
                    <w14:schemeClr w14:val="tx1"/>
                  </w14:solidFill>
                </w14:textFill>
              </w:rPr>
            </w:pPr>
            <w:r>
              <w:rPr>
                <w:rFonts w:hint="eastAsia" w:eastAsia="宋体"/>
                <w:color w:val="000000" w:themeColor="text1"/>
                <w:sz w:val="24"/>
                <w:highlight w:val="none"/>
                <w:lang w:val="en-US" w:eastAsia="zh-CN"/>
                <w14:textFill>
                  <w14:solidFill>
                    <w14:schemeClr w14:val="tx1"/>
                  </w14:solidFill>
                </w14:textFill>
              </w:rPr>
              <w:t>终点：经度</w:t>
            </w:r>
            <w:r>
              <w:rPr>
                <w:rFonts w:hint="default" w:eastAsia="宋体"/>
                <w:color w:val="000000" w:themeColor="text1"/>
                <w:sz w:val="24"/>
                <w:highlight w:val="none"/>
                <w:lang w:val="en-US" w:eastAsia="zh-CN"/>
                <w14:textFill>
                  <w14:solidFill>
                    <w14:schemeClr w14:val="tx1"/>
                  </w14:solidFill>
                </w14:textFill>
              </w:rPr>
              <w:t>10</w:t>
            </w:r>
            <w:r>
              <w:rPr>
                <w:rFonts w:hint="eastAsia" w:eastAsia="宋体"/>
                <w:color w:val="000000" w:themeColor="text1"/>
                <w:sz w:val="24"/>
                <w:highlight w:val="none"/>
                <w:lang w:val="en-US" w:eastAsia="zh-CN"/>
                <w14:textFill>
                  <w14:solidFill>
                    <w14:schemeClr w14:val="tx1"/>
                  </w14:solidFill>
                </w14:textFill>
              </w:rPr>
              <w:t>7</w:t>
            </w:r>
            <w:r>
              <w:rPr>
                <w:rFonts w:hint="default" w:eastAsia="宋体"/>
                <w:color w:val="000000" w:themeColor="text1"/>
                <w:sz w:val="24"/>
                <w:highlight w:val="none"/>
                <w:lang w:val="en-US" w:eastAsia="zh-CN"/>
                <w14:textFill>
                  <w14:solidFill>
                    <w14:schemeClr w14:val="tx1"/>
                  </w14:solidFill>
                </w14:textFill>
              </w:rPr>
              <w:t>°</w:t>
            </w:r>
            <w:r>
              <w:rPr>
                <w:rFonts w:hint="eastAsia" w:eastAsia="宋体"/>
                <w:color w:val="000000" w:themeColor="text1"/>
                <w:sz w:val="24"/>
                <w:highlight w:val="none"/>
                <w:lang w:val="en-US" w:eastAsia="zh-CN"/>
                <w14:textFill>
                  <w14:solidFill>
                    <w14:schemeClr w14:val="tx1"/>
                  </w14:solidFill>
                </w14:textFill>
              </w:rPr>
              <w:t>23</w:t>
            </w:r>
            <w:r>
              <w:rPr>
                <w:rFonts w:hint="default" w:eastAsia="宋体"/>
                <w:color w:val="000000" w:themeColor="text1"/>
                <w:sz w:val="24"/>
                <w:highlight w:val="none"/>
                <w:lang w:val="en-US" w:eastAsia="zh-CN"/>
                <w14:textFill>
                  <w14:solidFill>
                    <w14:schemeClr w14:val="tx1"/>
                  </w14:solidFill>
                </w14:textFill>
              </w:rPr>
              <w:t>′</w:t>
            </w:r>
            <w:r>
              <w:rPr>
                <w:rFonts w:hint="eastAsia" w:eastAsia="宋体"/>
                <w:color w:val="000000" w:themeColor="text1"/>
                <w:sz w:val="24"/>
                <w:highlight w:val="none"/>
                <w:lang w:val="en-US" w:eastAsia="zh-CN"/>
                <w14:textFill>
                  <w14:solidFill>
                    <w14:schemeClr w14:val="tx1"/>
                  </w14:solidFill>
                </w14:textFill>
              </w:rPr>
              <w:t>55.746</w:t>
            </w:r>
            <w:r>
              <w:rPr>
                <w:rFonts w:hint="default" w:eastAsia="宋体"/>
                <w:color w:val="000000" w:themeColor="text1"/>
                <w:sz w:val="24"/>
                <w:highlight w:val="none"/>
                <w:lang w:val="en-US" w:eastAsia="zh-CN"/>
                <w14:textFill>
                  <w14:solidFill>
                    <w14:schemeClr w14:val="tx1"/>
                  </w14:solidFill>
                </w14:textFill>
              </w:rPr>
              <w:t>′′</w:t>
            </w:r>
            <w:r>
              <w:rPr>
                <w:rFonts w:hint="eastAsia" w:eastAsia="宋体"/>
                <w:color w:val="000000" w:themeColor="text1"/>
                <w:sz w:val="24"/>
                <w:highlight w:val="none"/>
                <w:lang w:val="en-US" w:eastAsia="zh-CN"/>
                <w14:textFill>
                  <w14:solidFill>
                    <w14:schemeClr w14:val="tx1"/>
                  </w14:solidFill>
                </w14:textFill>
              </w:rPr>
              <w:t>，纬度</w:t>
            </w:r>
            <w:r>
              <w:rPr>
                <w:rFonts w:hint="default" w:eastAsia="宋体"/>
                <w:color w:val="000000" w:themeColor="text1"/>
                <w:sz w:val="24"/>
                <w:highlight w:val="none"/>
                <w:lang w:val="en-US" w:eastAsia="zh-CN"/>
                <w14:textFill>
                  <w14:solidFill>
                    <w14:schemeClr w14:val="tx1"/>
                  </w14:solidFill>
                </w14:textFill>
              </w:rPr>
              <w:t>3</w:t>
            </w:r>
            <w:r>
              <w:rPr>
                <w:rFonts w:hint="eastAsia" w:eastAsia="宋体"/>
                <w:color w:val="000000" w:themeColor="text1"/>
                <w:sz w:val="24"/>
                <w:highlight w:val="none"/>
                <w:lang w:val="en-US" w:eastAsia="zh-CN"/>
                <w14:textFill>
                  <w14:solidFill>
                    <w14:schemeClr w14:val="tx1"/>
                  </w14:solidFill>
                </w14:textFill>
              </w:rPr>
              <w:t>1</w:t>
            </w:r>
            <w:r>
              <w:rPr>
                <w:rFonts w:hint="default" w:eastAsia="宋体"/>
                <w:color w:val="000000" w:themeColor="text1"/>
                <w:sz w:val="24"/>
                <w:highlight w:val="none"/>
                <w:lang w:val="en-US" w:eastAsia="zh-CN"/>
                <w14:textFill>
                  <w14:solidFill>
                    <w14:schemeClr w14:val="tx1"/>
                  </w14:solidFill>
                </w14:textFill>
              </w:rPr>
              <w:t>°</w:t>
            </w:r>
            <w:r>
              <w:rPr>
                <w:rFonts w:hint="eastAsia" w:eastAsia="宋体"/>
                <w:color w:val="000000" w:themeColor="text1"/>
                <w:sz w:val="24"/>
                <w:highlight w:val="none"/>
                <w:lang w:val="en-US" w:eastAsia="zh-CN"/>
                <w14:textFill>
                  <w14:solidFill>
                    <w14:schemeClr w14:val="tx1"/>
                  </w14:solidFill>
                </w14:textFill>
              </w:rPr>
              <w:t>12</w:t>
            </w:r>
            <w:r>
              <w:rPr>
                <w:rFonts w:hint="default" w:eastAsia="宋体"/>
                <w:color w:val="000000" w:themeColor="text1"/>
                <w:sz w:val="24"/>
                <w:highlight w:val="none"/>
                <w:lang w:val="en-US" w:eastAsia="zh-CN"/>
                <w14:textFill>
                  <w14:solidFill>
                    <w14:schemeClr w14:val="tx1"/>
                  </w14:solidFill>
                </w14:textFill>
              </w:rPr>
              <w:t>′</w:t>
            </w:r>
            <w:r>
              <w:rPr>
                <w:rFonts w:hint="eastAsia" w:eastAsia="宋体"/>
                <w:color w:val="000000" w:themeColor="text1"/>
                <w:sz w:val="24"/>
                <w:highlight w:val="none"/>
                <w:lang w:val="en-US" w:eastAsia="zh-CN"/>
                <w14:textFill>
                  <w14:solidFill>
                    <w14:schemeClr w14:val="tx1"/>
                  </w14:solidFill>
                </w14:textFill>
              </w:rPr>
              <w:t>18.677</w:t>
            </w:r>
            <w:r>
              <w:rPr>
                <w:rFonts w:hint="default" w:eastAsia="宋体"/>
                <w:color w:val="000000" w:themeColor="text1"/>
                <w:sz w:val="24"/>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504"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建设项目</w:t>
            </w:r>
          </w:p>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行业类别</w:t>
            </w:r>
          </w:p>
        </w:tc>
        <w:tc>
          <w:tcPr>
            <w:tcW w:w="2156" w:type="dxa"/>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sz w:val="24"/>
                <w:highlight w:val="none"/>
                <w:lang w:val="en-US" w:eastAsia="zh-CN"/>
                <w14:textFill>
                  <w14:solidFill>
                    <w14:schemeClr w14:val="tx1"/>
                  </w14:solidFill>
                </w14:textFill>
              </w:rPr>
            </w:pPr>
            <w:r>
              <w:rPr>
                <w:rFonts w:hint="eastAsia" w:eastAsia="宋体"/>
                <w:color w:val="000000" w:themeColor="text1"/>
                <w:sz w:val="24"/>
                <w:highlight w:val="none"/>
                <w:lang w:val="en-US" w:eastAsia="zh-CN"/>
                <w14:textFill>
                  <w14:solidFill>
                    <w14:schemeClr w14:val="tx1"/>
                  </w14:solidFill>
                </w14:textFill>
              </w:rPr>
              <w:t>五十二、交通运输业、管道运输业；131城市道路，新建快速路、主干路；城</w:t>
            </w:r>
          </w:p>
          <w:p>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4"/>
                <w:highlight w:val="none"/>
                <w:lang w:val="en-US" w:eastAsia="zh-CN"/>
                <w14:textFill>
                  <w14:solidFill>
                    <w14:schemeClr w14:val="tx1"/>
                  </w14:solidFill>
                </w14:textFill>
              </w:rPr>
            </w:pPr>
            <w:r>
              <w:rPr>
                <w:rFonts w:hint="eastAsia" w:eastAsia="宋体"/>
                <w:color w:val="000000" w:themeColor="text1"/>
                <w:sz w:val="24"/>
                <w:highlight w:val="none"/>
                <w:lang w:val="en-US" w:eastAsia="zh-CN"/>
                <w14:textFill>
                  <w14:solidFill>
                    <w14:schemeClr w14:val="tx1"/>
                  </w14:solidFill>
                </w14:textFill>
              </w:rPr>
              <w:t>市桥梁、隧道</w:t>
            </w:r>
          </w:p>
        </w:tc>
        <w:tc>
          <w:tcPr>
            <w:tcW w:w="2633" w:type="dxa"/>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sz w:val="24"/>
                <w:highlight w:val="none"/>
                <w:lang w:val="en-US" w:eastAsia="zh-CN"/>
                <w14:textFill>
                  <w14:solidFill>
                    <w14:schemeClr w14:val="tx1"/>
                  </w14:solidFill>
                </w14:textFill>
              </w:rPr>
            </w:pPr>
            <w:r>
              <w:rPr>
                <w:rFonts w:hint="eastAsia" w:eastAsia="宋体"/>
                <w:color w:val="000000" w:themeColor="text1"/>
                <w:sz w:val="24"/>
                <w:highlight w:val="none"/>
                <w:lang w:val="en-US" w:eastAsia="zh-CN"/>
                <w14:textFill>
                  <w14:solidFill>
                    <w14:schemeClr w14:val="tx1"/>
                  </w14:solidFill>
                </w14:textFill>
              </w:rPr>
              <w:t>用地（用海）面积（㎡）/长度（km）</w:t>
            </w:r>
          </w:p>
        </w:tc>
        <w:tc>
          <w:tcPr>
            <w:tcW w:w="2974" w:type="dxa"/>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道路占地4.4228万㎡；道路</w:t>
            </w:r>
            <w:r>
              <w:rPr>
                <w:rFonts w:hint="eastAsia" w:eastAsia="宋体"/>
                <w:color w:val="000000" w:themeColor="text1"/>
                <w:sz w:val="24"/>
                <w:highlight w:val="none"/>
                <w:lang w:val="en-US" w:eastAsia="zh-CN"/>
                <w14:textFill>
                  <w14:solidFill>
                    <w14:schemeClr w14:val="tx1"/>
                  </w14:solidFill>
                </w14:textFill>
              </w:rPr>
              <w:t>左线</w:t>
            </w:r>
            <w:r>
              <w:rPr>
                <w:rFonts w:hint="eastAsia"/>
                <w:color w:val="000000" w:themeColor="text1"/>
                <w:sz w:val="24"/>
                <w:highlight w:val="none"/>
                <w:lang w:val="en-US" w:eastAsia="zh-CN"/>
                <w14:textFill>
                  <w14:solidFill>
                    <w14:schemeClr w14:val="tx1"/>
                  </w14:solidFill>
                </w14:textFill>
              </w:rPr>
              <w:t>长度</w:t>
            </w:r>
            <w:r>
              <w:rPr>
                <w:rFonts w:hint="eastAsia" w:eastAsia="宋体"/>
                <w:color w:val="000000" w:themeColor="text1"/>
                <w:sz w:val="24"/>
                <w:highlight w:val="none"/>
                <w:lang w:val="en-US" w:eastAsia="zh-CN"/>
                <w14:textFill>
                  <w14:solidFill>
                    <w14:schemeClr w14:val="tx1"/>
                  </w14:solidFill>
                </w14:textFill>
              </w:rPr>
              <w:t>2119.54m</w:t>
            </w:r>
            <w:r>
              <w:rPr>
                <w:rFonts w:hint="eastAsia"/>
                <w:color w:val="000000" w:themeColor="text1"/>
                <w:sz w:val="24"/>
                <w:highlight w:val="none"/>
                <w:lang w:val="en-US" w:eastAsia="zh-CN"/>
                <w14:textFill>
                  <w14:solidFill>
                    <w14:schemeClr w14:val="tx1"/>
                  </w14:solidFill>
                </w14:textFill>
              </w:rPr>
              <w:t>、右线长度2113.96m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504"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建设性质</w:t>
            </w:r>
          </w:p>
        </w:tc>
        <w:tc>
          <w:tcPr>
            <w:tcW w:w="2156" w:type="dxa"/>
            <w:vAlign w:val="center"/>
          </w:tcPr>
          <w:p>
            <w:pPr>
              <w:keepNext w:val="0"/>
              <w:keepLines w:val="0"/>
              <w:suppressLineNumbers w:val="0"/>
              <w:adjustRightInd w:val="0"/>
              <w:snapToGrid w:val="0"/>
              <w:spacing w:before="0" w:beforeAutospacing="0" w:after="0" w:afterAutospacing="0"/>
              <w:ind w:left="0" w:right="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sym w:font="Wingdings 2" w:char="0052"/>
            </w:r>
            <w:r>
              <w:rPr>
                <w:color w:val="000000" w:themeColor="text1"/>
                <w:sz w:val="24"/>
                <w:highlight w:val="none"/>
                <w14:textFill>
                  <w14:solidFill>
                    <w14:schemeClr w14:val="tx1"/>
                  </w14:solidFill>
                </w14:textFill>
              </w:rPr>
              <w:t>新建（迁建）</w:t>
            </w:r>
          </w:p>
          <w:p>
            <w:pPr>
              <w:keepNext w:val="0"/>
              <w:keepLines w:val="0"/>
              <w:suppressLineNumbers w:val="0"/>
              <w:adjustRightInd w:val="0"/>
              <w:snapToGrid w:val="0"/>
              <w:spacing w:before="0" w:beforeAutospacing="0" w:after="0" w:afterAutospacing="0"/>
              <w:ind w:left="0" w:right="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sym w:font="Wingdings 2" w:char="00A3"/>
            </w:r>
            <w:r>
              <w:rPr>
                <w:color w:val="000000" w:themeColor="text1"/>
                <w:sz w:val="24"/>
                <w:highlight w:val="none"/>
                <w14:textFill>
                  <w14:solidFill>
                    <w14:schemeClr w14:val="tx1"/>
                  </w14:solidFill>
                </w14:textFill>
              </w:rPr>
              <w:t>改建</w:t>
            </w:r>
          </w:p>
          <w:p>
            <w:pPr>
              <w:keepNext w:val="0"/>
              <w:keepLines w:val="0"/>
              <w:suppressLineNumbers w:val="0"/>
              <w:adjustRightInd w:val="0"/>
              <w:snapToGrid w:val="0"/>
              <w:spacing w:before="0" w:beforeAutospacing="0" w:after="0" w:afterAutospacing="0"/>
              <w:ind w:left="0" w:right="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sym w:font="Wingdings 2" w:char="00A3"/>
            </w:r>
            <w:r>
              <w:rPr>
                <w:color w:val="000000" w:themeColor="text1"/>
                <w:sz w:val="24"/>
                <w:highlight w:val="none"/>
                <w14:textFill>
                  <w14:solidFill>
                    <w14:schemeClr w14:val="tx1"/>
                  </w14:solidFill>
                </w14:textFill>
              </w:rPr>
              <w:t>扩建</w:t>
            </w:r>
          </w:p>
          <w:p>
            <w:pPr>
              <w:keepNext w:val="0"/>
              <w:keepLines w:val="0"/>
              <w:suppressLineNumbers w:val="0"/>
              <w:adjustRightInd w:val="0"/>
              <w:snapToGrid w:val="0"/>
              <w:spacing w:before="0" w:beforeAutospacing="0" w:after="0" w:afterAutospacing="0"/>
              <w:ind w:left="0" w:right="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sym w:font="Wingdings 2" w:char="00A3"/>
            </w:r>
            <w:r>
              <w:rPr>
                <w:color w:val="000000" w:themeColor="text1"/>
                <w:sz w:val="24"/>
                <w:highlight w:val="none"/>
                <w14:textFill>
                  <w14:solidFill>
                    <w14:schemeClr w14:val="tx1"/>
                  </w14:solidFill>
                </w14:textFill>
              </w:rPr>
              <w:t>技术改造</w:t>
            </w:r>
          </w:p>
        </w:tc>
        <w:tc>
          <w:tcPr>
            <w:tcW w:w="2633" w:type="dxa"/>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建设项目</w:t>
            </w:r>
          </w:p>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申报情形</w:t>
            </w:r>
          </w:p>
        </w:tc>
        <w:tc>
          <w:tcPr>
            <w:tcW w:w="2974" w:type="dxa"/>
            <w:vAlign w:val="center"/>
          </w:tcPr>
          <w:p>
            <w:pPr>
              <w:keepNext w:val="0"/>
              <w:keepLines w:val="0"/>
              <w:suppressLineNumbers w:val="0"/>
              <w:adjustRightInd w:val="0"/>
              <w:snapToGrid w:val="0"/>
              <w:spacing w:before="0" w:beforeAutospacing="0" w:after="0" w:afterAutospacing="0"/>
              <w:ind w:left="0" w:right="0"/>
              <w:jc w:val="left"/>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sym w:font="Wingdings 2" w:char="0052"/>
            </w:r>
            <w:r>
              <w:rPr>
                <w:color w:val="000000" w:themeColor="text1"/>
                <w:sz w:val="24"/>
                <w:highlight w:val="none"/>
                <w14:textFill>
                  <w14:solidFill>
                    <w14:schemeClr w14:val="tx1"/>
                  </w14:solidFill>
                </w14:textFill>
              </w:rPr>
              <w:t>首次申报项目</w:t>
            </w:r>
          </w:p>
          <w:p>
            <w:pPr>
              <w:keepNext w:val="0"/>
              <w:keepLines w:val="0"/>
              <w:suppressLineNumbers w:val="0"/>
              <w:adjustRightInd w:val="0"/>
              <w:snapToGrid w:val="0"/>
              <w:spacing w:before="0" w:beforeAutospacing="0" w:after="0" w:afterAutospacing="0"/>
              <w:ind w:left="0" w:right="0"/>
              <w:jc w:val="left"/>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sym w:font="Wingdings 2" w:char="00A3"/>
            </w:r>
            <w:r>
              <w:rPr>
                <w:color w:val="000000" w:themeColor="text1"/>
                <w:sz w:val="24"/>
                <w:highlight w:val="none"/>
                <w14:textFill>
                  <w14:solidFill>
                    <w14:schemeClr w14:val="tx1"/>
                  </w14:solidFill>
                </w14:textFill>
              </w:rPr>
              <w:t>不予批准后再次申报项目</w:t>
            </w:r>
          </w:p>
          <w:p>
            <w:pPr>
              <w:keepNext w:val="0"/>
              <w:keepLines w:val="0"/>
              <w:suppressLineNumbers w:val="0"/>
              <w:adjustRightInd w:val="0"/>
              <w:snapToGrid w:val="0"/>
              <w:spacing w:before="0" w:beforeAutospacing="0" w:after="0" w:afterAutospacing="0"/>
              <w:ind w:left="0" w:right="0"/>
              <w:jc w:val="left"/>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sym w:font="Wingdings 2" w:char="00A3"/>
            </w:r>
            <w:r>
              <w:rPr>
                <w:color w:val="000000" w:themeColor="text1"/>
                <w:sz w:val="24"/>
                <w:highlight w:val="none"/>
                <w14:textFill>
                  <w14:solidFill>
                    <w14:schemeClr w14:val="tx1"/>
                  </w14:solidFill>
                </w14:textFill>
              </w:rPr>
              <w:t>超五年重新审核项目</w:t>
            </w:r>
          </w:p>
          <w:p>
            <w:pPr>
              <w:keepNext w:val="0"/>
              <w:keepLines w:val="0"/>
              <w:suppressLineNumbers w:val="0"/>
              <w:adjustRightInd w:val="0"/>
              <w:snapToGrid w:val="0"/>
              <w:spacing w:before="0" w:beforeAutospacing="0" w:after="0" w:afterAutospacing="0"/>
              <w:ind w:left="0" w:right="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sym w:font="Wingdings 2" w:char="00A3"/>
            </w:r>
            <w:r>
              <w:rPr>
                <w:color w:val="000000" w:themeColor="text1"/>
                <w:sz w:val="24"/>
                <w:highlight w:val="none"/>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504"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项目审批（核准/备案）部门（选填）</w:t>
            </w:r>
          </w:p>
        </w:tc>
        <w:tc>
          <w:tcPr>
            <w:tcW w:w="2156" w:type="dxa"/>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4"/>
                <w:highlight w:val="none"/>
                <w:lang w:val="en-US" w:eastAsia="zh-CN"/>
                <w14:textFill>
                  <w14:solidFill>
                    <w14:schemeClr w14:val="tx1"/>
                  </w14:solidFill>
                </w14:textFill>
              </w:rPr>
            </w:pPr>
            <w:r>
              <w:rPr>
                <w:rFonts w:hint="default" w:eastAsia="宋体"/>
                <w:color w:val="000000" w:themeColor="text1"/>
                <w:sz w:val="24"/>
                <w:highlight w:val="none"/>
                <w:lang w:val="en-US" w:eastAsia="zh-CN"/>
                <w14:textFill>
                  <w14:solidFill>
                    <w14:schemeClr w14:val="tx1"/>
                  </w14:solidFill>
                </w14:textFill>
              </w:rPr>
              <w:t>达州市发展和改革委员</w:t>
            </w:r>
            <w:r>
              <w:rPr>
                <w:rFonts w:hint="eastAsia"/>
                <w:color w:val="000000" w:themeColor="text1"/>
                <w:sz w:val="24"/>
                <w:highlight w:val="none"/>
                <w:lang w:val="en-US" w:eastAsia="zh-CN"/>
                <w14:textFill>
                  <w14:solidFill>
                    <w14:schemeClr w14:val="tx1"/>
                  </w14:solidFill>
                </w14:textFill>
              </w:rPr>
              <w:t>会</w:t>
            </w:r>
          </w:p>
        </w:tc>
        <w:tc>
          <w:tcPr>
            <w:tcW w:w="2633" w:type="dxa"/>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项目审批（核准/</w:t>
            </w:r>
          </w:p>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备案）文号（选填）</w:t>
            </w:r>
          </w:p>
        </w:tc>
        <w:tc>
          <w:tcPr>
            <w:tcW w:w="2974" w:type="dxa"/>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4"/>
                <w:highlight w:val="none"/>
                <w:lang w:val="en-US" w:eastAsia="zh-CN"/>
                <w14:textFill>
                  <w14:solidFill>
                    <w14:schemeClr w14:val="tx1"/>
                  </w14:solidFill>
                </w14:textFill>
              </w:rPr>
            </w:pPr>
            <w:r>
              <w:rPr>
                <w:rFonts w:hint="default" w:eastAsia="宋体"/>
                <w:color w:val="000000" w:themeColor="text1"/>
                <w:sz w:val="24"/>
                <w:highlight w:val="none"/>
                <w:lang w:val="en-US" w:eastAsia="zh-CN"/>
                <w14:textFill>
                  <w14:solidFill>
                    <w14:schemeClr w14:val="tx1"/>
                  </w14:solidFill>
                </w14:textFill>
              </w:rPr>
              <w:t>川投资备[2307-511700-04-01-936465]FGQB-0011号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33" w:hRule="atLeast"/>
        </w:trPr>
        <w:tc>
          <w:tcPr>
            <w:tcW w:w="1504"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总投资（万元）</w:t>
            </w:r>
          </w:p>
        </w:tc>
        <w:tc>
          <w:tcPr>
            <w:tcW w:w="2156" w:type="dxa"/>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77000</w:t>
            </w:r>
          </w:p>
        </w:tc>
        <w:tc>
          <w:tcPr>
            <w:tcW w:w="263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环保投资（万元）</w:t>
            </w:r>
          </w:p>
        </w:tc>
        <w:tc>
          <w:tcPr>
            <w:tcW w:w="2974" w:type="dxa"/>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238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3" w:hRule="atLeast"/>
        </w:trPr>
        <w:tc>
          <w:tcPr>
            <w:tcW w:w="1504"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环保投资占比（%）</w:t>
            </w:r>
          </w:p>
        </w:tc>
        <w:tc>
          <w:tcPr>
            <w:tcW w:w="2156" w:type="dxa"/>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0.31</w:t>
            </w:r>
          </w:p>
        </w:tc>
        <w:tc>
          <w:tcPr>
            <w:tcW w:w="263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施工工期</w:t>
            </w:r>
          </w:p>
        </w:tc>
        <w:tc>
          <w:tcPr>
            <w:tcW w:w="2974" w:type="dxa"/>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w:t>
            </w:r>
            <w:r>
              <w:rPr>
                <w:rFonts w:hint="eastAsia"/>
                <w:color w:val="000000" w:themeColor="text1"/>
                <w:sz w:val="24"/>
                <w:highlight w:val="none"/>
                <w:lang w:val="en-US" w:eastAsia="zh-CN"/>
                <w14:textFill>
                  <w14:solidFill>
                    <w14:schemeClr w14:val="tx1"/>
                  </w14:solidFill>
                </w14:textFill>
              </w:rPr>
              <w:t>4</w:t>
            </w:r>
            <w:r>
              <w:rPr>
                <w:color w:val="000000" w:themeColor="text1"/>
                <w:sz w:val="24"/>
                <w:highlight w:val="none"/>
                <w14:textFill>
                  <w14:solidFill>
                    <w14:schemeClr w14:val="tx1"/>
                  </w14:solidFill>
                </w14:textFill>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61" w:hRule="atLeast"/>
        </w:trPr>
        <w:tc>
          <w:tcPr>
            <w:tcW w:w="1504"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是否开工建设</w:t>
            </w:r>
          </w:p>
        </w:tc>
        <w:tc>
          <w:tcPr>
            <w:tcW w:w="7763" w:type="dxa"/>
            <w:gridSpan w:val="3"/>
            <w:vAlign w:val="center"/>
          </w:tcPr>
          <w:p>
            <w:pPr>
              <w:keepNext w:val="0"/>
              <w:keepLines w:val="0"/>
              <w:suppressLineNumbers w:val="0"/>
              <w:adjustRightInd w:val="0"/>
              <w:snapToGrid w:val="0"/>
              <w:spacing w:before="0" w:beforeAutospacing="0" w:after="0" w:afterAutospacing="0"/>
              <w:ind w:left="0" w:right="0" w:firstLine="105"/>
              <w:jc w:val="left"/>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sym w:font="Wingdings 2" w:char="0052"/>
            </w:r>
            <w:r>
              <w:rPr>
                <w:color w:val="000000" w:themeColor="text1"/>
                <w:sz w:val="24"/>
                <w:highlight w:val="none"/>
                <w14:textFill>
                  <w14:solidFill>
                    <w14:schemeClr w14:val="tx1"/>
                  </w14:solidFill>
                </w14:textFill>
              </w:rPr>
              <w:t>否</w:t>
            </w:r>
          </w:p>
          <w:p>
            <w:pPr>
              <w:keepNext w:val="0"/>
              <w:keepLines w:val="0"/>
              <w:suppressLineNumbers w:val="0"/>
              <w:adjustRightInd w:val="0"/>
              <w:snapToGrid w:val="0"/>
              <w:spacing w:before="0" w:beforeAutospacing="0" w:after="0" w:afterAutospacing="0"/>
              <w:ind w:left="0" w:right="0" w:firstLine="92"/>
              <w:jc w:val="left"/>
              <w:rPr>
                <w:rFonts w:hint="eastAsia" w:eastAsia="宋体"/>
                <w:color w:val="000000" w:themeColor="text1"/>
                <w:sz w:val="24"/>
                <w:highlight w:val="none"/>
                <w:lang w:eastAsia="zh-CN"/>
                <w14:textFill>
                  <w14:solidFill>
                    <w14:schemeClr w14:val="tx1"/>
                  </w14:solidFill>
                </w14:textFill>
              </w:rPr>
            </w:pPr>
            <w:r>
              <w:rPr>
                <w:color w:val="000000" w:themeColor="text1"/>
                <w:sz w:val="24"/>
                <w:highlight w:val="none"/>
                <w14:textFill>
                  <w14:solidFill>
                    <w14:schemeClr w14:val="tx1"/>
                  </w14:solidFill>
                </w14:textFill>
              </w:rPr>
              <w:sym w:font="Wingdings 2" w:char="00A3"/>
            </w:r>
            <w:r>
              <w:rPr>
                <w:color w:val="000000" w:themeColor="text1"/>
                <w:sz w:val="24"/>
                <w:highlight w:val="none"/>
                <w14:textFill>
                  <w14:solidFill>
                    <w14:schemeClr w14:val="tx1"/>
                  </w14:solidFill>
                </w14:textFill>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7" w:hRule="atLeast"/>
        </w:trPr>
        <w:tc>
          <w:tcPr>
            <w:tcW w:w="1504"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专项评价设置情况</w:t>
            </w:r>
          </w:p>
        </w:tc>
        <w:tc>
          <w:tcPr>
            <w:tcW w:w="7763" w:type="dxa"/>
            <w:gridSpan w:val="3"/>
            <w:tcMar>
              <w:top w:w="16" w:type="dxa"/>
              <w:left w:w="16" w:type="dxa"/>
              <w:right w:w="16" w:type="dxa"/>
            </w:tcMar>
            <w:vAlign w:val="center"/>
          </w:tcPr>
          <w:p>
            <w:pPr>
              <w:keepNext w:val="0"/>
              <w:keepLines w:val="0"/>
              <w:widowControl w:val="0"/>
              <w:suppressLineNumbers w:val="0"/>
              <w:spacing w:before="0" w:beforeAutospacing="0" w:after="0" w:afterAutospacing="0" w:line="360" w:lineRule="auto"/>
              <w:ind w:left="0" w:right="0" w:firstLine="480" w:firstLineChars="200"/>
              <w:jc w:val="both"/>
              <w:rPr>
                <w:color w:val="000000" w:themeColor="text1"/>
                <w:kern w:val="0"/>
                <w:sz w:val="24"/>
                <w:szCs w:val="24"/>
                <w:highlight w:val="none"/>
                <w:lang w:val="en-US"/>
                <w14:textFill>
                  <w14:solidFill>
                    <w14:schemeClr w14:val="tx1"/>
                  </w14:solidFill>
                </w14:textFill>
              </w:rPr>
            </w:pP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根据《建设项目环境影响报告表编制技术指南（</w:t>
            </w:r>
            <w:r>
              <w:rPr>
                <w:rFonts w:hint="eastAsia" w:cs="宋体"/>
                <w:color w:val="000000" w:themeColor="text1"/>
                <w:kern w:val="0"/>
                <w:sz w:val="24"/>
                <w:szCs w:val="24"/>
                <w:highlight w:val="none"/>
                <w:lang w:val="en-US" w:eastAsia="zh-CN" w:bidi="ar"/>
                <w14:textFill>
                  <w14:solidFill>
                    <w14:schemeClr w14:val="tx1"/>
                  </w14:solidFill>
                </w14:textFill>
              </w:rPr>
              <w:t>生态</w:t>
            </w: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影响类）》（试行）表</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1</w:t>
            </w: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判定，本项目应设置声环境专项评价，判定结果如下：</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表1-1项目专项评价设置情况</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97"/>
              <w:gridCol w:w="4513"/>
              <w:gridCol w:w="1091"/>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line="276" w:lineRule="auto"/>
                    <w:ind w:left="0" w:leftChars="0" w:right="0"/>
                    <w:jc w:val="center"/>
                    <w:rPr>
                      <w:b/>
                      <w:bCs w:val="0"/>
                      <w:color w:val="000000" w:themeColor="text1"/>
                      <w:sz w:val="21"/>
                      <w:szCs w:val="21"/>
                      <w:highlight w:val="none"/>
                      <w:lang w:val="en-US"/>
                      <w14:textFill>
                        <w14:solidFill>
                          <w14:schemeClr w14:val="tx1"/>
                        </w14:solidFill>
                      </w14:textFill>
                    </w:rPr>
                  </w:pPr>
                  <w:r>
                    <w:rPr>
                      <w:rFonts w:hint="eastAsia" w:ascii="Times New Roman" w:hAnsi="Times New Roman" w:eastAsia="宋体" w:cs="宋体"/>
                      <w:b/>
                      <w:bCs w:val="0"/>
                      <w:color w:val="000000" w:themeColor="text1"/>
                      <w:kern w:val="2"/>
                      <w:sz w:val="21"/>
                      <w:szCs w:val="21"/>
                      <w:highlight w:val="none"/>
                      <w:lang w:val="en-US" w:eastAsia="zh-CN" w:bidi="ar"/>
                      <w14:textFill>
                        <w14:solidFill>
                          <w14:schemeClr w14:val="tx1"/>
                        </w14:solidFill>
                      </w14:textFill>
                    </w:rPr>
                    <w:t>专项评价的类别</w:t>
                  </w:r>
                </w:p>
              </w:tc>
              <w:tc>
                <w:tcPr>
                  <w:tcW w:w="292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line="276" w:lineRule="auto"/>
                    <w:ind w:left="0" w:leftChars="0" w:right="0"/>
                    <w:jc w:val="center"/>
                    <w:rPr>
                      <w:rFonts w:hint="default"/>
                      <w:b/>
                      <w:bCs w:val="0"/>
                      <w:color w:val="000000" w:themeColor="text1"/>
                      <w:sz w:val="21"/>
                      <w:szCs w:val="21"/>
                      <w:highlight w:val="none"/>
                      <w:lang w:val="en-US"/>
                      <w14:textFill>
                        <w14:solidFill>
                          <w14:schemeClr w14:val="tx1"/>
                        </w14:solidFill>
                      </w14:textFill>
                    </w:rPr>
                  </w:pPr>
                  <w:r>
                    <w:rPr>
                      <w:rFonts w:hint="eastAsia" w:ascii="Times New Roman" w:hAnsi="Times New Roman" w:cs="宋体"/>
                      <w:b/>
                      <w:bCs w:val="0"/>
                      <w:color w:val="000000" w:themeColor="text1"/>
                      <w:kern w:val="2"/>
                      <w:sz w:val="21"/>
                      <w:szCs w:val="21"/>
                      <w:highlight w:val="none"/>
                      <w:lang w:val="en-US" w:eastAsia="zh-CN" w:bidi="ar"/>
                      <w14:textFill>
                        <w14:solidFill>
                          <w14:schemeClr w14:val="tx1"/>
                        </w14:solidFill>
                      </w14:textFill>
                    </w:rPr>
                    <w:t>涉及项目类别</w:t>
                  </w:r>
                </w:p>
              </w:tc>
              <w:tc>
                <w:tcPr>
                  <w:tcW w:w="70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line="276" w:lineRule="auto"/>
                    <w:ind w:left="0" w:leftChars="0" w:right="0"/>
                    <w:jc w:val="center"/>
                    <w:rPr>
                      <w:b/>
                      <w:bCs w:val="0"/>
                      <w:color w:val="000000" w:themeColor="text1"/>
                      <w:sz w:val="21"/>
                      <w:szCs w:val="21"/>
                      <w:highlight w:val="none"/>
                      <w:lang w:val="en-US"/>
                      <w14:textFill>
                        <w14:solidFill>
                          <w14:schemeClr w14:val="tx1"/>
                        </w14:solidFill>
                      </w14:textFill>
                    </w:rPr>
                  </w:pPr>
                  <w:r>
                    <w:rPr>
                      <w:rFonts w:hint="eastAsia" w:ascii="Times New Roman" w:hAnsi="Times New Roman" w:eastAsia="宋体" w:cs="宋体"/>
                      <w:b/>
                      <w:bCs w:val="0"/>
                      <w:color w:val="000000" w:themeColor="text1"/>
                      <w:kern w:val="2"/>
                      <w:sz w:val="21"/>
                      <w:szCs w:val="21"/>
                      <w:highlight w:val="none"/>
                      <w:lang w:val="en-US" w:eastAsia="zh-CN" w:bidi="ar"/>
                      <w14:textFill>
                        <w14:solidFill>
                          <w14:schemeClr w14:val="tx1"/>
                        </w14:solidFill>
                      </w14:textFill>
                    </w:rPr>
                    <w:t>本项目情况</w:t>
                  </w:r>
                </w:p>
              </w:tc>
              <w:tc>
                <w:tcPr>
                  <w:tcW w:w="65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line="276" w:lineRule="auto"/>
                    <w:ind w:left="0" w:leftChars="0" w:right="0"/>
                    <w:jc w:val="center"/>
                    <w:rPr>
                      <w:b/>
                      <w:bCs w:val="0"/>
                      <w:color w:val="000000" w:themeColor="text1"/>
                      <w:sz w:val="21"/>
                      <w:szCs w:val="21"/>
                      <w:highlight w:val="none"/>
                      <w:lang w:val="en-US"/>
                      <w14:textFill>
                        <w14:solidFill>
                          <w14:schemeClr w14:val="tx1"/>
                        </w14:solidFill>
                      </w14:textFill>
                    </w:rPr>
                  </w:pPr>
                  <w:r>
                    <w:rPr>
                      <w:rFonts w:hint="eastAsia" w:ascii="Times New Roman" w:hAnsi="Times New Roman" w:eastAsia="宋体" w:cs="宋体"/>
                      <w:b/>
                      <w:bCs w:val="0"/>
                      <w:color w:val="000000" w:themeColor="text1"/>
                      <w:kern w:val="2"/>
                      <w:sz w:val="21"/>
                      <w:szCs w:val="21"/>
                      <w:highlight w:val="none"/>
                      <w:lang w:val="en-US" w:eastAsia="zh-CN" w:bidi="ar"/>
                      <w14:textFill>
                        <w14:solidFill>
                          <w14:schemeClr w14:val="tx1"/>
                        </w14:solidFill>
                      </w14:textFill>
                    </w:rPr>
                    <w:t>判定结果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line="276" w:lineRule="auto"/>
                    <w:ind w:left="0" w:leftChars="0" w:right="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地表水</w:t>
                  </w:r>
                </w:p>
              </w:tc>
              <w:tc>
                <w:tcPr>
                  <w:tcW w:w="292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line="276" w:lineRule="auto"/>
                    <w:ind w:left="0" w:leftChars="0" w:right="0"/>
                    <w:jc w:val="both"/>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水力发电</w:t>
                  </w: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14:textFill>
                        <w14:solidFill>
                          <w14:schemeClr w14:val="tx1"/>
                        </w14:solidFill>
                      </w14:textFill>
                    </w:rPr>
                    <w:t>引水式发电、涉及调峰发电的项目</w:t>
                  </w: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14:textFill>
                        <w14:solidFill>
                          <w14:schemeClr w14:val="tx1"/>
                        </w14:solidFill>
                      </w14:textFill>
                    </w:rPr>
                    <w:t>人工湖、人工湿地</w:t>
                  </w: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14:textFill>
                        <w14:solidFill>
                          <w14:schemeClr w14:val="tx1"/>
                        </w14:solidFill>
                      </w14:textFill>
                    </w:rPr>
                    <w:t>全部</w:t>
                  </w:r>
                  <w:r>
                    <w:rPr>
                      <w:rFonts w:hint="eastAsia"/>
                      <w:color w:val="000000" w:themeColor="text1"/>
                      <w:sz w:val="21"/>
                      <w:szCs w:val="21"/>
                      <w:highlight w:val="none"/>
                      <w:lang w:val="en-US" w:eastAsia="zh-CN"/>
                      <w14:textFill>
                        <w14:solidFill>
                          <w14:schemeClr w14:val="tx1"/>
                        </w14:solidFill>
                      </w14:textFill>
                    </w:rPr>
                    <w:t>；</w:t>
                  </w:r>
                </w:p>
                <w:p>
                  <w:pPr>
                    <w:pStyle w:val="19"/>
                    <w:keepNext w:val="0"/>
                    <w:keepLines w:val="0"/>
                    <w:widowControl w:val="0"/>
                    <w:suppressLineNumbers w:val="0"/>
                    <w:spacing w:before="0" w:beforeAutospacing="0" w:after="0" w:afterAutospacing="0" w:line="276" w:lineRule="auto"/>
                    <w:ind w:left="0" w:leftChars="0" w:right="0"/>
                    <w:jc w:val="both"/>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水库:全部</w:t>
                  </w:r>
                  <w:r>
                    <w:rPr>
                      <w:rFonts w:hint="eastAsia"/>
                      <w:color w:val="000000" w:themeColor="text1"/>
                      <w:sz w:val="21"/>
                      <w:szCs w:val="21"/>
                      <w:highlight w:val="none"/>
                      <w:lang w:val="en-US" w:eastAsia="zh-CN"/>
                      <w14:textFill>
                        <w14:solidFill>
                          <w14:schemeClr w14:val="tx1"/>
                        </w14:solidFill>
                      </w14:textFill>
                    </w:rPr>
                    <w:t>；</w:t>
                  </w:r>
                </w:p>
                <w:p>
                  <w:pPr>
                    <w:pStyle w:val="19"/>
                    <w:keepNext w:val="0"/>
                    <w:keepLines w:val="0"/>
                    <w:widowControl w:val="0"/>
                    <w:suppressLineNumbers w:val="0"/>
                    <w:spacing w:before="0" w:beforeAutospacing="0" w:after="0" w:afterAutospacing="0" w:line="276" w:lineRule="auto"/>
                    <w:ind w:left="0" w:leftChars="0" w:right="0"/>
                    <w:jc w:val="both"/>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引水工程</w:t>
                  </w: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14:textFill>
                        <w14:solidFill>
                          <w14:schemeClr w14:val="tx1"/>
                        </w14:solidFill>
                      </w14:textFill>
                    </w:rPr>
                    <w:t>全部(配套的管线工程等除外)</w:t>
                  </w:r>
                  <w:r>
                    <w:rPr>
                      <w:rFonts w:hint="eastAsia"/>
                      <w:color w:val="000000" w:themeColor="text1"/>
                      <w:sz w:val="21"/>
                      <w:szCs w:val="21"/>
                      <w:highlight w:val="none"/>
                      <w:lang w:val="en-US" w:eastAsia="zh-CN"/>
                      <w14:textFill>
                        <w14:solidFill>
                          <w14:schemeClr w14:val="tx1"/>
                        </w14:solidFill>
                      </w14:textFill>
                    </w:rPr>
                    <w:t>；</w:t>
                  </w:r>
                </w:p>
                <w:p>
                  <w:pPr>
                    <w:pStyle w:val="19"/>
                    <w:keepNext w:val="0"/>
                    <w:keepLines w:val="0"/>
                    <w:widowControl w:val="0"/>
                    <w:suppressLineNumbers w:val="0"/>
                    <w:spacing w:before="0" w:beforeAutospacing="0" w:after="0" w:afterAutospacing="0" w:line="276" w:lineRule="auto"/>
                    <w:ind w:left="0" w:leftChars="0" w:right="0"/>
                    <w:jc w:val="both"/>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防洪除涝工程</w:t>
                  </w: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14:textFill>
                        <w14:solidFill>
                          <w14:schemeClr w14:val="tx1"/>
                        </w14:solidFill>
                      </w14:textFill>
                    </w:rPr>
                    <w:t>包含水库的项目</w:t>
                  </w:r>
                  <w:r>
                    <w:rPr>
                      <w:rFonts w:hint="eastAsia"/>
                      <w:color w:val="000000" w:themeColor="text1"/>
                      <w:sz w:val="21"/>
                      <w:szCs w:val="21"/>
                      <w:highlight w:val="none"/>
                      <w:lang w:val="en-US" w:eastAsia="zh-CN"/>
                      <w14:textFill>
                        <w14:solidFill>
                          <w14:schemeClr w14:val="tx1"/>
                        </w14:solidFill>
                      </w14:textFill>
                    </w:rPr>
                    <w:t>；</w:t>
                  </w:r>
                </w:p>
                <w:p>
                  <w:pPr>
                    <w:pStyle w:val="19"/>
                    <w:keepNext w:val="0"/>
                    <w:keepLines w:val="0"/>
                    <w:widowControl w:val="0"/>
                    <w:suppressLineNumbers w:val="0"/>
                    <w:spacing w:before="0" w:beforeAutospacing="0" w:after="0" w:afterAutospacing="0" w:line="276" w:lineRule="auto"/>
                    <w:ind w:left="0" w:leftChars="0" w:right="0"/>
                    <w:jc w:val="both"/>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河湖整治</w:t>
                  </w: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14:textFill>
                        <w14:solidFill>
                          <w14:schemeClr w14:val="tx1"/>
                        </w14:solidFill>
                      </w14:textFill>
                    </w:rPr>
                    <w:t>涉及清淤且底泥存在重金属污染的项目</w:t>
                  </w:r>
                </w:p>
              </w:tc>
              <w:tc>
                <w:tcPr>
                  <w:tcW w:w="70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line="276" w:lineRule="auto"/>
                    <w:ind w:left="0" w:leftChars="0" w:right="0"/>
                    <w:jc w:val="both"/>
                    <w:rPr>
                      <w:rFonts w:hint="default"/>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不涉及</w:t>
                  </w:r>
                </w:p>
              </w:tc>
              <w:tc>
                <w:tcPr>
                  <w:tcW w:w="65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line="276" w:lineRule="auto"/>
                    <w:ind w:left="0" w:leftChars="0" w:right="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line="276" w:lineRule="auto"/>
                    <w:ind w:left="0" w:leftChars="0" w:right="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地下水</w:t>
                  </w:r>
                </w:p>
              </w:tc>
              <w:tc>
                <w:tcPr>
                  <w:tcW w:w="292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line="276" w:lineRule="auto"/>
                    <w:ind w:left="0" w:leftChars="0" w:right="0"/>
                    <w:jc w:val="both"/>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陆地石油和天然气开采</w:t>
                  </w: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14:textFill>
                        <w14:solidFill>
                          <w14:schemeClr w14:val="tx1"/>
                        </w14:solidFill>
                      </w14:textFill>
                    </w:rPr>
                    <w:t>全部</w:t>
                  </w:r>
                  <w:r>
                    <w:rPr>
                      <w:rFonts w:hint="eastAsia"/>
                      <w:color w:val="000000" w:themeColor="text1"/>
                      <w:sz w:val="21"/>
                      <w:szCs w:val="21"/>
                      <w:highlight w:val="none"/>
                      <w:lang w:val="en-US" w:eastAsia="zh-CN"/>
                      <w14:textFill>
                        <w14:solidFill>
                          <w14:schemeClr w14:val="tx1"/>
                        </w14:solidFill>
                      </w14:textFill>
                    </w:rPr>
                    <w:t>；</w:t>
                  </w:r>
                </w:p>
                <w:p>
                  <w:pPr>
                    <w:pStyle w:val="19"/>
                    <w:keepNext w:val="0"/>
                    <w:keepLines w:val="0"/>
                    <w:widowControl w:val="0"/>
                    <w:suppressLineNumbers w:val="0"/>
                    <w:spacing w:before="0" w:beforeAutospacing="0" w:after="0" w:afterAutospacing="0" w:line="276" w:lineRule="auto"/>
                    <w:ind w:left="0" w:leftChars="0" w:right="0"/>
                    <w:jc w:val="both"/>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地下水(含矿泉水)开采</w:t>
                  </w: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14:textFill>
                        <w14:solidFill>
                          <w14:schemeClr w14:val="tx1"/>
                        </w14:solidFill>
                      </w14:textFill>
                    </w:rPr>
                    <w:t>全部</w:t>
                  </w:r>
                  <w:r>
                    <w:rPr>
                      <w:rFonts w:hint="eastAsia"/>
                      <w:color w:val="000000" w:themeColor="text1"/>
                      <w:sz w:val="21"/>
                      <w:szCs w:val="21"/>
                      <w:highlight w:val="none"/>
                      <w:lang w:val="en-US" w:eastAsia="zh-CN"/>
                      <w14:textFill>
                        <w14:solidFill>
                          <w14:schemeClr w14:val="tx1"/>
                        </w14:solidFill>
                      </w14:textFill>
                    </w:rPr>
                    <w:t>；</w:t>
                  </w:r>
                </w:p>
                <w:p>
                  <w:pPr>
                    <w:pStyle w:val="19"/>
                    <w:keepNext w:val="0"/>
                    <w:keepLines w:val="0"/>
                    <w:widowControl w:val="0"/>
                    <w:suppressLineNumbers w:val="0"/>
                    <w:spacing w:before="0" w:beforeAutospacing="0" w:after="0" w:afterAutospacing="0" w:line="276" w:lineRule="auto"/>
                    <w:ind w:left="0" w:leftChars="0" w:right="0"/>
                    <w:jc w:val="both"/>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水利、水电、交通等</w:t>
                  </w: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14:textFill>
                        <w14:solidFill>
                          <w14:schemeClr w14:val="tx1"/>
                        </w14:solidFill>
                      </w14:textFill>
                    </w:rPr>
                    <w:t>含穿越可溶岩地层隧道的项目</w:t>
                  </w:r>
                </w:p>
              </w:tc>
              <w:tc>
                <w:tcPr>
                  <w:tcW w:w="70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line="276" w:lineRule="auto"/>
                    <w:ind w:left="0" w:leftChars="0" w:right="0"/>
                    <w:jc w:val="both"/>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不涉及</w:t>
                  </w:r>
                </w:p>
              </w:tc>
              <w:tc>
                <w:tcPr>
                  <w:tcW w:w="65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line="276" w:lineRule="auto"/>
                    <w:ind w:left="0" w:leftChars="0" w:right="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line="276" w:lineRule="auto"/>
                    <w:ind w:left="0" w:leftChars="0" w:right="0" w:rightChars="0"/>
                    <w:jc w:val="center"/>
                    <w:rPr>
                      <w:rFonts w:hint="eastAsia" w:ascii="宋体" w:hAnsi="宋体"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生态</w:t>
                  </w:r>
                </w:p>
              </w:tc>
              <w:tc>
                <w:tcPr>
                  <w:tcW w:w="292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line="276" w:lineRule="auto"/>
                    <w:ind w:left="0" w:leftChars="0" w:right="0" w:rightChars="0"/>
                    <w:jc w:val="both"/>
                    <w:rPr>
                      <w:rFonts w:hint="eastAsia" w:ascii="宋体" w:hAnsi="宋体"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涉及环境敏感区(不包括饮用水水源保护区，以居住、医疗卫生、文化教育、科研、行政办公为主要功能的区域，以及文物保护单位)的项目</w:t>
                  </w:r>
                </w:p>
              </w:tc>
              <w:tc>
                <w:tcPr>
                  <w:tcW w:w="70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line="276" w:lineRule="auto"/>
                    <w:ind w:left="0" w:leftChars="0" w:right="0" w:rightChars="0"/>
                    <w:jc w:val="both"/>
                    <w:rPr>
                      <w:rFonts w:hint="default" w:ascii="宋体" w:hAnsi="宋体"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不涉及</w:t>
                  </w:r>
                </w:p>
              </w:tc>
              <w:tc>
                <w:tcPr>
                  <w:tcW w:w="65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line="276" w:lineRule="auto"/>
                    <w:ind w:left="0" w:leftChars="0" w:right="0" w:rightChars="0"/>
                    <w:jc w:val="center"/>
                    <w:rPr>
                      <w:rFonts w:hint="eastAsia" w:ascii="宋体" w:hAnsi="宋体"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宋体"/>
                      <w:color w:val="000000" w:themeColor="text1"/>
                      <w:kern w:val="2"/>
                      <w:sz w:val="21"/>
                      <w:szCs w:val="21"/>
                      <w:highlight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line="276" w:lineRule="auto"/>
                    <w:ind w:left="0" w:leftChars="0" w:right="0" w:rightChars="0"/>
                    <w:jc w:val="center"/>
                    <w:rPr>
                      <w:rFonts w:hint="eastAsia" w:ascii="宋体" w:hAnsi="宋体"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大气</w:t>
                  </w:r>
                </w:p>
              </w:tc>
              <w:tc>
                <w:tcPr>
                  <w:tcW w:w="292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line="276" w:lineRule="auto"/>
                    <w:ind w:left="0" w:leftChars="0" w:right="0"/>
                    <w:jc w:val="both"/>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油气、液体化工码头</w:t>
                  </w: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14:textFill>
                        <w14:solidFill>
                          <w14:schemeClr w14:val="tx1"/>
                        </w14:solidFill>
                      </w14:textFill>
                    </w:rPr>
                    <w:t>全部</w:t>
                  </w:r>
                  <w:r>
                    <w:rPr>
                      <w:rFonts w:hint="eastAsia"/>
                      <w:color w:val="000000" w:themeColor="text1"/>
                      <w:sz w:val="21"/>
                      <w:szCs w:val="21"/>
                      <w:highlight w:val="none"/>
                      <w:lang w:val="en-US" w:eastAsia="zh-CN"/>
                      <w14:textFill>
                        <w14:solidFill>
                          <w14:schemeClr w14:val="tx1"/>
                        </w14:solidFill>
                      </w14:textFill>
                    </w:rPr>
                    <w:t>；</w:t>
                  </w:r>
                </w:p>
                <w:p>
                  <w:pPr>
                    <w:pStyle w:val="19"/>
                    <w:keepNext w:val="0"/>
                    <w:keepLines w:val="0"/>
                    <w:widowControl w:val="0"/>
                    <w:suppressLineNumbers w:val="0"/>
                    <w:spacing w:before="0" w:beforeAutospacing="0" w:after="0" w:afterAutospacing="0" w:line="276" w:lineRule="auto"/>
                    <w:ind w:left="0" w:leftChars="0" w:right="0" w:rightChars="0"/>
                    <w:jc w:val="both"/>
                    <w:rPr>
                      <w:rFonts w:hint="eastAsia" w:ascii="宋体" w:hAnsi="宋体"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干散货(含煤炭、矿石)、件杂、多用途、通用码头</w:t>
                  </w: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14:textFill>
                        <w14:solidFill>
                          <w14:schemeClr w14:val="tx1"/>
                        </w14:solidFill>
                      </w14:textFill>
                    </w:rPr>
                    <w:t>涉及粉尘、挥发性有机物排放的项目</w:t>
                  </w:r>
                </w:p>
              </w:tc>
              <w:tc>
                <w:tcPr>
                  <w:tcW w:w="70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line="276" w:lineRule="auto"/>
                    <w:ind w:left="0" w:leftChars="0" w:right="0" w:rightChars="0"/>
                    <w:jc w:val="both"/>
                    <w:rPr>
                      <w:rFonts w:hint="eastAsia" w:ascii="宋体" w:hAnsi="宋体"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不涉及</w:t>
                  </w:r>
                </w:p>
              </w:tc>
              <w:tc>
                <w:tcPr>
                  <w:tcW w:w="65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line="276" w:lineRule="auto"/>
                    <w:ind w:left="0" w:leftChars="0" w:right="0" w:rightChars="0"/>
                    <w:jc w:val="center"/>
                    <w:rPr>
                      <w:rFonts w:hint="eastAsia" w:ascii="宋体" w:hAnsi="宋体"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line="276" w:lineRule="auto"/>
                    <w:ind w:left="0" w:leftChars="0" w:right="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噪声</w:t>
                  </w:r>
                </w:p>
              </w:tc>
              <w:tc>
                <w:tcPr>
                  <w:tcW w:w="292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line="276" w:lineRule="auto"/>
                    <w:ind w:left="0" w:leftChars="0" w:right="0"/>
                    <w:jc w:val="both"/>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公路、铁路、机场等交通运输业涉及环境敏感区(以居住、医疗卫生、文化教育、科研、行政办公为主要功能的区域)的项目</w:t>
                  </w:r>
                  <w:r>
                    <w:rPr>
                      <w:rFonts w:hint="eastAsia"/>
                      <w:color w:val="000000" w:themeColor="text1"/>
                      <w:sz w:val="21"/>
                      <w:szCs w:val="21"/>
                      <w:highlight w:val="none"/>
                      <w:lang w:val="en-US" w:eastAsia="zh-CN"/>
                      <w14:textFill>
                        <w14:solidFill>
                          <w14:schemeClr w14:val="tx1"/>
                        </w14:solidFill>
                      </w14:textFill>
                    </w:rPr>
                    <w:t>；</w:t>
                  </w:r>
                </w:p>
                <w:p>
                  <w:pPr>
                    <w:pStyle w:val="19"/>
                    <w:keepNext w:val="0"/>
                    <w:keepLines w:val="0"/>
                    <w:widowControl w:val="0"/>
                    <w:suppressLineNumbers w:val="0"/>
                    <w:spacing w:before="0" w:beforeAutospacing="0" w:after="0" w:afterAutospacing="0" w:line="276" w:lineRule="auto"/>
                    <w:ind w:left="0" w:leftChars="0" w:right="0"/>
                    <w:jc w:val="both"/>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城市道路(不含维护，不含支路、人行天桥、人行地道)</w:t>
                  </w: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14:textFill>
                        <w14:solidFill>
                          <w14:schemeClr w14:val="tx1"/>
                        </w14:solidFill>
                      </w14:textFill>
                    </w:rPr>
                    <w:t>全部</w:t>
                  </w:r>
                </w:p>
              </w:tc>
              <w:tc>
                <w:tcPr>
                  <w:tcW w:w="706" w:type="pct"/>
                  <w:tcBorders>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line="276" w:lineRule="auto"/>
                    <w:ind w:left="0" w:leftChars="0" w:right="0"/>
                    <w:jc w:val="both"/>
                    <w:rPr>
                      <w:rFonts w:hint="default"/>
                      <w:b/>
                      <w:bCs/>
                      <w:color w:val="000000" w:themeColor="text1"/>
                      <w:sz w:val="21"/>
                      <w:szCs w:val="21"/>
                      <w:highlight w:val="none"/>
                      <w:lang w:val="en-US"/>
                      <w14:textFill>
                        <w14:solidFill>
                          <w14:schemeClr w14:val="tx1"/>
                        </w14:solidFill>
                      </w14:textFill>
                    </w:rPr>
                  </w:pPr>
                  <w:r>
                    <w:rPr>
                      <w:rFonts w:hint="eastAsia" w:ascii="Times New Roman" w:hAnsi="Times New Roman" w:cs="宋体"/>
                      <w:b/>
                      <w:bCs/>
                      <w:color w:val="000000" w:themeColor="text1"/>
                      <w:kern w:val="2"/>
                      <w:sz w:val="21"/>
                      <w:szCs w:val="21"/>
                      <w:highlight w:val="none"/>
                      <w:lang w:val="en-US" w:eastAsia="zh-CN" w:bidi="ar"/>
                      <w14:textFill>
                        <w14:solidFill>
                          <w14:schemeClr w14:val="tx1"/>
                        </w14:solidFill>
                      </w14:textFill>
                    </w:rPr>
                    <w:t>本项目为新建城市主干路，</w:t>
                  </w:r>
                  <w:r>
                    <w:rPr>
                      <w:rFonts w:hint="eastAsia" w:ascii="Times New Roman" w:hAnsi="Times New Roman" w:eastAsia="宋体" w:cs="宋体"/>
                      <w:b/>
                      <w:bCs/>
                      <w:color w:val="000000" w:themeColor="text1"/>
                      <w:kern w:val="2"/>
                      <w:sz w:val="21"/>
                      <w:szCs w:val="21"/>
                      <w:highlight w:val="none"/>
                      <w:lang w:val="en-US" w:eastAsia="zh-CN" w:bidi="ar"/>
                      <w14:textFill>
                        <w14:solidFill>
                          <w14:schemeClr w14:val="tx1"/>
                        </w14:solidFill>
                      </w14:textFill>
                    </w:rPr>
                    <w:t>属于城市道路</w:t>
                  </w:r>
                </w:p>
              </w:tc>
              <w:tc>
                <w:tcPr>
                  <w:tcW w:w="65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line="276" w:lineRule="auto"/>
                    <w:ind w:left="0" w:leftChars="0" w:right="0"/>
                    <w:jc w:val="center"/>
                    <w:rPr>
                      <w:b/>
                      <w:bCs/>
                      <w:color w:val="000000" w:themeColor="text1"/>
                      <w:sz w:val="21"/>
                      <w:szCs w:val="21"/>
                      <w:highlight w:val="none"/>
                      <w:lang w:val="en-US"/>
                      <w14:textFill>
                        <w14:solidFill>
                          <w14:schemeClr w14:val="tx1"/>
                        </w14:solidFill>
                      </w14:textFill>
                    </w:rPr>
                  </w:pPr>
                  <w:r>
                    <w:rPr>
                      <w:rFonts w:hint="eastAsia" w:ascii="Times New Roman" w:hAnsi="Times New Roman" w:cs="宋体"/>
                      <w:b/>
                      <w:bCs/>
                      <w:color w:val="000000" w:themeColor="text1"/>
                      <w:kern w:val="2"/>
                      <w:sz w:val="21"/>
                      <w:szCs w:val="21"/>
                      <w:highlight w:val="none"/>
                      <w:lang w:val="en-US" w:eastAsia="zh-CN" w:bidi="ar"/>
                      <w14:textFill>
                        <w14:solidFill>
                          <w14:schemeClr w14:val="tx1"/>
                        </w14:solidFill>
                      </w14:textFill>
                    </w:rPr>
                    <w:t>应</w:t>
                  </w:r>
                  <w:r>
                    <w:rPr>
                      <w:rFonts w:hint="eastAsia" w:ascii="Times New Roman" w:hAnsi="Times New Roman" w:eastAsia="宋体" w:cs="宋体"/>
                      <w:b/>
                      <w:bCs/>
                      <w:color w:val="000000" w:themeColor="text1"/>
                      <w:kern w:val="2"/>
                      <w:sz w:val="21"/>
                      <w:szCs w:val="21"/>
                      <w:highlight w:val="none"/>
                      <w:lang w:val="en-US" w:eastAsia="zh-CN" w:bidi="ar"/>
                      <w14:textFill>
                        <w14:solidFill>
                          <w14:schemeClr w14:val="tx1"/>
                        </w14:solidFill>
                      </w14:textFill>
                    </w:rPr>
                    <w:t>设置</w:t>
                  </w:r>
                  <w:r>
                    <w:rPr>
                      <w:rFonts w:hint="eastAsia" w:ascii="Times New Roman" w:hAnsi="Times New Roman" w:cs="宋体"/>
                      <w:b/>
                      <w:bCs/>
                      <w:color w:val="000000" w:themeColor="text1"/>
                      <w:kern w:val="2"/>
                      <w:sz w:val="21"/>
                      <w:szCs w:val="21"/>
                      <w:highlight w:val="none"/>
                      <w:lang w:val="en-US" w:eastAsia="zh-CN" w:bidi="ar"/>
                      <w14:textFill>
                        <w14:solidFill>
                          <w14:schemeClr w14:val="tx1"/>
                        </w14:solidFill>
                      </w14:textFill>
                    </w:rPr>
                    <w:t>声环境</w:t>
                  </w:r>
                  <w:r>
                    <w:rPr>
                      <w:rFonts w:hint="eastAsia" w:ascii="Times New Roman" w:hAnsi="Times New Roman" w:eastAsia="宋体" w:cs="宋体"/>
                      <w:b/>
                      <w:bCs/>
                      <w:color w:val="000000" w:themeColor="text1"/>
                      <w:kern w:val="2"/>
                      <w:sz w:val="21"/>
                      <w:szCs w:val="21"/>
                      <w:highlight w:val="none"/>
                      <w:lang w:val="en-US" w:eastAsia="zh-CN" w:bidi="ar"/>
                      <w14:textFill>
                        <w14:solidFill>
                          <w14:schemeClr w14:val="tx1"/>
                        </w14:solidFill>
                      </w14:textFill>
                    </w:rPr>
                    <w:t>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line="276" w:lineRule="auto"/>
                    <w:ind w:left="0" w:leftChars="0" w:right="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环境风险</w:t>
                  </w:r>
                </w:p>
              </w:tc>
              <w:tc>
                <w:tcPr>
                  <w:tcW w:w="292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line="276" w:lineRule="auto"/>
                    <w:ind w:left="0" w:leftChars="0" w:right="0"/>
                    <w:jc w:val="both"/>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石油和天然气开采</w:t>
                  </w: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14:textFill>
                        <w14:solidFill>
                          <w14:schemeClr w14:val="tx1"/>
                        </w14:solidFill>
                      </w14:textFill>
                    </w:rPr>
                    <w:t>全部</w:t>
                  </w:r>
                  <w:r>
                    <w:rPr>
                      <w:rFonts w:hint="eastAsia"/>
                      <w:color w:val="000000" w:themeColor="text1"/>
                      <w:sz w:val="21"/>
                      <w:szCs w:val="21"/>
                      <w:highlight w:val="none"/>
                      <w:lang w:val="en-US" w:eastAsia="zh-CN"/>
                      <w14:textFill>
                        <w14:solidFill>
                          <w14:schemeClr w14:val="tx1"/>
                        </w14:solidFill>
                      </w14:textFill>
                    </w:rPr>
                    <w:t>；</w:t>
                  </w:r>
                </w:p>
                <w:p>
                  <w:pPr>
                    <w:pStyle w:val="19"/>
                    <w:keepNext w:val="0"/>
                    <w:keepLines w:val="0"/>
                    <w:widowControl w:val="0"/>
                    <w:suppressLineNumbers w:val="0"/>
                    <w:spacing w:before="0" w:beforeAutospacing="0" w:after="0" w:afterAutospacing="0" w:line="276" w:lineRule="auto"/>
                    <w:ind w:left="0" w:leftChars="0" w:right="0"/>
                    <w:jc w:val="both"/>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油气、液体化工码头</w:t>
                  </w: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14:textFill>
                        <w14:solidFill>
                          <w14:schemeClr w14:val="tx1"/>
                        </w14:solidFill>
                      </w14:textFill>
                    </w:rPr>
                    <w:t>全部</w:t>
                  </w:r>
                  <w:r>
                    <w:rPr>
                      <w:rFonts w:hint="eastAsia"/>
                      <w:color w:val="000000" w:themeColor="text1"/>
                      <w:sz w:val="21"/>
                      <w:szCs w:val="21"/>
                      <w:highlight w:val="none"/>
                      <w:lang w:val="en-US" w:eastAsia="zh-CN"/>
                      <w14:textFill>
                        <w14:solidFill>
                          <w14:schemeClr w14:val="tx1"/>
                        </w14:solidFill>
                      </w14:textFill>
                    </w:rPr>
                    <w:t>；</w:t>
                  </w:r>
                </w:p>
                <w:p>
                  <w:pPr>
                    <w:pStyle w:val="19"/>
                    <w:keepNext w:val="0"/>
                    <w:keepLines w:val="0"/>
                    <w:widowControl w:val="0"/>
                    <w:suppressLineNumbers w:val="0"/>
                    <w:spacing w:before="0" w:beforeAutospacing="0" w:after="0" w:afterAutospacing="0" w:line="276" w:lineRule="auto"/>
                    <w:ind w:left="0" w:leftChars="0" w:right="0"/>
                    <w:jc w:val="both"/>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原油、成品油、天然气管线(不含城镇天然气管线、企业厂区内管线)</w:t>
                  </w: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14:textFill>
                        <w14:solidFill>
                          <w14:schemeClr w14:val="tx1"/>
                        </w14:solidFill>
                      </w14:textFill>
                    </w:rPr>
                    <w:t>危险化学品输送管线(不含企业厂区内管线)</w:t>
                  </w: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14:textFill>
                        <w14:solidFill>
                          <w14:schemeClr w14:val="tx1"/>
                        </w14:solidFill>
                      </w14:textFill>
                    </w:rPr>
                    <w:t>全部</w:t>
                  </w:r>
                </w:p>
              </w:tc>
              <w:tc>
                <w:tcPr>
                  <w:tcW w:w="70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line="276" w:lineRule="auto"/>
                    <w:ind w:left="0" w:leftChars="0" w:right="0"/>
                    <w:jc w:val="both"/>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不涉及</w:t>
                  </w:r>
                </w:p>
              </w:tc>
              <w:tc>
                <w:tcPr>
                  <w:tcW w:w="65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line="276" w:lineRule="auto"/>
                    <w:ind w:left="0" w:leftChars="0" w:right="0"/>
                    <w:jc w:val="center"/>
                    <w:rPr>
                      <w:rFonts w:hint="default" w:ascii="Times New Roman" w:hAnsi="Times New Roman" w:eastAsia="宋体" w:cs="宋体"/>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cs="宋体"/>
                      <w:color w:val="000000" w:themeColor="text1"/>
                      <w:kern w:val="2"/>
                      <w:sz w:val="21"/>
                      <w:szCs w:val="21"/>
                      <w:highlight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line="276" w:lineRule="auto"/>
                    <w:ind w:left="0" w:leftChars="0" w:right="0"/>
                    <w:jc w:val="left"/>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注：“涉及环境敏感区”是指建设项目位于、穿</w:t>
                  </w:r>
                  <w:r>
                    <w:rPr>
                      <w:rFonts w:hint="eastAsia" w:ascii="Times New Roman" w:hAnsi="Times New Roman" w:cs="宋体"/>
                      <w:color w:val="000000" w:themeColor="text1"/>
                      <w:kern w:val="2"/>
                      <w:sz w:val="21"/>
                      <w:szCs w:val="21"/>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跨</w:t>
                  </w:r>
                  <w:r>
                    <w:rPr>
                      <w:rFonts w:hint="eastAsia" w:ascii="Times New Roman" w:hAnsi="Times New Roman" w:cs="宋体"/>
                      <w:color w:val="000000" w:themeColor="text1"/>
                      <w:kern w:val="2"/>
                      <w:sz w:val="21"/>
                      <w:szCs w:val="21"/>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越</w:t>
                  </w:r>
                  <w:r>
                    <w:rPr>
                      <w:rFonts w:hint="eastAsia" w:ascii="Times New Roman" w:hAnsi="Times New Roman" w:cs="宋体"/>
                      <w:color w:val="000000" w:themeColor="text1"/>
                      <w:kern w:val="2"/>
                      <w:sz w:val="21"/>
                      <w:szCs w:val="21"/>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无害化通过的除外</w:t>
                  </w:r>
                  <w:r>
                    <w:rPr>
                      <w:rFonts w:hint="eastAsia" w:ascii="Times New Roman" w:hAnsi="Times New Roman" w:cs="宋体"/>
                      <w:color w:val="000000" w:themeColor="text1"/>
                      <w:kern w:val="2"/>
                      <w:sz w:val="21"/>
                      <w:szCs w:val="21"/>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环境敏感区，或环境影响范围涵盖环境敏感区。环境敏感区是指《建设项目环境影响评价分类管理名录》中针对该类项目所列的敏感区。</w:t>
                  </w:r>
                </w:p>
              </w:tc>
            </w:tr>
          </w:tbl>
          <w:p>
            <w:pPr>
              <w:keepNext w:val="0"/>
              <w:keepLines w:val="0"/>
              <w:suppressLineNumbers w:val="0"/>
              <w:autoSpaceDE w:val="0"/>
              <w:autoSpaceDN w:val="0"/>
              <w:adjustRightInd w:val="0"/>
              <w:snapToGrid w:val="0"/>
              <w:spacing w:before="0" w:beforeAutospacing="0" w:after="0" w:afterAutospacing="0"/>
              <w:ind w:left="0" w:right="0"/>
              <w:rPr>
                <w:color w:val="000000" w:themeColor="text1"/>
                <w:kern w:val="0"/>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3" w:hRule="atLeast"/>
        </w:trPr>
        <w:tc>
          <w:tcPr>
            <w:tcW w:w="1504"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规划情况</w:t>
            </w:r>
          </w:p>
        </w:tc>
        <w:tc>
          <w:tcPr>
            <w:tcW w:w="7763" w:type="dxa"/>
            <w:gridSpan w:val="3"/>
            <w:tcMar>
              <w:top w:w="16" w:type="dxa"/>
              <w:left w:w="16" w:type="dxa"/>
              <w:right w:w="16"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both"/>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规划名称：《达州市马踏洞外围片区控制性详细规划》（重庆大学规划</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1440" w:firstLineChars="600"/>
              <w:jc w:val="both"/>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设计研究院有限公司）（2022年3月）</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both"/>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规划审批机关：达州市自然资源和规划局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21" w:hRule="atLeast"/>
        </w:trPr>
        <w:tc>
          <w:tcPr>
            <w:tcW w:w="1504"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规划环境影响</w:t>
            </w:r>
          </w:p>
          <w:p>
            <w:pPr>
              <w:keepNext w:val="0"/>
              <w:keepLines w:val="0"/>
              <w:suppressLineNumbers w:val="0"/>
              <w:autoSpaceDE w:val="0"/>
              <w:autoSpaceDN w:val="0"/>
              <w:adjustRightInd w:val="0"/>
              <w:snapToGrid w:val="0"/>
              <w:spacing w:before="0" w:beforeAutospacing="0" w:after="0" w:afterAutospacing="0"/>
              <w:ind w:left="0" w:right="0"/>
              <w:jc w:val="center"/>
              <w:rPr>
                <w:color w:val="000000" w:themeColor="text1"/>
                <w:kern w:val="0"/>
                <w:sz w:val="24"/>
                <w:highlight w:val="none"/>
                <w14:textFill>
                  <w14:solidFill>
                    <w14:schemeClr w14:val="tx1"/>
                  </w14:solidFill>
                </w14:textFill>
              </w:rPr>
            </w:pPr>
            <w:r>
              <w:rPr>
                <w:color w:val="000000" w:themeColor="text1"/>
                <w:sz w:val="24"/>
                <w:highlight w:val="none"/>
                <w14:textFill>
                  <w14:solidFill>
                    <w14:schemeClr w14:val="tx1"/>
                  </w14:solidFill>
                </w14:textFill>
              </w:rPr>
              <w:t>评价情况</w:t>
            </w:r>
          </w:p>
        </w:tc>
        <w:tc>
          <w:tcPr>
            <w:tcW w:w="7763" w:type="dxa"/>
            <w:gridSpan w:val="3"/>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kern w:val="0"/>
                <w:sz w:val="24"/>
                <w:highlight w:val="none"/>
                <w:lang w:eastAsia="zh-CN"/>
                <w14:textFill>
                  <w14:solidFill>
                    <w14:schemeClr w14:val="tx1"/>
                  </w14:solidFill>
                </w14:textFill>
              </w:rPr>
            </w:pPr>
            <w:r>
              <w:rPr>
                <w:rFonts w:hint="eastAsia"/>
                <w:color w:val="000000" w:themeColor="text1"/>
                <w:kern w:val="0"/>
                <w:sz w:val="24"/>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72" w:hRule="atLeast"/>
        </w:trPr>
        <w:tc>
          <w:tcPr>
            <w:tcW w:w="1504"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规划及</w:t>
            </w:r>
            <w:r>
              <w:rPr>
                <w:color w:val="000000" w:themeColor="text1"/>
                <w:sz w:val="24"/>
                <w:highlight w:val="none"/>
                <w14:textFill>
                  <w14:solidFill>
                    <w14:schemeClr w14:val="tx1"/>
                  </w14:solidFill>
                </w14:textFill>
              </w:rPr>
              <w:t>规划环境影响评价</w:t>
            </w:r>
            <w:r>
              <w:rPr>
                <w:color w:val="000000" w:themeColor="text1"/>
                <w:kern w:val="0"/>
                <w:sz w:val="24"/>
                <w:highlight w:val="none"/>
                <w14:textFill>
                  <w14:solidFill>
                    <w14:schemeClr w14:val="tx1"/>
                  </w14:solidFill>
                </w14:textFill>
              </w:rPr>
              <w:t>符合性分析</w:t>
            </w:r>
          </w:p>
        </w:tc>
        <w:tc>
          <w:tcPr>
            <w:tcW w:w="7763" w:type="dxa"/>
            <w:gridSpan w:val="3"/>
            <w:tcMar>
              <w:top w:w="16" w:type="dxa"/>
              <w:left w:w="16" w:type="dxa"/>
              <w:right w:w="16"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jc w:val="both"/>
              <w:textAlignment w:val="auto"/>
              <w:rPr>
                <w:rFonts w:hint="eastAsia"/>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与《达州市马踏洞外围片区控制性详细规划》符合性分析：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马踏洞外围片区位于达州城区西北部、西城区的西部。规划区范围东与马踏洞中心服务区相连，南邻河市镇，西至铁山，北与梁家坝组团接壤，规划用地面积约17.47平方公里，其中建设用地规模8.18平方公里。规划区是以居住为主体，兼有公共服务、休闲旅游和专业市场等功能的城市新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规划区功能结构为”一带三组团。</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城郊生态休闲产业带---结合外环线两侧的山水绿化，以生态观光和旅游休闲为主。</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北部复兴居住组团---依托复兴镇区进行提升完善，以居住配套为主。</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中部碑儿梁商贸组团---结合建材及生态物流通运，以物流商贸为主。</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南部烟地梁居住组团---结合经开区生态商务中心打造，以结合商务为主。</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drawing>
                <wp:inline distT="0" distB="0" distL="114300" distR="114300">
                  <wp:extent cx="3676650" cy="4688840"/>
                  <wp:effectExtent l="0" t="0" r="11430" b="5080"/>
                  <wp:docPr id="1" name="图片 1" descr="getarticshow_2020070810541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etarticshow_20200708105413397"/>
                          <pic:cNvPicPr>
                            <a:picLocks noChangeAspect="1"/>
                          </pic:cNvPicPr>
                        </pic:nvPicPr>
                        <pic:blipFill>
                          <a:blip r:embed="rId8"/>
                          <a:stretch>
                            <a:fillRect/>
                          </a:stretch>
                        </pic:blipFill>
                        <pic:spPr>
                          <a:xfrm>
                            <a:off x="0" y="0"/>
                            <a:ext cx="3676650" cy="4688840"/>
                          </a:xfrm>
                          <a:prstGeom prst="rect">
                            <a:avLst/>
                          </a:prstGeom>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图1-1  达州市马踏洞外围片区控制性详细规划图</w:t>
            </w:r>
          </w:p>
          <w:p>
            <w:pPr>
              <w:pStyle w:val="3"/>
              <w:keepNext/>
              <w:keepLines/>
              <w:pageBreakBefore w:val="0"/>
              <w:widowControl w:val="0"/>
              <w:suppressLineNumbers w:val="0"/>
              <w:kinsoku/>
              <w:wordWrap/>
              <w:overflowPunct/>
              <w:topLinePunct w:val="0"/>
              <w:autoSpaceDE/>
              <w:autoSpaceDN/>
              <w:bidi w:val="0"/>
              <w:adjustRightInd/>
              <w:snapToGrid/>
              <w:spacing w:before="0" w:after="0" w:line="360" w:lineRule="auto"/>
              <w:ind w:left="0" w:right="0" w:firstLine="480" w:firstLineChars="200"/>
              <w:textAlignment w:val="auto"/>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本项目为新建城市主干路项目，对区域发展具有重要意义，与马踏洞外围片区控制性规划相符。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trPr>
        <w:tc>
          <w:tcPr>
            <w:tcW w:w="1504"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color w:val="000000" w:themeColor="text1"/>
                <w:kern w:val="0"/>
                <w:sz w:val="24"/>
                <w:highlight w:val="none"/>
                <w14:textFill>
                  <w14:solidFill>
                    <w14:schemeClr w14:val="tx1"/>
                  </w14:solidFill>
                </w14:textFill>
              </w:rPr>
            </w:pPr>
            <w:bookmarkStart w:id="2" w:name="_Hlk56690880"/>
            <w:r>
              <w:rPr>
                <w:color w:val="000000" w:themeColor="text1"/>
                <w:kern w:val="0"/>
                <w:sz w:val="24"/>
                <w:highlight w:val="none"/>
                <w14:textFill>
                  <w14:solidFill>
                    <w14:schemeClr w14:val="tx1"/>
                  </w14:solidFill>
                </w14:textFill>
              </w:rPr>
              <w:t>其他符合性分析</w:t>
            </w:r>
            <w:bookmarkEnd w:id="2"/>
          </w:p>
        </w:tc>
        <w:tc>
          <w:tcPr>
            <w:tcW w:w="7763" w:type="dxa"/>
            <w:gridSpan w:val="3"/>
            <w:tcMar>
              <w:top w:w="16" w:type="dxa"/>
              <w:left w:w="16" w:type="dxa"/>
              <w:right w:w="16" w:type="dxa"/>
            </w:tcMar>
            <w:vAlign w:val="center"/>
          </w:tcPr>
          <w:p>
            <w:pPr>
              <w:keepNext w:val="0"/>
              <w:keepLines w:val="0"/>
              <w:suppressLineNumbers w:val="0"/>
              <w:spacing w:before="0" w:beforeAutospacing="0" w:after="0" w:afterAutospacing="0" w:line="360" w:lineRule="auto"/>
              <w:ind w:left="0" w:right="0"/>
              <w:jc w:val="left"/>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一、产业政策与规划符合性分析</w:t>
            </w:r>
          </w:p>
          <w:p>
            <w:pPr>
              <w:keepNext w:val="0"/>
              <w:keepLines w:val="0"/>
              <w:suppressLineNumbers w:val="0"/>
              <w:spacing w:before="0" w:beforeAutospacing="0" w:after="0" w:afterAutospacing="0" w:line="360" w:lineRule="auto"/>
              <w:ind w:left="0" w:right="0" w:firstLine="480" w:firstLineChars="200"/>
              <w:jc w:val="left"/>
              <w:rPr>
                <w:rFonts w:hint="eastAsia"/>
                <w:bCs/>
                <w:color w:val="000000" w:themeColor="text1"/>
                <w:sz w:val="24"/>
                <w:highlight w:val="none"/>
                <w:lang w:val="en-US" w:eastAsia="zh-CN"/>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本项目为城市主干路建设项目，属于新建项目，根据中华人民共和国国家发展和改革委员会《产业结构调整指导目录（</w:t>
            </w:r>
            <w:r>
              <w:rPr>
                <w:rFonts w:hint="default"/>
                <w:bCs/>
                <w:color w:val="000000" w:themeColor="text1"/>
                <w:sz w:val="24"/>
                <w:highlight w:val="none"/>
                <w:lang w:val="en-US" w:eastAsia="zh-CN"/>
                <w14:textFill>
                  <w14:solidFill>
                    <w14:schemeClr w14:val="tx1"/>
                  </w14:solidFill>
                </w14:textFill>
              </w:rPr>
              <w:t>20</w:t>
            </w:r>
            <w:r>
              <w:rPr>
                <w:rFonts w:hint="eastAsia"/>
                <w:bCs/>
                <w:color w:val="000000" w:themeColor="text1"/>
                <w:sz w:val="24"/>
                <w:highlight w:val="none"/>
                <w:lang w:val="en-US" w:eastAsia="zh-CN"/>
                <w14:textFill>
                  <w14:solidFill>
                    <w14:schemeClr w14:val="tx1"/>
                  </w14:solidFill>
                </w14:textFill>
              </w:rPr>
              <w:t>24年本）》，本项目属于“鼓励类”中二十二条“城镇基础设施”中第1条“城市公共交通”，同时本项目不属于国土资源部“关于发布实施《限制用地项目目录（2012年本））》和《禁止用地项目目录（2012年本）》的通知”规定的项目。</w:t>
            </w:r>
          </w:p>
          <w:p>
            <w:pPr>
              <w:keepNext w:val="0"/>
              <w:keepLines w:val="0"/>
              <w:suppressLineNumbers w:val="0"/>
              <w:spacing w:before="0" w:beforeAutospacing="0" w:after="0" w:afterAutospacing="0" w:line="360" w:lineRule="auto"/>
              <w:ind w:left="0" w:right="0" w:firstLine="480" w:firstLineChars="200"/>
              <w:jc w:val="both"/>
              <w:rPr>
                <w:rFonts w:hint="eastAsia"/>
                <w:bCs/>
                <w:color w:val="000000" w:themeColor="text1"/>
                <w:sz w:val="24"/>
                <w:highlight w:val="none"/>
                <w:lang w:val="en-US"/>
                <w14:textFill>
                  <w14:solidFill>
                    <w14:schemeClr w14:val="tx1"/>
                  </w14:solidFill>
                </w14:textFill>
              </w:rPr>
            </w:pPr>
            <w:r>
              <w:rPr>
                <w:rFonts w:hint="eastAsia"/>
                <w:bCs/>
                <w:color w:val="000000" w:themeColor="text1"/>
                <w:sz w:val="24"/>
                <w:highlight w:val="none"/>
                <w:lang w:val="en-US"/>
                <w14:textFill>
                  <w14:solidFill>
                    <w14:schemeClr w14:val="tx1"/>
                  </w14:solidFill>
                </w14:textFill>
              </w:rPr>
              <w:t>本项目</w:t>
            </w:r>
            <w:r>
              <w:rPr>
                <w:rFonts w:hint="eastAsia"/>
                <w:bCs/>
                <w:color w:val="000000" w:themeColor="text1"/>
                <w:sz w:val="24"/>
                <w:highlight w:val="none"/>
                <w:lang w:val="en-US" w:eastAsia="zh-CN"/>
                <w14:textFill>
                  <w14:solidFill>
                    <w14:schemeClr w14:val="tx1"/>
                  </w14:solidFill>
                </w14:textFill>
              </w:rPr>
              <w:t>已在达州市发展和改革委员会进行了立项备案，备案号：</w:t>
            </w:r>
            <w:r>
              <w:rPr>
                <w:rFonts w:hint="eastAsia"/>
                <w:bCs/>
                <w:color w:val="000000" w:themeColor="text1"/>
                <w:sz w:val="24"/>
                <w:highlight w:val="none"/>
                <w:lang w:val="en-US"/>
                <w14:textFill>
                  <w14:solidFill>
                    <w14:schemeClr w14:val="tx1"/>
                  </w14:solidFill>
                </w14:textFill>
              </w:rPr>
              <w:t>川投资备</w:t>
            </w:r>
            <w:r>
              <w:rPr>
                <w:rFonts w:hint="eastAsia"/>
                <w:bCs/>
                <w:color w:val="000000" w:themeColor="text1"/>
                <w:sz w:val="24"/>
                <w:highlight w:val="none"/>
                <w:lang w:val="en-US" w:eastAsia="zh-CN"/>
                <w14:textFill>
                  <w14:solidFill>
                    <w14:schemeClr w14:val="tx1"/>
                  </w14:solidFill>
                </w14:textFill>
              </w:rPr>
              <w:t>[</w:t>
            </w:r>
            <w:r>
              <w:rPr>
                <w:rFonts w:hint="eastAsia"/>
                <w:bCs/>
                <w:color w:val="000000" w:themeColor="text1"/>
                <w:sz w:val="24"/>
                <w:highlight w:val="none"/>
                <w:lang w:val="en-US"/>
                <w14:textFill>
                  <w14:solidFill>
                    <w14:schemeClr w14:val="tx1"/>
                  </w14:solidFill>
                </w14:textFill>
              </w:rPr>
              <w:t>2305-511715-99-01-585040</w:t>
            </w:r>
            <w:r>
              <w:rPr>
                <w:rFonts w:hint="eastAsia"/>
                <w:bCs/>
                <w:color w:val="000000" w:themeColor="text1"/>
                <w:sz w:val="24"/>
                <w:highlight w:val="none"/>
                <w:lang w:val="en-US" w:eastAsia="zh-CN"/>
                <w14:textFill>
                  <w14:solidFill>
                    <w14:schemeClr w14:val="tx1"/>
                  </w14:solidFill>
                </w14:textFill>
              </w:rPr>
              <w:t>]</w:t>
            </w:r>
            <w:r>
              <w:rPr>
                <w:rFonts w:hint="eastAsia"/>
                <w:bCs/>
                <w:color w:val="000000" w:themeColor="text1"/>
                <w:sz w:val="24"/>
                <w:highlight w:val="none"/>
                <w:lang w:val="en-US"/>
                <w14:textFill>
                  <w14:solidFill>
                    <w14:schemeClr w14:val="tx1"/>
                  </w14:solidFill>
                </w14:textFill>
              </w:rPr>
              <w:t>FGQB-0065号</w:t>
            </w:r>
            <w:r>
              <w:rPr>
                <w:rFonts w:hint="eastAsia"/>
                <w:bCs/>
                <w:color w:val="000000" w:themeColor="text1"/>
                <w:sz w:val="24"/>
                <w:highlight w:val="none"/>
                <w:lang w:val="en-US" w:eastAsia="zh-CN"/>
                <w14:textFill>
                  <w14:solidFill>
                    <w14:schemeClr w14:val="tx1"/>
                  </w14:solidFill>
                </w14:textFill>
              </w:rPr>
              <w:t>（</w:t>
            </w:r>
            <w:r>
              <w:rPr>
                <w:rFonts w:hint="eastAsia"/>
                <w:bCs/>
                <w:color w:val="000000" w:themeColor="text1"/>
                <w:sz w:val="24"/>
                <w:highlight w:val="none"/>
                <w:lang w:val="en-US"/>
                <w14:textFill>
                  <w14:solidFill>
                    <w14:schemeClr w14:val="tx1"/>
                  </w14:solidFill>
                </w14:textFill>
              </w:rPr>
              <w:t>见附件</w:t>
            </w:r>
            <w:r>
              <w:rPr>
                <w:rFonts w:hint="eastAsia"/>
                <w:bCs/>
                <w:color w:val="000000" w:themeColor="text1"/>
                <w:sz w:val="24"/>
                <w:highlight w:val="none"/>
                <w:lang w:val="en-US" w:eastAsia="zh-CN"/>
                <w14:textFill>
                  <w14:solidFill>
                    <w14:schemeClr w14:val="tx1"/>
                  </w14:solidFill>
                </w14:textFill>
              </w:rPr>
              <w:t>1）</w:t>
            </w:r>
            <w:r>
              <w:rPr>
                <w:rFonts w:hint="eastAsia"/>
                <w:bCs/>
                <w:color w:val="000000" w:themeColor="text1"/>
                <w:sz w:val="24"/>
                <w:highlight w:val="none"/>
                <w:lang w:val="en-US"/>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firstLineChars="200"/>
              <w:jc w:val="left"/>
              <w:rPr>
                <w:rFonts w:hint="eastAsia"/>
                <w:bCs/>
                <w:color w:val="000000" w:themeColor="text1"/>
                <w:sz w:val="24"/>
                <w:highlight w:val="none"/>
                <w:lang w:val="en-US" w:eastAsia="zh-CN"/>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因此，本项目的建设符合国家现行产业政策。</w:t>
            </w:r>
          </w:p>
          <w:p>
            <w:pPr>
              <w:keepNext w:val="0"/>
              <w:keepLines w:val="0"/>
              <w:suppressLineNumbers w:val="0"/>
              <w:spacing w:before="0" w:beforeAutospacing="0" w:after="0" w:afterAutospacing="0" w:line="360" w:lineRule="auto"/>
              <w:ind w:left="0" w:right="0"/>
              <w:jc w:val="left"/>
              <w:rPr>
                <w:rFonts w:eastAsia="宋体"/>
                <w:b/>
                <w:bCs/>
                <w:color w:val="000000" w:themeColor="text1"/>
                <w:sz w:val="24"/>
                <w:highlight w:val="none"/>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二、</w:t>
            </w:r>
            <w:r>
              <w:rPr>
                <w:rFonts w:eastAsia="宋体"/>
                <w:b/>
                <w:bCs/>
                <w:color w:val="000000" w:themeColor="text1"/>
                <w:sz w:val="24"/>
                <w:highlight w:val="none"/>
                <w14:textFill>
                  <w14:solidFill>
                    <w14:schemeClr w14:val="tx1"/>
                  </w14:solidFill>
                </w14:textFill>
              </w:rPr>
              <w:t>“三线一单”符合性分析</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根据《长江经济带战略环境评价四川省达州市“三线一单”生态环境分区管控优化完善研究报告》，达州市生态保护红线面积1214.56km</w:t>
            </w:r>
            <w:r>
              <w:rPr>
                <w:rFonts w:hint="eastAsia" w:ascii="Times New Roman" w:hAnsi="Times New Roman" w:eastAsia="宋体" w:cs="宋体"/>
                <w:color w:val="000000" w:themeColor="text1"/>
                <w:kern w:val="0"/>
                <w:sz w:val="24"/>
                <w:szCs w:val="24"/>
                <w:highlight w:val="none"/>
                <w:vertAlign w:val="superscript"/>
                <w:lang w:val="en-US" w:eastAsia="zh-CN" w:bidi="ar"/>
                <w14:textFill>
                  <w14:solidFill>
                    <w14:schemeClr w14:val="tx1"/>
                  </w14:solidFill>
                </w14:textFill>
              </w:rPr>
              <w:t>2</w:t>
            </w: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，占达州市国土面积比例的7.33%，与原2018年相比，面积减少了42.40km</w:t>
            </w:r>
            <w:r>
              <w:rPr>
                <w:rFonts w:hint="eastAsia" w:ascii="Times New Roman" w:hAnsi="Times New Roman" w:eastAsia="宋体" w:cs="宋体"/>
                <w:color w:val="000000" w:themeColor="text1"/>
                <w:kern w:val="0"/>
                <w:sz w:val="24"/>
                <w:szCs w:val="24"/>
                <w:highlight w:val="none"/>
                <w:vertAlign w:val="superscript"/>
                <w:lang w:val="en-US" w:eastAsia="zh-CN" w:bidi="ar"/>
                <w14:textFill>
                  <w14:solidFill>
                    <w14:schemeClr w14:val="tx1"/>
                  </w14:solidFill>
                </w14:textFill>
              </w:rPr>
              <w:t>2</w:t>
            </w: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，其中调入红线287.98km</w:t>
            </w:r>
            <w:r>
              <w:rPr>
                <w:rFonts w:hint="eastAsia" w:ascii="Times New Roman" w:hAnsi="Times New Roman" w:eastAsia="宋体" w:cs="宋体"/>
                <w:color w:val="000000" w:themeColor="text1"/>
                <w:kern w:val="0"/>
                <w:sz w:val="24"/>
                <w:szCs w:val="24"/>
                <w:highlight w:val="none"/>
                <w:vertAlign w:val="superscript"/>
                <w:lang w:val="en-US" w:eastAsia="zh-CN" w:bidi="ar"/>
                <w14:textFill>
                  <w14:solidFill>
                    <w14:schemeClr w14:val="tx1"/>
                  </w14:solidFill>
                </w14:textFill>
              </w:rPr>
              <w:t>2</w:t>
            </w: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，调出红线330.38km</w:t>
            </w:r>
            <w:r>
              <w:rPr>
                <w:rFonts w:hint="eastAsia" w:ascii="Times New Roman" w:hAnsi="Times New Roman" w:eastAsia="宋体" w:cs="宋体"/>
                <w:color w:val="000000" w:themeColor="text1"/>
                <w:kern w:val="0"/>
                <w:sz w:val="24"/>
                <w:szCs w:val="24"/>
                <w:highlight w:val="none"/>
                <w:vertAlign w:val="superscript"/>
                <w:lang w:val="en-US" w:eastAsia="zh-CN" w:bidi="ar"/>
                <w14:textFill>
                  <w14:solidFill>
                    <w14:schemeClr w14:val="tx1"/>
                  </w14:solidFill>
                </w14:textFill>
              </w:rPr>
              <w:t>2</w:t>
            </w: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。达州市生态保护红线主要分布在大巴山和盆地区域，涉及大巴山生物多样性维护—水源涵养生态保护红线、盆中城市饮用水源—水土保持生态保护红线。本项目三线一单符合性分析如下：</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eastAsia" w:ascii="Times New Roman" w:hAnsi="Times New Roman" w:eastAsia="宋体" w:cs="宋体"/>
                <w:b/>
                <w:bCs/>
                <w:color w:val="000000" w:themeColor="text1"/>
                <w:kern w:val="0"/>
                <w:sz w:val="24"/>
                <w:szCs w:val="24"/>
                <w:highlight w:val="none"/>
                <w:lang w:val="en-US" w:eastAsia="zh-CN" w:bidi="ar"/>
                <w14:textFill>
                  <w14:solidFill>
                    <w14:schemeClr w14:val="tx1"/>
                  </w14:solidFill>
                </w14:textFill>
              </w:rPr>
            </w:pPr>
            <w:r>
              <w:rPr>
                <w:rFonts w:hint="eastAsia" w:cs="宋体"/>
                <w:b/>
                <w:bCs/>
                <w:color w:val="000000" w:themeColor="text1"/>
                <w:kern w:val="0"/>
                <w:sz w:val="24"/>
                <w:szCs w:val="24"/>
                <w:highlight w:val="none"/>
                <w:lang w:val="en-US" w:eastAsia="zh-CN" w:bidi="ar"/>
                <w14:textFill>
                  <w14:solidFill>
                    <w14:schemeClr w14:val="tx1"/>
                  </w14:solidFill>
                </w14:textFill>
              </w:rPr>
              <w:t>1、</w:t>
            </w:r>
            <w:r>
              <w:rPr>
                <w:rFonts w:hint="eastAsia" w:ascii="Times New Roman" w:hAnsi="Times New Roman" w:eastAsia="宋体" w:cs="宋体"/>
                <w:b/>
                <w:bCs/>
                <w:color w:val="000000" w:themeColor="text1"/>
                <w:kern w:val="0"/>
                <w:sz w:val="24"/>
                <w:szCs w:val="24"/>
                <w:highlight w:val="none"/>
                <w:lang w:val="en-US" w:eastAsia="zh-CN" w:bidi="ar"/>
                <w14:textFill>
                  <w14:solidFill>
                    <w14:schemeClr w14:val="tx1"/>
                  </w14:solidFill>
                </w14:textFill>
              </w:rPr>
              <w:t>与生态保护红线符合性分析</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pPr>
            <w:r>
              <w:rPr>
                <w:color w:val="000000" w:themeColor="text1"/>
                <w:sz w:val="21"/>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1835150</wp:posOffset>
                      </wp:positionH>
                      <wp:positionV relativeFrom="paragraph">
                        <wp:posOffset>2474595</wp:posOffset>
                      </wp:positionV>
                      <wp:extent cx="711200" cy="474345"/>
                      <wp:effectExtent l="225425" t="513715" r="8255" b="17780"/>
                      <wp:wrapNone/>
                      <wp:docPr id="22" name="矩形标注 22"/>
                      <wp:cNvGraphicFramePr/>
                      <a:graphic xmlns:a="http://schemas.openxmlformats.org/drawingml/2006/main">
                        <a:graphicData uri="http://schemas.microsoft.com/office/word/2010/wordprocessingShape">
                          <wps:wsp>
                            <wps:cNvSpPr/>
                            <wps:spPr>
                              <a:xfrm>
                                <a:off x="3206750" y="7791450"/>
                                <a:ext cx="711200" cy="474345"/>
                              </a:xfrm>
                              <a:prstGeom prst="wedgeRectCallout">
                                <a:avLst>
                                  <a:gd name="adj1" fmla="val -77031"/>
                                  <a:gd name="adj2" fmla="val -149999"/>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FF0000"/>
                                      <w:lang w:val="en-US" w:eastAsia="zh-CN"/>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44.5pt;margin-top:194.85pt;height:37.35pt;width:56pt;z-index:251660288;v-text-anchor:middle;mso-width-relative:page;mso-height-relative:page;" filled="f" stroked="t" coordsize="21600,21600" o:gfxdata="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C9Odl/dAAAACwEAAA8AAAAAAAAA&#10;AQAgAAAAIgAAAGRycy9kb3ducmV2LnhtbFBLAQIUABQAAAAIAIdO4kA2ktADtwIAAEkFAAAOAAAA&#10;AAAAAAEAIAAAACwBAABkcnMvZTJvRG9jLnhtbFBLBQYAAAAABgAGAFkBAABVBgAAAAA=&#10;" adj="-5839,-21600">
                      <v:fill on="f" focussize="0,0"/>
                      <v:stroke weight="1pt" color="#FF0000 [2404]" miterlimit="8" joinstyle="miter"/>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FF0000"/>
                                <w:lang w:val="en-US" w:eastAsia="zh-CN"/>
                              </w:rPr>
                              <w:t>本项目所在地</w:t>
                            </w:r>
                          </w:p>
                        </w:txbxContent>
                      </v:textbox>
                    </v:shape>
                  </w:pict>
                </mc:Fallback>
              </mc:AlternateContent>
            </w:r>
            <w:r>
              <w:rPr>
                <w:color w:val="000000" w:themeColor="text1"/>
                <w:highlight w:val="none"/>
                <w14:textFill>
                  <w14:solidFill>
                    <w14:schemeClr w14:val="tx1"/>
                  </w14:solidFill>
                </w14:textFill>
              </w:rPr>
              <w:drawing>
                <wp:inline distT="0" distB="0" distL="114300" distR="114300">
                  <wp:extent cx="4673600" cy="3300730"/>
                  <wp:effectExtent l="0" t="0" r="508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4673600" cy="3300730"/>
                          </a:xfrm>
                          <a:prstGeom prst="rect">
                            <a:avLst/>
                          </a:prstGeom>
                          <a:noFill/>
                          <a:ln>
                            <a:noFill/>
                          </a:ln>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图</w:t>
            </w:r>
            <w:r>
              <w:rPr>
                <w:rFonts w:hint="default" w:ascii="黑体" w:hAnsi="黑体" w:eastAsia="黑体" w:cs="黑体"/>
                <w:color w:val="000000" w:themeColor="text1"/>
                <w:kern w:val="0"/>
                <w:sz w:val="24"/>
                <w:szCs w:val="24"/>
                <w:highlight w:val="none"/>
                <w:lang w:val="en-US" w:eastAsia="zh-CN" w:bidi="ar"/>
                <w14:textFill>
                  <w14:solidFill>
                    <w14:schemeClr w14:val="tx1"/>
                  </w14:solidFill>
                </w14:textFill>
              </w:rPr>
              <w:t>1-</w:t>
            </w: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2  项目与达州市生态保护红线位置关系图</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本项目位于</w:t>
            </w:r>
            <w:r>
              <w:rPr>
                <w:rFonts w:hint="eastAsia" w:cs="宋体"/>
                <w:color w:val="000000" w:themeColor="text1"/>
                <w:kern w:val="0"/>
                <w:sz w:val="24"/>
                <w:szCs w:val="24"/>
                <w:highlight w:val="none"/>
                <w:lang w:val="en-US" w:eastAsia="zh-CN" w:bidi="ar"/>
                <w14:textFill>
                  <w14:solidFill>
                    <w14:schemeClr w14:val="tx1"/>
                  </w14:solidFill>
                </w14:textFill>
              </w:rPr>
              <w:t>四川省达州市通川区马踏洞新区</w:t>
            </w: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，根据《达州市“三线一单”图集-生态保护红线图》，本项目不在生态红线保护范围内。</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eastAsia="宋体" w:cs="宋体"/>
                <w:color w:val="000000" w:themeColor="text1"/>
                <w:kern w:val="0"/>
                <w:sz w:val="24"/>
                <w:szCs w:val="24"/>
                <w:highlight w:val="none"/>
                <w:lang w:val="en-US" w:eastAsia="zh-CN" w:bidi="ar"/>
                <w14:textFill>
                  <w14:solidFill>
                    <w14:schemeClr w14:val="tx1"/>
                  </w14:solidFill>
                </w14:textFill>
              </w:rPr>
            </w:pPr>
            <w:r>
              <w:rPr>
                <w:rFonts w:hint="eastAsia" w:eastAsia="宋体" w:cs="宋体"/>
                <w:color w:val="000000" w:themeColor="text1"/>
                <w:kern w:val="0"/>
                <w:sz w:val="24"/>
                <w:szCs w:val="24"/>
                <w:highlight w:val="none"/>
                <w:lang w:val="en-US" w:eastAsia="zh-CN" w:bidi="ar"/>
                <w14:textFill>
                  <w14:solidFill>
                    <w14:schemeClr w14:val="tx1"/>
                  </w14:solidFill>
                </w14:textFill>
              </w:rPr>
              <w:t>本项目</w:t>
            </w: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用地总规模4.4228公顷，土地利用现状情况为农用地3.041</w:t>
            </w:r>
            <w:r>
              <w:rPr>
                <w:rFonts w:hint="eastAsia" w:cs="宋体"/>
                <w:color w:val="000000" w:themeColor="text1"/>
                <w:kern w:val="0"/>
                <w:sz w:val="24"/>
                <w:szCs w:val="24"/>
                <w:highlight w:val="none"/>
                <w:lang w:val="en-US" w:eastAsia="zh-CN" w:bidi="ar"/>
                <w14:textFill>
                  <w14:solidFill>
                    <w14:schemeClr w14:val="tx1"/>
                  </w14:solidFill>
                </w14:textFill>
              </w:rPr>
              <w:t>5</w:t>
            </w: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公顷（耕地1.4272公顷，含永久基本农田0公顷），建设用地1.3109公顷，未利用地0.0704公顷</w:t>
            </w:r>
            <w:r>
              <w:rPr>
                <w:rFonts w:hint="eastAsia" w:eastAsia="宋体" w:cs="宋体"/>
                <w:color w:val="000000" w:themeColor="text1"/>
                <w:kern w:val="0"/>
                <w:sz w:val="24"/>
                <w:szCs w:val="24"/>
                <w:highlight w:val="none"/>
                <w:lang w:val="en-US" w:eastAsia="zh-CN" w:bidi="ar"/>
                <w14:textFill>
                  <w14:solidFill>
                    <w14:schemeClr w14:val="tx1"/>
                  </w14:solidFill>
                </w14:textFill>
              </w:rPr>
              <w:t>。因此，本</w:t>
            </w: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项目不占用永久基本农田，不占用生态保护红线，符合</w:t>
            </w:r>
            <w:r>
              <w:rPr>
                <w:rFonts w:hint="eastAsia" w:eastAsia="宋体" w:cs="宋体"/>
                <w:color w:val="000000" w:themeColor="text1"/>
                <w:kern w:val="0"/>
                <w:sz w:val="24"/>
                <w:szCs w:val="24"/>
                <w:highlight w:val="none"/>
                <w:lang w:val="en-US" w:eastAsia="zh-CN" w:bidi="ar"/>
                <w14:textFill>
                  <w14:solidFill>
                    <w14:schemeClr w14:val="tx1"/>
                  </w14:solidFill>
                </w14:textFill>
              </w:rPr>
              <w:t>达州市通川区总体规划。</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eastAsia" w:eastAsia="宋体" w:cs="宋体"/>
                <w:b/>
                <w:bCs/>
                <w:color w:val="000000" w:themeColor="text1"/>
                <w:kern w:val="0"/>
                <w:sz w:val="24"/>
                <w:szCs w:val="24"/>
                <w:highlight w:val="none"/>
                <w:lang w:val="en-US" w:eastAsia="zh-CN" w:bidi="ar"/>
                <w14:textFill>
                  <w14:solidFill>
                    <w14:schemeClr w14:val="tx1"/>
                  </w14:solidFill>
                </w14:textFill>
              </w:rPr>
            </w:pPr>
            <w:r>
              <w:rPr>
                <w:rFonts w:hint="eastAsia" w:eastAsia="宋体" w:cs="宋体"/>
                <w:b/>
                <w:bCs/>
                <w:color w:val="000000" w:themeColor="text1"/>
                <w:kern w:val="0"/>
                <w:sz w:val="24"/>
                <w:szCs w:val="24"/>
                <w:highlight w:val="none"/>
                <w:lang w:val="en-US" w:eastAsia="zh-CN" w:bidi="ar"/>
                <w14:textFill>
                  <w14:solidFill>
                    <w14:schemeClr w14:val="tx1"/>
                  </w14:solidFill>
                </w14:textFill>
              </w:rPr>
              <w:t>2、与“环境质量底线”符合性分析</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eastAsia="宋体" w:cs="宋体"/>
                <w:color w:val="000000" w:themeColor="text1"/>
                <w:kern w:val="0"/>
                <w:sz w:val="24"/>
                <w:szCs w:val="24"/>
                <w:highlight w:val="none"/>
                <w:lang w:val="en-US" w:eastAsia="zh-CN" w:bidi="ar"/>
                <w14:textFill>
                  <w14:solidFill>
                    <w14:schemeClr w14:val="tx1"/>
                  </w14:solidFill>
                </w14:textFill>
              </w:rPr>
            </w:pPr>
            <w:r>
              <w:rPr>
                <w:rFonts w:hint="eastAsia" w:eastAsia="宋体" w:cs="宋体"/>
                <w:color w:val="000000" w:themeColor="text1"/>
                <w:kern w:val="0"/>
                <w:sz w:val="24"/>
                <w:szCs w:val="24"/>
                <w:highlight w:val="none"/>
                <w:lang w:val="en-US" w:eastAsia="zh-CN" w:bidi="ar"/>
                <w14:textFill>
                  <w14:solidFill>
                    <w14:schemeClr w14:val="tx1"/>
                  </w14:solidFill>
                </w14:textFill>
              </w:rPr>
              <w:t>根据项目所在区域环境质量现状调查，项目所在区域属于环境空气质量达标区，本项目属于城市主干道建设项目，施工期污染主要为扬尘、施工噪声、施工废水及废弃土石方等施工固废，运营期污染主要为道路交通噪声、车辆尾气。施工期污染将采取相应的环保措施，降低扬尘、施工噪声等对环境的影响，且施工期是有限的，施工污染将随着施工期的结束而结束，故其对环境的影响有限。运营期主要通过工程措施降低交通噪声对环境的影响，且项目区地势较开阔，对周边环境影响较小。</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eastAsia="宋体" w:cs="宋体"/>
                <w:color w:val="000000" w:themeColor="text1"/>
                <w:kern w:val="0"/>
                <w:sz w:val="24"/>
                <w:szCs w:val="24"/>
                <w:highlight w:val="none"/>
                <w:lang w:val="en-US" w:eastAsia="zh-CN" w:bidi="ar"/>
                <w14:textFill>
                  <w14:solidFill>
                    <w14:schemeClr w14:val="tx1"/>
                  </w14:solidFill>
                </w14:textFill>
              </w:rPr>
            </w:pPr>
            <w:r>
              <w:rPr>
                <w:rFonts w:hint="eastAsia" w:eastAsia="宋体" w:cs="宋体"/>
                <w:color w:val="000000" w:themeColor="text1"/>
                <w:kern w:val="0"/>
                <w:sz w:val="24"/>
                <w:szCs w:val="24"/>
                <w:highlight w:val="none"/>
                <w:lang w:val="en-US" w:eastAsia="zh-CN" w:bidi="ar"/>
                <w14:textFill>
                  <w14:solidFill>
                    <w14:schemeClr w14:val="tx1"/>
                  </w14:solidFill>
                </w14:textFill>
              </w:rPr>
              <w:t>因此，本项目的建设未触及当地环境质量底线，符合相关要求。</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eastAsia" w:eastAsia="宋体" w:cs="宋体"/>
                <w:b/>
                <w:bCs/>
                <w:color w:val="000000" w:themeColor="text1"/>
                <w:kern w:val="0"/>
                <w:sz w:val="24"/>
                <w:szCs w:val="24"/>
                <w:highlight w:val="none"/>
                <w:lang w:val="en-US" w:eastAsia="zh-CN" w:bidi="ar"/>
                <w14:textFill>
                  <w14:solidFill>
                    <w14:schemeClr w14:val="tx1"/>
                  </w14:solidFill>
                </w14:textFill>
              </w:rPr>
            </w:pPr>
            <w:r>
              <w:rPr>
                <w:rFonts w:hint="eastAsia" w:eastAsia="宋体" w:cs="宋体"/>
                <w:b/>
                <w:bCs/>
                <w:color w:val="000000" w:themeColor="text1"/>
                <w:kern w:val="0"/>
                <w:sz w:val="24"/>
                <w:szCs w:val="24"/>
                <w:highlight w:val="none"/>
                <w:lang w:val="en-US" w:eastAsia="zh-CN" w:bidi="ar"/>
                <w14:textFill>
                  <w14:solidFill>
                    <w14:schemeClr w14:val="tx1"/>
                  </w14:solidFill>
                </w14:textFill>
              </w:rPr>
              <w:t>3、与“资源利用上线”符合性分析</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eastAsia="宋体" w:cs="宋体"/>
                <w:color w:val="000000" w:themeColor="text1"/>
                <w:kern w:val="0"/>
                <w:sz w:val="24"/>
                <w:szCs w:val="24"/>
                <w:highlight w:val="none"/>
                <w:lang w:val="en-US" w:eastAsia="zh-CN" w:bidi="ar"/>
                <w14:textFill>
                  <w14:solidFill>
                    <w14:schemeClr w14:val="tx1"/>
                  </w14:solidFill>
                </w14:textFill>
              </w:rPr>
            </w:pPr>
            <w:r>
              <w:rPr>
                <w:rFonts w:hint="eastAsia" w:eastAsia="宋体" w:cs="宋体"/>
                <w:color w:val="000000" w:themeColor="text1"/>
                <w:kern w:val="0"/>
                <w:sz w:val="24"/>
                <w:szCs w:val="24"/>
                <w:highlight w:val="none"/>
                <w:lang w:val="en-US" w:eastAsia="zh-CN" w:bidi="ar"/>
                <w14:textFill>
                  <w14:solidFill>
                    <w14:schemeClr w14:val="tx1"/>
                  </w14:solidFill>
                </w14:textFill>
              </w:rPr>
              <w:t>本项目不涉及矿产资源、地下水资源开采和基本农田等土地资源占用问题，本项目营运过程中交安工程消耗一定量的电源和水资源，项目资源消耗量相对于资源利用总量较少。</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eastAsia="宋体" w:cs="宋体"/>
                <w:color w:val="000000" w:themeColor="text1"/>
                <w:kern w:val="0"/>
                <w:sz w:val="24"/>
                <w:szCs w:val="24"/>
                <w:highlight w:val="none"/>
                <w:lang w:val="en-US" w:eastAsia="zh-CN" w:bidi="ar"/>
                <w14:textFill>
                  <w14:solidFill>
                    <w14:schemeClr w14:val="tx1"/>
                  </w14:solidFill>
                </w14:textFill>
              </w:rPr>
            </w:pPr>
            <w:r>
              <w:rPr>
                <w:rFonts w:hint="eastAsia" w:eastAsia="宋体" w:cs="宋体"/>
                <w:color w:val="000000" w:themeColor="text1"/>
                <w:kern w:val="0"/>
                <w:sz w:val="24"/>
                <w:szCs w:val="24"/>
                <w:highlight w:val="none"/>
                <w:lang w:val="en-US" w:eastAsia="zh-CN" w:bidi="ar"/>
                <w14:textFill>
                  <w14:solidFill>
                    <w14:schemeClr w14:val="tx1"/>
                  </w14:solidFill>
                </w14:textFill>
              </w:rPr>
              <w:t>因此，本项目的建设未触及当地的资源利用上线，符合相关要求。</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eastAsia" w:eastAsia="宋体" w:cs="宋体"/>
                <w:b/>
                <w:bCs/>
                <w:color w:val="000000" w:themeColor="text1"/>
                <w:kern w:val="0"/>
                <w:sz w:val="24"/>
                <w:szCs w:val="24"/>
                <w:highlight w:val="none"/>
                <w:lang w:val="en-US" w:eastAsia="zh-CN" w:bidi="ar"/>
                <w14:textFill>
                  <w14:solidFill>
                    <w14:schemeClr w14:val="tx1"/>
                  </w14:solidFill>
                </w14:textFill>
              </w:rPr>
            </w:pPr>
            <w:r>
              <w:rPr>
                <w:rFonts w:hint="eastAsia" w:eastAsia="宋体" w:cs="宋体"/>
                <w:b/>
                <w:bCs/>
                <w:color w:val="000000" w:themeColor="text1"/>
                <w:kern w:val="0"/>
                <w:sz w:val="24"/>
                <w:szCs w:val="24"/>
                <w:highlight w:val="none"/>
                <w:lang w:val="en-US" w:eastAsia="zh-CN" w:bidi="ar"/>
                <w14:textFill>
                  <w14:solidFill>
                    <w14:schemeClr w14:val="tx1"/>
                  </w14:solidFill>
                </w14:textFill>
              </w:rPr>
              <w:t>4、生态环境准入清单</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eastAsia="宋体" w:cs="宋体"/>
                <w:color w:val="000000" w:themeColor="text1"/>
                <w:kern w:val="0"/>
                <w:sz w:val="24"/>
                <w:szCs w:val="24"/>
                <w:highlight w:val="none"/>
                <w:lang w:val="en-US" w:eastAsia="zh-CN" w:bidi="ar"/>
                <w14:textFill>
                  <w14:solidFill>
                    <w14:schemeClr w14:val="tx1"/>
                  </w14:solidFill>
                </w14:textFill>
              </w:rPr>
            </w:pPr>
            <w:r>
              <w:rPr>
                <w:rFonts w:hint="eastAsia" w:eastAsia="宋体" w:cs="宋体"/>
                <w:color w:val="000000" w:themeColor="text1"/>
                <w:kern w:val="0"/>
                <w:sz w:val="24"/>
                <w:szCs w:val="24"/>
                <w:highlight w:val="none"/>
                <w:lang w:val="en-US" w:eastAsia="zh-CN" w:bidi="ar"/>
                <w14:textFill>
                  <w14:solidFill>
                    <w14:schemeClr w14:val="tx1"/>
                  </w14:solidFill>
                </w14:textFill>
              </w:rPr>
              <w:t>根据《达州市人民政府关于落实生态保护红线、环境质量底线、资源利用上线制定生态环境准入清单实施生态分区管控的通知》（达市府发〔2021〕17号），本项目位于城镇重点管控单元。</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综上，本项目不在生态保护红线内、未超出环境质量底线及资源利用上线、未列入当地环境准入负面清单内。</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eastAsia="宋体" w:cs="宋体"/>
                <w:color w:val="000000" w:themeColor="text1"/>
                <w:kern w:val="0"/>
                <w:sz w:val="24"/>
                <w:szCs w:val="24"/>
                <w:highlight w:val="none"/>
                <w:lang w:val="en-US" w:eastAsia="zh-CN" w:bidi="ar"/>
                <w14:textFill>
                  <w14:solidFill>
                    <w14:schemeClr w14:val="tx1"/>
                  </w14:solidFill>
                </w14:textFill>
              </w:rPr>
            </w:pPr>
          </w:p>
          <w:p>
            <w:pPr>
              <w:pStyle w:val="12"/>
              <w:keepNext w:val="0"/>
              <w:keepLines w:val="0"/>
              <w:suppressLineNumbers w:val="0"/>
              <w:spacing w:before="0" w:beforeAutospacing="0" w:afterAutospacing="0" w:line="240" w:lineRule="auto"/>
              <w:ind w:left="0" w:leftChars="0" w:right="0" w:firstLine="0" w:firstLineChars="0"/>
              <w:jc w:val="center"/>
              <w:rPr>
                <w:rFonts w:hint="eastAsia"/>
                <w:color w:val="000000" w:themeColor="text1"/>
                <w:highlight w:val="none"/>
                <w:lang w:val="en-US" w:eastAsia="zh-CN"/>
                <w14:textFill>
                  <w14:solidFill>
                    <w14:schemeClr w14:val="tx1"/>
                  </w14:solidFill>
                </w14:textFill>
              </w:rPr>
            </w:pPr>
            <w:r>
              <w:rPr>
                <w:color w:val="000000" w:themeColor="text1"/>
                <w:sz w:val="21"/>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1895475</wp:posOffset>
                      </wp:positionH>
                      <wp:positionV relativeFrom="paragraph">
                        <wp:posOffset>2241550</wp:posOffset>
                      </wp:positionV>
                      <wp:extent cx="711200" cy="474345"/>
                      <wp:effectExtent l="225425" t="513715" r="8255" b="17780"/>
                      <wp:wrapNone/>
                      <wp:docPr id="26" name="矩形标注 26"/>
                      <wp:cNvGraphicFramePr/>
                      <a:graphic xmlns:a="http://schemas.openxmlformats.org/drawingml/2006/main">
                        <a:graphicData uri="http://schemas.microsoft.com/office/word/2010/wordprocessingShape">
                          <wps:wsp>
                            <wps:cNvSpPr/>
                            <wps:spPr>
                              <a:xfrm>
                                <a:off x="0" y="0"/>
                                <a:ext cx="711200" cy="474345"/>
                              </a:xfrm>
                              <a:prstGeom prst="wedgeRectCallout">
                                <a:avLst>
                                  <a:gd name="adj1" fmla="val -77031"/>
                                  <a:gd name="adj2" fmla="val -149999"/>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FF0000"/>
                                      <w:lang w:val="en-US" w:eastAsia="zh-CN"/>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49.25pt;margin-top:176.5pt;height:37.35pt;width:56pt;z-index:251661312;v-text-anchor:middle;mso-width-relative:page;mso-height-relative:page;" filled="f" stroked="t" coordsize="21600,21600" o:gfxdata="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JkOUDTbAAAACwEAAA8AAAAAAAAAAQAgAAAAIgAAAGRycy9k&#10;b3ducmV2LnhtbFBLAQIUABQAAAAIAIdO4kDZEVVjqgIAAD0FAAAOAAAAAAAAAAEAIAAAACoBAABk&#10;cnMvZTJvRG9jLnhtbFBLBQYAAAAABgAGAFkBAABGBgAAAAA=&#10;" adj="-5839,-21600">
                      <v:fill on="f" focussize="0,0"/>
                      <v:stroke weight="1pt" color="#FFFF00 [2404]" miterlimit="8" joinstyle="miter"/>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FF0000"/>
                                <w:lang w:val="en-US" w:eastAsia="zh-CN"/>
                              </w:rPr>
                              <w:t>本项目所在地</w:t>
                            </w:r>
                          </w:p>
                        </w:txbxContent>
                      </v:textbox>
                    </v:shape>
                  </w:pict>
                </mc:Fallback>
              </mc:AlternateContent>
            </w:r>
            <w:r>
              <w:rPr>
                <w:color w:val="000000" w:themeColor="text1"/>
                <w:highlight w:val="none"/>
                <w14:textFill>
                  <w14:solidFill>
                    <w14:schemeClr w14:val="tx1"/>
                  </w14:solidFill>
                </w14:textFill>
              </w:rPr>
              <w:drawing>
                <wp:inline distT="0" distB="0" distL="114300" distR="114300">
                  <wp:extent cx="4464685" cy="2914650"/>
                  <wp:effectExtent l="0" t="0" r="635" b="1143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0"/>
                          <a:stretch>
                            <a:fillRect/>
                          </a:stretch>
                        </pic:blipFill>
                        <pic:spPr>
                          <a:xfrm>
                            <a:off x="0" y="0"/>
                            <a:ext cx="4464685" cy="2914650"/>
                          </a:xfrm>
                          <a:prstGeom prst="rect">
                            <a:avLst/>
                          </a:prstGeom>
                          <a:noFill/>
                          <a:ln>
                            <a:noFill/>
                          </a:ln>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图</w:t>
            </w:r>
            <w:r>
              <w:rPr>
                <w:rFonts w:hint="default" w:ascii="黑体" w:hAnsi="黑体" w:eastAsia="黑体" w:cs="黑体"/>
                <w:color w:val="000000" w:themeColor="text1"/>
                <w:kern w:val="0"/>
                <w:sz w:val="24"/>
                <w:szCs w:val="24"/>
                <w:highlight w:val="none"/>
                <w:lang w:val="en-US" w:eastAsia="zh-CN" w:bidi="ar"/>
                <w14:textFill>
                  <w14:solidFill>
                    <w14:schemeClr w14:val="tx1"/>
                  </w14:solidFill>
                </w14:textFill>
              </w:rPr>
              <w:t>1-</w:t>
            </w: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3  达州市环境管控单元图</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pPr>
            <w:r>
              <w:rPr>
                <w:rFonts w:hint="eastAsia" w:cs="Times New Roman"/>
                <w:b/>
                <w:bCs/>
                <w:color w:val="000000" w:themeColor="text1"/>
                <w:kern w:val="0"/>
                <w:sz w:val="24"/>
                <w:szCs w:val="24"/>
                <w:highlight w:val="none"/>
                <w:lang w:val="en-US" w:eastAsia="zh-CN" w:bidi="ar"/>
                <w14:textFill>
                  <w14:solidFill>
                    <w14:schemeClr w14:val="tx1"/>
                  </w14:solidFill>
                </w14:textFill>
              </w:rPr>
              <w:t>5、</w:t>
            </w: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与环境管控单元符合性分析</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本项目属于城镇重点管控单元，同时项目为城市</w:t>
            </w:r>
            <w:r>
              <w:rPr>
                <w:rFonts w:hint="eastAsia" w:cs="Times New Roman"/>
                <w:color w:val="000000" w:themeColor="text1"/>
                <w:kern w:val="0"/>
                <w:sz w:val="24"/>
                <w:szCs w:val="24"/>
                <w:highlight w:val="none"/>
                <w:lang w:val="en-US" w:eastAsia="zh-CN" w:bidi="ar"/>
                <w14:textFill>
                  <w14:solidFill>
                    <w14:schemeClr w14:val="tx1"/>
                  </w14:solidFill>
                </w14:textFill>
              </w:rPr>
              <w:t>主干道</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建设工程，不属于区域重点管控项目，区域环境质量良好，污染物均能实现达标排放，满足环境质量管控要求。</w:t>
            </w:r>
          </w:p>
          <w:p>
            <w:pPr>
              <w:keepNext w:val="0"/>
              <w:keepLines w:val="0"/>
              <w:widowControl w:val="0"/>
              <w:suppressLineNumbers w:val="0"/>
              <w:adjustRightInd w:val="0"/>
              <w:snapToGrid w:val="0"/>
              <w:spacing w:before="0" w:beforeAutospacing="0" w:after="0" w:afterAutospacing="0" w:line="240" w:lineRule="auto"/>
              <w:ind w:left="0" w:right="0"/>
              <w:jc w:val="center"/>
              <w:rPr>
                <w:rFonts w:hint="default" w:eastAsia="宋体" w:cs="Times New Roman"/>
                <w:color w:val="000000" w:themeColor="text1"/>
                <w:kern w:val="0"/>
                <w:sz w:val="24"/>
                <w:szCs w:val="24"/>
                <w:highlight w:val="none"/>
                <w:lang w:val="en-US" w:eastAsia="zh-CN" w:bidi="ar"/>
                <w14:textFill>
                  <w14:solidFill>
                    <w14:schemeClr w14:val="tx1"/>
                  </w14:solidFill>
                </w14:textFill>
              </w:rPr>
            </w:pPr>
            <w:r>
              <w:rPr>
                <w:color w:val="000000" w:themeColor="text1"/>
                <w:sz w:val="21"/>
                <w:highlight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2166620</wp:posOffset>
                      </wp:positionH>
                      <wp:positionV relativeFrom="paragraph">
                        <wp:posOffset>2108835</wp:posOffset>
                      </wp:positionV>
                      <wp:extent cx="711200" cy="474345"/>
                      <wp:effectExtent l="225425" t="513715" r="8255" b="17780"/>
                      <wp:wrapNone/>
                      <wp:docPr id="27" name="矩形标注 27"/>
                      <wp:cNvGraphicFramePr/>
                      <a:graphic xmlns:a="http://schemas.openxmlformats.org/drawingml/2006/main">
                        <a:graphicData uri="http://schemas.microsoft.com/office/word/2010/wordprocessingShape">
                          <wps:wsp>
                            <wps:cNvSpPr/>
                            <wps:spPr>
                              <a:xfrm>
                                <a:off x="0" y="0"/>
                                <a:ext cx="711200" cy="474345"/>
                              </a:xfrm>
                              <a:prstGeom prst="wedgeRectCallout">
                                <a:avLst>
                                  <a:gd name="adj1" fmla="val -77031"/>
                                  <a:gd name="adj2" fmla="val -149999"/>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FF0000"/>
                                      <w:lang w:val="en-US" w:eastAsia="zh-CN"/>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70.6pt;margin-top:166.05pt;height:37.35pt;width:56pt;z-index:251662336;v-text-anchor:middle;mso-width-relative:page;mso-height-relative:page;" filled="f" stroked="t" coordsize="21600,21600" o:gfxdata="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Q61+V2gAAAAsBAAAPAAAAAAAAAAEAIAAAACIAAABkcnMvZG93&#10;bnJldi54bWxQSwECFAAUAAAACACHTuJA4dxEz6kCAAA9BQAADgAAAAAAAAABACAAAAApAQAAZHJz&#10;L2Uyb0RvYy54bWxQSwUGAAAAAAYABgBZAQAARAYAAAAA&#10;" adj="-5839,-21600">
                      <v:fill on="f" focussize="0,0"/>
                      <v:stroke weight="1pt" color="#FFFF00 [2404]" miterlimit="8" joinstyle="miter"/>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FF0000"/>
                                <w:lang w:val="en-US" w:eastAsia="zh-CN"/>
                              </w:rPr>
                              <w:t>本项目所在地</w:t>
                            </w:r>
                          </w:p>
                        </w:txbxContent>
                      </v:textbox>
                    </v:shape>
                  </w:pict>
                </mc:Fallback>
              </mc:AlternateContent>
            </w:r>
            <w:r>
              <w:rPr>
                <w:rFonts w:hint="eastAsia" w:eastAsia="宋体" w:cs="Times New Roman"/>
                <w:color w:val="000000" w:themeColor="text1"/>
                <w:kern w:val="0"/>
                <w:sz w:val="24"/>
                <w:szCs w:val="24"/>
                <w:highlight w:val="none"/>
                <w:lang w:val="en-US" w:eastAsia="zh-CN" w:bidi="ar"/>
                <w14:textFill>
                  <w14:solidFill>
                    <w14:schemeClr w14:val="tx1"/>
                  </w14:solidFill>
                </w14:textFill>
              </w:rPr>
              <w:drawing>
                <wp:inline distT="0" distB="0" distL="114300" distR="114300">
                  <wp:extent cx="4450080" cy="2720340"/>
                  <wp:effectExtent l="0" t="0" r="0" b="762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1"/>
                          <a:stretch>
                            <a:fillRect/>
                          </a:stretch>
                        </pic:blipFill>
                        <pic:spPr>
                          <a:xfrm>
                            <a:off x="0" y="0"/>
                            <a:ext cx="4450080" cy="2720340"/>
                          </a:xfrm>
                          <a:prstGeom prst="rect">
                            <a:avLst/>
                          </a:prstGeom>
                          <a:noFill/>
                          <a:ln>
                            <a:noFill/>
                          </a:ln>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图1-4  项目与达州市环境管控单元位置关系</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eastAsia="宋体" w:cs="Times New Roman"/>
                <w:color w:val="000000" w:themeColor="text1"/>
                <w:kern w:val="0"/>
                <w:sz w:val="24"/>
                <w:szCs w:val="24"/>
                <w:highlight w:val="none"/>
                <w:lang w:val="en-US" w:eastAsia="zh-CN" w:bidi="ar"/>
                <w14:textFill>
                  <w14:solidFill>
                    <w14:schemeClr w14:val="tx1"/>
                  </w14:solidFill>
                </w14:textFill>
              </w:rPr>
            </w:pPr>
            <w:r>
              <w:rPr>
                <w:rFonts w:hint="eastAsia" w:eastAsia="宋体" w:cs="Times New Roman"/>
                <w:color w:val="000000" w:themeColor="text1"/>
                <w:kern w:val="0"/>
                <w:sz w:val="24"/>
                <w:szCs w:val="24"/>
                <w:highlight w:val="none"/>
                <w:lang w:val="en-US" w:eastAsia="zh-CN" w:bidi="ar"/>
                <w14:textFill>
                  <w14:solidFill>
                    <w14:schemeClr w14:val="tx1"/>
                  </w14:solidFill>
                </w14:textFill>
              </w:rPr>
              <w:t>根据《四川省生态环境厅办公室关于印发《产业园区规划环评</w:t>
            </w:r>
            <w:r>
              <w:rPr>
                <w:rFonts w:hint="default" w:eastAsia="宋体" w:cs="Times New Roman"/>
                <w:color w:val="000000" w:themeColor="text1"/>
                <w:kern w:val="0"/>
                <w:sz w:val="24"/>
                <w:szCs w:val="24"/>
                <w:highlight w:val="none"/>
                <w:lang w:val="en-US" w:eastAsia="zh-CN" w:bidi="ar"/>
                <w14:textFill>
                  <w14:solidFill>
                    <w14:schemeClr w14:val="tx1"/>
                  </w14:solidFill>
                </w14:textFill>
              </w:rPr>
              <w:t>“</w:t>
            </w:r>
            <w:r>
              <w:rPr>
                <w:rFonts w:hint="eastAsia" w:eastAsia="宋体" w:cs="Times New Roman"/>
                <w:color w:val="000000" w:themeColor="text1"/>
                <w:kern w:val="0"/>
                <w:sz w:val="24"/>
                <w:szCs w:val="24"/>
                <w:highlight w:val="none"/>
                <w:lang w:val="en-US" w:eastAsia="zh-CN" w:bidi="ar"/>
                <w14:textFill>
                  <w14:solidFill>
                    <w14:schemeClr w14:val="tx1"/>
                  </w14:solidFill>
                </w14:textFill>
              </w:rPr>
              <w:t>三线一单</w:t>
            </w:r>
            <w:r>
              <w:rPr>
                <w:rFonts w:hint="default" w:eastAsia="宋体" w:cs="Times New Roman"/>
                <w:color w:val="000000" w:themeColor="text1"/>
                <w:kern w:val="0"/>
                <w:sz w:val="24"/>
                <w:szCs w:val="24"/>
                <w:highlight w:val="none"/>
                <w:lang w:val="en-US" w:eastAsia="zh-CN" w:bidi="ar"/>
                <w14:textFill>
                  <w14:solidFill>
                    <w14:schemeClr w14:val="tx1"/>
                  </w14:solidFill>
                </w14:textFill>
              </w:rPr>
              <w:t>”</w:t>
            </w:r>
            <w:r>
              <w:rPr>
                <w:rFonts w:hint="eastAsia" w:eastAsia="宋体" w:cs="Times New Roman"/>
                <w:color w:val="000000" w:themeColor="text1"/>
                <w:kern w:val="0"/>
                <w:sz w:val="24"/>
                <w:szCs w:val="24"/>
                <w:highlight w:val="none"/>
                <w:lang w:val="en-US" w:eastAsia="zh-CN" w:bidi="ar"/>
                <w14:textFill>
                  <w14:solidFill>
                    <w14:schemeClr w14:val="tx1"/>
                  </w14:solidFill>
                </w14:textFill>
              </w:rPr>
              <w:t>符合性分析技术要点</w:t>
            </w:r>
            <w:r>
              <w:rPr>
                <w:rFonts w:hint="default" w:eastAsia="宋体" w:cs="Times New Roman"/>
                <w:color w:val="000000" w:themeColor="text1"/>
                <w:kern w:val="0"/>
                <w:sz w:val="24"/>
                <w:szCs w:val="24"/>
                <w:highlight w:val="none"/>
                <w:lang w:val="en-US" w:eastAsia="zh-CN" w:bidi="ar"/>
                <w14:textFill>
                  <w14:solidFill>
                    <w14:schemeClr w14:val="tx1"/>
                  </w14:solidFill>
                </w14:textFill>
              </w:rPr>
              <w:t>(</w:t>
            </w:r>
            <w:r>
              <w:rPr>
                <w:rFonts w:hint="eastAsia" w:eastAsia="宋体" w:cs="Times New Roman"/>
                <w:color w:val="000000" w:themeColor="text1"/>
                <w:kern w:val="0"/>
                <w:sz w:val="24"/>
                <w:szCs w:val="24"/>
                <w:highlight w:val="none"/>
                <w:lang w:val="en-US" w:eastAsia="zh-CN" w:bidi="ar"/>
                <w14:textFill>
                  <w14:solidFill>
                    <w14:schemeClr w14:val="tx1"/>
                  </w14:solidFill>
                </w14:textFill>
              </w:rPr>
              <w:t>试行</w:t>
            </w:r>
            <w:r>
              <w:rPr>
                <w:rFonts w:hint="default" w:eastAsia="宋体" w:cs="Times New Roman"/>
                <w:color w:val="000000" w:themeColor="text1"/>
                <w:kern w:val="0"/>
                <w:sz w:val="24"/>
                <w:szCs w:val="24"/>
                <w:highlight w:val="none"/>
                <w:lang w:val="en-US" w:eastAsia="zh-CN" w:bidi="ar"/>
                <w14:textFill>
                  <w14:solidFill>
                    <w14:schemeClr w14:val="tx1"/>
                  </w14:solidFill>
                </w14:textFill>
              </w:rPr>
              <w:t>)</w:t>
            </w:r>
            <w:r>
              <w:rPr>
                <w:rFonts w:hint="eastAsia" w:eastAsia="宋体" w:cs="Times New Roman"/>
                <w:color w:val="000000" w:themeColor="text1"/>
                <w:kern w:val="0"/>
                <w:sz w:val="24"/>
                <w:szCs w:val="24"/>
                <w:highlight w:val="none"/>
                <w:lang w:val="en-US" w:eastAsia="zh-CN" w:bidi="ar"/>
                <w14:textFill>
                  <w14:solidFill>
                    <w14:schemeClr w14:val="tx1"/>
                  </w14:solidFill>
                </w14:textFill>
              </w:rPr>
              <w:t>》和《项目环评</w:t>
            </w:r>
            <w:r>
              <w:rPr>
                <w:rFonts w:hint="default" w:eastAsia="宋体" w:cs="Times New Roman"/>
                <w:color w:val="000000" w:themeColor="text1"/>
                <w:kern w:val="0"/>
                <w:sz w:val="24"/>
                <w:szCs w:val="24"/>
                <w:highlight w:val="none"/>
                <w:lang w:val="en-US" w:eastAsia="zh-CN" w:bidi="ar"/>
                <w14:textFill>
                  <w14:solidFill>
                    <w14:schemeClr w14:val="tx1"/>
                  </w14:solidFill>
                </w14:textFill>
              </w:rPr>
              <w:t>“</w:t>
            </w:r>
            <w:r>
              <w:rPr>
                <w:rFonts w:hint="eastAsia" w:eastAsia="宋体" w:cs="Times New Roman"/>
                <w:color w:val="000000" w:themeColor="text1"/>
                <w:kern w:val="0"/>
                <w:sz w:val="24"/>
                <w:szCs w:val="24"/>
                <w:highlight w:val="none"/>
                <w:lang w:val="en-US" w:eastAsia="zh-CN" w:bidi="ar"/>
                <w14:textFill>
                  <w14:solidFill>
                    <w14:schemeClr w14:val="tx1"/>
                  </w14:solidFill>
                </w14:textFill>
              </w:rPr>
              <w:t>三线一单</w:t>
            </w:r>
            <w:r>
              <w:rPr>
                <w:rFonts w:hint="default" w:eastAsia="宋体" w:cs="Times New Roman"/>
                <w:color w:val="000000" w:themeColor="text1"/>
                <w:kern w:val="0"/>
                <w:sz w:val="24"/>
                <w:szCs w:val="24"/>
                <w:highlight w:val="none"/>
                <w:lang w:val="en-US" w:eastAsia="zh-CN" w:bidi="ar"/>
                <w14:textFill>
                  <w14:solidFill>
                    <w14:schemeClr w14:val="tx1"/>
                  </w14:solidFill>
                </w14:textFill>
              </w:rPr>
              <w:t>”</w:t>
            </w:r>
            <w:r>
              <w:rPr>
                <w:rFonts w:hint="eastAsia" w:eastAsia="宋体" w:cs="Times New Roman"/>
                <w:color w:val="000000" w:themeColor="text1"/>
                <w:kern w:val="0"/>
                <w:sz w:val="24"/>
                <w:szCs w:val="24"/>
                <w:highlight w:val="none"/>
                <w:lang w:val="en-US" w:eastAsia="zh-CN" w:bidi="ar"/>
                <w14:textFill>
                  <w14:solidFill>
                    <w14:schemeClr w14:val="tx1"/>
                  </w14:solidFill>
                </w14:textFill>
              </w:rPr>
              <w:t>符合性分析技术要点</w:t>
            </w:r>
            <w:r>
              <w:rPr>
                <w:rFonts w:hint="default" w:eastAsia="宋体" w:cs="Times New Roman"/>
                <w:color w:val="000000" w:themeColor="text1"/>
                <w:kern w:val="0"/>
                <w:sz w:val="24"/>
                <w:szCs w:val="24"/>
                <w:highlight w:val="none"/>
                <w:lang w:val="en-US" w:eastAsia="zh-CN" w:bidi="ar"/>
                <w14:textFill>
                  <w14:solidFill>
                    <w14:schemeClr w14:val="tx1"/>
                  </w14:solidFill>
                </w14:textFill>
              </w:rPr>
              <w:t>(</w:t>
            </w:r>
            <w:r>
              <w:rPr>
                <w:rFonts w:hint="eastAsia" w:eastAsia="宋体" w:cs="Times New Roman"/>
                <w:color w:val="000000" w:themeColor="text1"/>
                <w:kern w:val="0"/>
                <w:sz w:val="24"/>
                <w:szCs w:val="24"/>
                <w:highlight w:val="none"/>
                <w:lang w:val="en-US" w:eastAsia="zh-CN" w:bidi="ar"/>
                <w14:textFill>
                  <w14:solidFill>
                    <w14:schemeClr w14:val="tx1"/>
                  </w14:solidFill>
                </w14:textFill>
              </w:rPr>
              <w:t>试行</w:t>
            </w:r>
            <w:r>
              <w:rPr>
                <w:rFonts w:hint="default" w:eastAsia="宋体" w:cs="Times New Roman"/>
                <w:color w:val="000000" w:themeColor="text1"/>
                <w:kern w:val="0"/>
                <w:sz w:val="24"/>
                <w:szCs w:val="24"/>
                <w:highlight w:val="none"/>
                <w:lang w:val="en-US" w:eastAsia="zh-CN" w:bidi="ar"/>
                <w14:textFill>
                  <w14:solidFill>
                    <w14:schemeClr w14:val="tx1"/>
                  </w14:solidFill>
                </w14:textFill>
              </w:rPr>
              <w:t>)</w:t>
            </w:r>
            <w:r>
              <w:rPr>
                <w:rFonts w:hint="eastAsia" w:eastAsia="宋体" w:cs="Times New Roman"/>
                <w:color w:val="000000" w:themeColor="text1"/>
                <w:kern w:val="0"/>
                <w:sz w:val="24"/>
                <w:szCs w:val="24"/>
                <w:highlight w:val="none"/>
                <w:lang w:val="en-US" w:eastAsia="zh-CN" w:bidi="ar"/>
                <w14:textFill>
                  <w14:solidFill>
                    <w14:schemeClr w14:val="tx1"/>
                  </w14:solidFill>
                </w14:textFill>
              </w:rPr>
              <w:t>》的通知</w:t>
            </w:r>
            <w:r>
              <w:rPr>
                <w:rFonts w:hint="default" w:eastAsia="宋体" w:cs="Times New Roman"/>
                <w:color w:val="000000" w:themeColor="text1"/>
                <w:kern w:val="0"/>
                <w:sz w:val="24"/>
                <w:szCs w:val="24"/>
                <w:highlight w:val="none"/>
                <w:lang w:val="en-US" w:eastAsia="zh-CN" w:bidi="ar"/>
                <w14:textFill>
                  <w14:solidFill>
                    <w14:schemeClr w14:val="tx1"/>
                  </w14:solidFill>
                </w14:textFill>
              </w:rPr>
              <w:t>”</w:t>
            </w:r>
            <w:r>
              <w:rPr>
                <w:rFonts w:hint="eastAsia" w:eastAsia="宋体" w:cs="Times New Roman"/>
                <w:color w:val="000000" w:themeColor="text1"/>
                <w:kern w:val="0"/>
                <w:sz w:val="24"/>
                <w:szCs w:val="24"/>
                <w:highlight w:val="none"/>
                <w:lang w:val="en-US" w:eastAsia="zh-CN" w:bidi="ar"/>
                <w14:textFill>
                  <w14:solidFill>
                    <w14:schemeClr w14:val="tx1"/>
                  </w14:solidFill>
                </w14:textFill>
              </w:rPr>
              <w:t>》（川环办函〔2021〕</w:t>
            </w:r>
            <w:r>
              <w:rPr>
                <w:rFonts w:hint="default" w:eastAsia="宋体" w:cs="Times New Roman"/>
                <w:color w:val="000000" w:themeColor="text1"/>
                <w:kern w:val="0"/>
                <w:sz w:val="24"/>
                <w:szCs w:val="24"/>
                <w:highlight w:val="none"/>
                <w:lang w:val="en-US" w:eastAsia="zh-CN" w:bidi="ar"/>
                <w14:textFill>
                  <w14:solidFill>
                    <w14:schemeClr w14:val="tx1"/>
                  </w14:solidFill>
                </w14:textFill>
              </w:rPr>
              <w:t>469</w:t>
            </w:r>
            <w:r>
              <w:rPr>
                <w:rFonts w:hint="eastAsia" w:eastAsia="宋体" w:cs="Times New Roman"/>
                <w:color w:val="000000" w:themeColor="text1"/>
                <w:kern w:val="0"/>
                <w:sz w:val="24"/>
                <w:szCs w:val="24"/>
                <w:highlight w:val="none"/>
                <w:lang w:val="en-US" w:eastAsia="zh-CN" w:bidi="ar"/>
                <w14:textFill>
                  <w14:solidFill>
                    <w14:schemeClr w14:val="tx1"/>
                  </w14:solidFill>
                </w14:textFill>
              </w:rPr>
              <w:t>号）中相关内容：若建设项目位于产业园区外，需进行空间符合性分析以及管控要求符合性分析。</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eastAsia="宋体" w:cs="Times New Roman"/>
                <w:color w:val="000000" w:themeColor="text1"/>
                <w:kern w:val="0"/>
                <w:sz w:val="24"/>
                <w:szCs w:val="24"/>
                <w:highlight w:val="none"/>
                <w:lang w:val="en-US" w:eastAsia="zh-CN" w:bidi="ar"/>
                <w14:textFill>
                  <w14:solidFill>
                    <w14:schemeClr w14:val="tx1"/>
                  </w14:solidFill>
                </w14:textFill>
              </w:rPr>
            </w:pPr>
            <w:r>
              <w:rPr>
                <w:rFonts w:hint="eastAsia" w:eastAsia="宋体" w:cs="Times New Roman"/>
                <w:color w:val="000000" w:themeColor="text1"/>
                <w:kern w:val="0"/>
                <w:sz w:val="24"/>
                <w:szCs w:val="24"/>
                <w:highlight w:val="none"/>
                <w:lang w:val="en-US" w:eastAsia="zh-CN" w:bidi="ar"/>
                <w14:textFill>
                  <w14:solidFill>
                    <w14:schemeClr w14:val="tx1"/>
                  </w14:solidFill>
                </w14:textFill>
              </w:rPr>
              <w:t>根据四川省政务服务网</w:t>
            </w:r>
            <w:r>
              <w:rPr>
                <w:rFonts w:hint="default" w:eastAsia="宋体" w:cs="Times New Roman"/>
                <w:color w:val="000000" w:themeColor="text1"/>
                <w:kern w:val="0"/>
                <w:sz w:val="24"/>
                <w:szCs w:val="24"/>
                <w:highlight w:val="none"/>
                <w:lang w:val="en-US" w:eastAsia="zh-CN" w:bidi="ar"/>
                <w14:textFill>
                  <w14:solidFill>
                    <w14:schemeClr w14:val="tx1"/>
                  </w14:solidFill>
                </w14:textFill>
              </w:rPr>
              <w:t>“</w:t>
            </w:r>
            <w:r>
              <w:rPr>
                <w:rFonts w:hint="eastAsia" w:eastAsia="宋体" w:cs="Times New Roman"/>
                <w:color w:val="000000" w:themeColor="text1"/>
                <w:kern w:val="0"/>
                <w:sz w:val="24"/>
                <w:szCs w:val="24"/>
                <w:highlight w:val="none"/>
                <w:lang w:val="en-US" w:eastAsia="zh-CN" w:bidi="ar"/>
                <w14:textFill>
                  <w14:solidFill>
                    <w14:schemeClr w14:val="tx1"/>
                  </w14:solidFill>
                </w14:textFill>
              </w:rPr>
              <w:t>三线一单</w:t>
            </w:r>
            <w:r>
              <w:rPr>
                <w:rFonts w:hint="default" w:eastAsia="宋体" w:cs="Times New Roman"/>
                <w:color w:val="000000" w:themeColor="text1"/>
                <w:kern w:val="0"/>
                <w:sz w:val="24"/>
                <w:szCs w:val="24"/>
                <w:highlight w:val="none"/>
                <w:lang w:val="en-US" w:eastAsia="zh-CN" w:bidi="ar"/>
                <w14:textFill>
                  <w14:solidFill>
                    <w14:schemeClr w14:val="tx1"/>
                  </w14:solidFill>
                </w14:textFill>
              </w:rPr>
              <w:t>”</w:t>
            </w:r>
            <w:r>
              <w:rPr>
                <w:rFonts w:hint="eastAsia" w:eastAsia="宋体" w:cs="Times New Roman"/>
                <w:color w:val="000000" w:themeColor="text1"/>
                <w:kern w:val="0"/>
                <w:sz w:val="24"/>
                <w:szCs w:val="24"/>
                <w:highlight w:val="none"/>
                <w:lang w:val="en-US" w:eastAsia="zh-CN" w:bidi="ar"/>
                <w14:textFill>
                  <w14:solidFill>
                    <w14:schemeClr w14:val="tx1"/>
                  </w14:solidFill>
                </w14:textFill>
              </w:rPr>
              <w:t>查询网站（网址：https://www.sczwfw.gov.cn/tftb/jmopenpub/jmopen_files/webapp/html5/sxydctfx/index.html?areaCode=510000000000）查询项目所在地</w:t>
            </w:r>
            <w:r>
              <w:rPr>
                <w:rFonts w:hint="default" w:eastAsia="宋体" w:cs="Times New Roman"/>
                <w:color w:val="000000" w:themeColor="text1"/>
                <w:kern w:val="0"/>
                <w:sz w:val="24"/>
                <w:szCs w:val="24"/>
                <w:highlight w:val="none"/>
                <w:lang w:val="en-US" w:eastAsia="zh-CN" w:bidi="ar"/>
                <w14:textFill>
                  <w14:solidFill>
                    <w14:schemeClr w14:val="tx1"/>
                  </w14:solidFill>
                </w14:textFill>
              </w:rPr>
              <w:t>“</w:t>
            </w:r>
            <w:r>
              <w:rPr>
                <w:rFonts w:hint="eastAsia" w:eastAsia="宋体" w:cs="Times New Roman"/>
                <w:color w:val="000000" w:themeColor="text1"/>
                <w:kern w:val="0"/>
                <w:sz w:val="24"/>
                <w:szCs w:val="24"/>
                <w:highlight w:val="none"/>
                <w:lang w:val="en-US" w:eastAsia="zh-CN" w:bidi="ar"/>
                <w14:textFill>
                  <w14:solidFill>
                    <w14:schemeClr w14:val="tx1"/>
                  </w14:solidFill>
                </w14:textFill>
              </w:rPr>
              <w:t>三线一单</w:t>
            </w:r>
            <w:r>
              <w:rPr>
                <w:rFonts w:hint="default" w:eastAsia="宋体" w:cs="Times New Roman"/>
                <w:color w:val="000000" w:themeColor="text1"/>
                <w:kern w:val="0"/>
                <w:sz w:val="24"/>
                <w:szCs w:val="24"/>
                <w:highlight w:val="none"/>
                <w:lang w:val="en-US" w:eastAsia="zh-CN" w:bidi="ar"/>
                <w14:textFill>
                  <w14:solidFill>
                    <w14:schemeClr w14:val="tx1"/>
                  </w14:solidFill>
                </w14:textFill>
              </w:rPr>
              <w:t>”</w:t>
            </w:r>
            <w:r>
              <w:rPr>
                <w:rFonts w:hint="eastAsia" w:eastAsia="宋体" w:cs="Times New Roman"/>
                <w:color w:val="000000" w:themeColor="text1"/>
                <w:kern w:val="0"/>
                <w:sz w:val="24"/>
                <w:szCs w:val="24"/>
                <w:highlight w:val="none"/>
                <w:lang w:val="en-US" w:eastAsia="zh-CN" w:bidi="ar"/>
                <w14:textFill>
                  <w14:solidFill>
                    <w14:schemeClr w14:val="tx1"/>
                  </w14:solidFill>
                </w14:textFill>
              </w:rPr>
              <w:t>结果截图如下：</w:t>
            </w:r>
          </w:p>
          <w:p>
            <w:pPr>
              <w:keepNext w:val="0"/>
              <w:keepLines w:val="0"/>
              <w:widowControl w:val="0"/>
              <w:suppressLineNumbers w:val="0"/>
              <w:adjustRightInd w:val="0"/>
              <w:snapToGrid w:val="0"/>
              <w:spacing w:before="0" w:beforeAutospacing="0" w:after="0" w:afterAutospacing="0" w:line="360" w:lineRule="auto"/>
              <w:ind w:left="0" w:right="0"/>
              <w:jc w:val="both"/>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drawing>
                <wp:inline distT="0" distB="0" distL="114300" distR="114300">
                  <wp:extent cx="4906645" cy="2440305"/>
                  <wp:effectExtent l="0" t="0" r="635" b="13335"/>
                  <wp:docPr id="28" name="图片 28" descr="170364254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03642544474"/>
                          <pic:cNvPicPr>
                            <a:picLocks noChangeAspect="1"/>
                          </pic:cNvPicPr>
                        </pic:nvPicPr>
                        <pic:blipFill>
                          <a:blip r:embed="rId12"/>
                          <a:stretch>
                            <a:fillRect/>
                          </a:stretch>
                        </pic:blipFill>
                        <pic:spPr>
                          <a:xfrm>
                            <a:off x="0" y="0"/>
                            <a:ext cx="4906645" cy="2440305"/>
                          </a:xfrm>
                          <a:prstGeom prst="rect">
                            <a:avLst/>
                          </a:prstGeom>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图</w:t>
            </w:r>
            <w:r>
              <w:rPr>
                <w:rFonts w:hint="default" w:ascii="黑体" w:hAnsi="黑体" w:eastAsia="黑体" w:cs="黑体"/>
                <w:color w:val="000000" w:themeColor="text1"/>
                <w:kern w:val="0"/>
                <w:sz w:val="24"/>
                <w:szCs w:val="24"/>
                <w:highlight w:val="none"/>
                <w:lang w:val="en-US" w:eastAsia="zh-CN" w:bidi="ar"/>
                <w14:textFill>
                  <w14:solidFill>
                    <w14:schemeClr w14:val="tx1"/>
                  </w14:solidFill>
                </w14:textFill>
              </w:rPr>
              <w:t>1-</w:t>
            </w: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5  “三线一单”查询结果截图</w:t>
            </w:r>
          </w:p>
          <w:p>
            <w:pPr>
              <w:keepNext w:val="0"/>
              <w:keepLines w:val="0"/>
              <w:widowControl/>
              <w:suppressLineNumbers w:val="0"/>
              <w:spacing w:before="0" w:beforeAutospacing="0" w:after="0" w:afterAutospacing="0"/>
              <w:ind w:left="0" w:right="0"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生态环境准入清单符合性分析如下表：</w:t>
            </w:r>
          </w:p>
          <w:p>
            <w:pPr>
              <w:pStyle w:val="12"/>
              <w:keepNext w:val="0"/>
              <w:keepLines w:val="0"/>
              <w:suppressLineNumbers w:val="0"/>
              <w:spacing w:before="0" w:beforeAutospacing="0" w:afterAutospacing="0"/>
              <w:ind w:right="0"/>
              <w:rPr>
                <w:color w:val="000000" w:themeColor="text1"/>
                <w:highlight w:val="none"/>
                <w14:textFill>
                  <w14:solidFill>
                    <w14:schemeClr w14:val="tx1"/>
                  </w14:solidFill>
                </w14:textFill>
              </w:rPr>
            </w:pPr>
          </w:p>
        </w:tc>
      </w:tr>
    </w:tbl>
    <w:p>
      <w:pPr>
        <w:spacing w:line="360" w:lineRule="auto"/>
        <w:outlineLvl w:val="0"/>
        <w:rPr>
          <w:rFonts w:eastAsia="黑体"/>
          <w:color w:val="000000" w:themeColor="text1"/>
          <w:sz w:val="30"/>
          <w:highlight w:val="none"/>
          <w14:textFill>
            <w14:solidFill>
              <w14:schemeClr w14:val="tx1"/>
            </w14:solidFill>
          </w14:textFill>
        </w:rPr>
        <w:sectPr>
          <w:footerReference r:id="rId5" w:type="default"/>
          <w:pgSz w:w="11906" w:h="16838"/>
          <w:pgMar w:top="1701" w:right="1531" w:bottom="1701" w:left="1531" w:header="851" w:footer="1077" w:gutter="0"/>
          <w:pgNumType w:start="1"/>
          <w:cols w:space="720" w:num="1"/>
          <w:docGrid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3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shd w:val="clear" w:color="auto" w:fill="auto"/>
          </w:tcPr>
          <w:p>
            <w:pPr>
              <w:pStyle w:val="19"/>
              <w:keepNext w:val="0"/>
              <w:keepLines w:val="0"/>
              <w:suppressLineNumbers w:val="0"/>
              <w:ind w:left="0" w:right="0"/>
              <w:jc w:val="center"/>
              <w:outlineLvl w:val="0"/>
              <w:rPr>
                <w:rFonts w:ascii="Times New Roman" w:hAnsi="Times New Roman"/>
                <w:b/>
                <w:bCs/>
                <w:snapToGrid w:val="0"/>
                <w:color w:val="000000" w:themeColor="text1"/>
                <w:sz w:val="30"/>
                <w:szCs w:val="30"/>
                <w:highlight w:val="none"/>
                <w14:textFill>
                  <w14:solidFill>
                    <w14:schemeClr w14:val="tx1"/>
                  </w14:solidFill>
                </w14:textFill>
              </w:rPr>
            </w:pPr>
          </w:p>
        </w:tc>
        <w:tc>
          <w:tcPr>
            <w:tcW w:w="13130" w:type="dxa"/>
            <w:shd w:val="clear" w:color="auto" w:fill="auto"/>
          </w:tcPr>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表1-2  项目与环境管控单元的符合性分析</w:t>
            </w:r>
          </w:p>
          <w:tbl>
            <w:tblPr>
              <w:tblStyle w:val="10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093"/>
              <w:gridCol w:w="4413"/>
              <w:gridCol w:w="867"/>
              <w:gridCol w:w="3253"/>
              <w:gridCol w:w="1560"/>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center"/>
                    <w:rPr>
                      <w:rFonts w:hint="default" w:ascii="宋体" w:hAnsi="宋体" w:eastAsia="宋体" w:cs="宋体"/>
                      <w:b/>
                      <w:bCs/>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0"/>
                      <w:sz w:val="21"/>
                      <w:szCs w:val="21"/>
                      <w:highlight w:val="none"/>
                      <w:lang w:val="en-US" w:eastAsia="zh-CN" w:bidi="ar-SA"/>
                      <w14:textFill>
                        <w14:solidFill>
                          <w14:schemeClr w14:val="tx1"/>
                        </w14:solidFill>
                      </w14:textFill>
                    </w:rPr>
                    <w:t>环境管控单元编码</w:t>
                  </w:r>
                </w:p>
              </w:tc>
              <w:tc>
                <w:tcPr>
                  <w:tcW w:w="423"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center"/>
                    <w:rPr>
                      <w:rFonts w:hint="default" w:ascii="宋体" w:hAnsi="宋体" w:eastAsia="宋体" w:cs="宋体"/>
                      <w:b/>
                      <w:bCs/>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0"/>
                      <w:sz w:val="21"/>
                      <w:szCs w:val="21"/>
                      <w:highlight w:val="none"/>
                      <w:lang w:val="en-US" w:eastAsia="zh-CN" w:bidi="ar-SA"/>
                      <w14:textFill>
                        <w14:solidFill>
                          <w14:schemeClr w14:val="tx1"/>
                        </w14:solidFill>
                      </w14:textFill>
                    </w:rPr>
                    <w:t>环境管控单元名称</w:t>
                  </w:r>
                </w:p>
              </w:tc>
              <w:tc>
                <w:tcPr>
                  <w:tcW w:w="1710"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center"/>
                    <w:rPr>
                      <w:rFonts w:hint="eastAsia" w:ascii="宋体" w:hAnsi="宋体" w:eastAsia="宋体" w:cs="宋体"/>
                      <w:b/>
                      <w:bCs/>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0"/>
                      <w:sz w:val="21"/>
                      <w:szCs w:val="21"/>
                      <w:highlight w:val="none"/>
                      <w:lang w:val="en-US" w:eastAsia="zh-CN" w:bidi="ar-SA"/>
                      <w14:textFill>
                        <w14:solidFill>
                          <w14:schemeClr w14:val="tx1"/>
                        </w14:solidFill>
                      </w14:textFill>
                    </w:rPr>
                    <w:t>达州市普适性清单</w:t>
                  </w:r>
                </w:p>
              </w:tc>
              <w:tc>
                <w:tcPr>
                  <w:tcW w:w="336" w:type="pct"/>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0"/>
                      <w:sz w:val="21"/>
                      <w:szCs w:val="21"/>
                      <w:highlight w:val="none"/>
                      <w:lang w:val="en-US" w:eastAsia="zh-CN" w:bidi="ar-SA"/>
                      <w14:textFill>
                        <w14:solidFill>
                          <w14:schemeClr w14:val="tx1"/>
                        </w14:solidFill>
                      </w14:textFill>
                    </w:rPr>
                    <w:t>管控类别</w:t>
                  </w:r>
                </w:p>
              </w:tc>
              <w:tc>
                <w:tcPr>
                  <w:tcW w:w="1260"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0"/>
                      <w:sz w:val="21"/>
                      <w:szCs w:val="21"/>
                      <w:highlight w:val="none"/>
                      <w:lang w:val="en-US" w:eastAsia="zh-CN" w:bidi="ar-SA"/>
                      <w14:textFill>
                        <w14:solidFill>
                          <w14:schemeClr w14:val="tx1"/>
                        </w14:solidFill>
                      </w14:textFill>
                    </w:rPr>
                    <w:t>单元特性管控要求</w:t>
                  </w:r>
                </w:p>
              </w:tc>
              <w:tc>
                <w:tcPr>
                  <w:tcW w:w="604"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宋体" w:hAnsi="宋体" w:eastAsia="宋体" w:cs="宋体"/>
                      <w:b/>
                      <w:bCs/>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0"/>
                      <w:sz w:val="21"/>
                      <w:szCs w:val="21"/>
                      <w:highlight w:val="none"/>
                      <w:lang w:val="en-US" w:eastAsia="zh-CN" w:bidi="ar-SA"/>
                      <w14:textFill>
                        <w14:solidFill>
                          <w14:schemeClr w14:val="tx1"/>
                        </w14:solidFill>
                      </w14:textFill>
                    </w:rPr>
                    <w:t>本项目情况</w:t>
                  </w:r>
                </w:p>
              </w:tc>
              <w:tc>
                <w:tcPr>
                  <w:tcW w:w="346"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宋体" w:hAnsi="宋体" w:eastAsia="宋体" w:cs="宋体"/>
                      <w:b/>
                      <w:bCs/>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0"/>
                      <w:sz w:val="21"/>
                      <w:szCs w:val="21"/>
                      <w:highlight w:val="none"/>
                      <w:lang w:val="en-US" w:eastAsia="zh-CN" w:bidi="ar-SA"/>
                      <w14:textFill>
                        <w14:solidFill>
                          <w14:schemeClr w14:val="tx1"/>
                        </w14:solidFill>
                      </w14:textFill>
                    </w:rPr>
                    <w:t>符合型分析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vMerge w:val="restart"/>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ZH51170220001</w:t>
                  </w:r>
                </w:p>
              </w:tc>
              <w:tc>
                <w:tcPr>
                  <w:tcW w:w="423" w:type="pct"/>
                  <w:vMerge w:val="restart"/>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通川区中心城区</w:t>
                  </w:r>
                </w:p>
              </w:tc>
              <w:tc>
                <w:tcPr>
                  <w:tcW w:w="1710" w:type="pct"/>
                  <w:vMerge w:val="restart"/>
                  <w:noWrap w:val="0"/>
                  <w:vAlign w:val="top"/>
                </w:tcPr>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空间布局约束：</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禁止开发建设活动的要求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-原则上禁止新建工业企业（新建工业企业原则上都应在工业园区内建设）。</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-禁止在居民区、学校、医疗和养老机构等周边新建有色金属冶炼、焦化、化工、铅蓄电池制造等行业企业，有序搬迁或依法关闭对土壤造成严重污染的现有企业。</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-禁止在长江流域河湖管理范围内倾倒、填埋、堆放、弃置、处理固体废物。</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限制开发建设活动的要求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-现有工业企业不得新增污染物排放。</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-允许企业以提升安全、生态环境保护水平为目的的改建，引导企业结合推进新型城镇化、产业结构调整和化解过剩产能等，退城入园，有序搬迁。</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-严格控制在城镇空间范围内新布设工业园区。若新布局工业园区，应符合达州市国土空间规划，并结合区域环境特点、三线成果、园区产业类别，充分论证选址的环境合理性。</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-严格控制新增建设用地规模，法定城乡规划除外</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不符合空间布局要求活动的退出要求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-现有工业企业适时进行有序退出。</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-按照相关规划和要求，清理整顿非法采砂、非法码头，全面清除不合规码头。</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-在全市范围深入开展集中整治“散乱污”工业企业，对不符合产业政策和规划布局的，一律责令停产、限期搬迁或关停；</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-有序搬迁或依法关闭对土壤造成严重污染的现有企业。</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-到2025年，城镇人口密集区现有不符合安全和卫生防护距离要求的危险化学品生产企业搬迁进入规范化工园区或关闭退出。</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-不断优化长江经济带化工行业空间布局，有效控制化工污染。推进化工企业搬迁入园，加强化工园区基础设施建设。</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其他空间布局约束要求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污染物排放管控：</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允许排放量要求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达州市2025年水污染物允许排放量COD33136.93t，氨氮2055.16t，TP252.53t；</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现有源提标升级改造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-到2025年，水环境敏感地区污水处理基本达到一级A排放标准。</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-燃气锅炉升级改造，达到特别排放限值。</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城市污水处理厂进水生化需氧量（BOD）浓度低于100mgL的，要围绕服务片区管网，系统排查进水浓度偏低的原因，科学确定水质提升目标，制定并实施“一厂一策”系统化整治方案，稳步提升污水收集处理设施效能。</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其他污染物排放管控要求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新增源等量或倍量替代:-上一年度水环境质量未完成目标的，新建排放水污染的建设项目按照总量管控要求进行倍量削减替代。</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上一年度空气质量年平均浓度不达标的城市，建设项目新增相关污染物按照总量管控要求进行倍量削减替代。加快城市天然气利用，增加天然气对煤炭和石油的替代，提高天然气民用、交通、发电、工业领域天然气消费比重。</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污染物排放绩效水平准入要求:严格落实建设工地管理要求，做好扬尘污染管控工作。</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从事机动车修理、印刷、服装干洗、研发等排放挥发性有机污染物的生产作业，应当按照有关技术规范进行综合治理。禁止露天和敞开式喷漆作业；包装印刷业必须使用符合环保要求的油墨；餐饮服务业油烟和废水必须经处理达到相应排放标准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建材行业原料破碎、生产、运输、装卸等各环节严格落实抑尘措施，有效控制粉尘无组织排放。-到2023年，城市污泥无害化处置率和资源化利用率进一步提高，力争达州市鲜家坝、周家坝城市生活污水处理厂污泥无害化处置率达92%、各县（市）城市达85%；城市生活污水资源化利用水平明显提升。-到2023年基本实现原生生活垃圾“零填埋”，鼓励跨区域统筹建设焚烧处理设施，在生活垃圾日清运量不足300吨的地区探索开展小型生活垃圾焚烧设施试点；生活垃圾回收利用率力争达30%以上。</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-实施密闭化收运，推广干湿分类收运。强化垃圾渗滤液、焚烧飞灰安全处置，城市生活垃圾无害化处理率保持100%。</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-到2023年，力争全省生活垃圾焚烧处理能力占比达60%以上，地级以上城市具备厨余垃圾集中处理能力；县城生活垃圾无害化处理率保持95%以上，乡镇及行政村生活垃圾收转运处置体系基本实现全覆盖；</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-2030年，渠江流域用水总量控制在31.61亿m3以内，渠江干流COD排放总量限制在4.89万ta内、NH3-N排放总量限制在0.54万ta内。全面推进节水型社会建设，加强河湖（库）水域岸线保护及管理，加强入河排污口规范化建设，加强工业污染、农业农村污染、船舶港口污染防治。对流域内饮用水源地进行有效保护及规范化建设。-到2025年，基本消除城市建成区生活污水直排口和收集处理率设施空白区，城市生活污水集中收集率力争达到70%以上；城市和县城水处理能力基本满足经济社会发展需要，县城污水处理达到95%以上；</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环境风险防控：</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联防联控要求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其他环境风险防控要求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企业环境风险防控要求:现有涉及五类重金属的企业，不得新增污染物排放，限期退城入园或关停。用地环境风险防控要求:工业企业退出用地，须经评估、修复满足相应用地功能后，方可改变用途。</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资源开发利用效率要求：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水资源利用总量要求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-到2025年，全国污水收集效能显著提升，县城及城市污水处理能力基本满足当地经济社会发展需要，水环境敏感地区污水处理基本实现提标升级；全国地级及以上缺水城市再生水利用率达到25%以上。</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地下水开采要求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以省市下发指标为准</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能源利用总量及效率要求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-严控使用燃煤等高污染燃料，禁止焚烧垃圾。</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-全面淘汰每小时10蒸吨以下的燃煤锅炉；在供气管网覆盖不到的其他地区，改用电、新能源或洁净煤。</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禁燃区要求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-禁燃区内禁止销售、燃用高污染燃料；禁止新建、改建、扩建燃用高污染燃料的设施和设备。</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-禁燃区内已建成的高污染燃料燃用设施由辖区人民政府制定限期改造计划，改用天然气、页岩气、液化石油气、电或其他清洁能源。</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其他资源利用效率要求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tc>
              <w:tc>
                <w:tcPr>
                  <w:tcW w:w="336" w:type="pct"/>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空间布局约束</w:t>
                  </w:r>
                </w:p>
              </w:tc>
              <w:tc>
                <w:tcPr>
                  <w:tcW w:w="1260"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禁止开发建设活动的要求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执行达州市城镇重点管控单元总体要求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限制开发建设活动的要求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城市发展遵循“北控、西扩、南拓、东进、中优”的布局战略其他同达州市城镇重点总体管控要求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允许开发建设活动的要求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不符合空间布局要求活动的退出要求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位于城镇空间内的工业园区外工业企业：具有合法手续的企业，且污染物排放及环境风险满足管理要求的企业，可继续保留，不得新增污染物排放，并进一步加强日常环保监管；如无合法手续，或污染物排放超标、环境风险不可控的企业，限期进行整改提升，通过环保、安全、工艺装备升级等落实整改措施并达到相关标准实现合法生产，整改后仍不能达到要求的，属地政府应按相关要求责令关停并退出尽快创造条件搬迁达钢至经开区第二园区，限制达钢工业用地原地扩展其他同达州市城镇重点总体管控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其他空间布局约束要求</w:t>
                  </w:r>
                </w:p>
              </w:tc>
              <w:tc>
                <w:tcPr>
                  <w:tcW w:w="604"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本项目属于城市主干道建设项目，不属于生产性项目，也不属于工业性质大气污染类项目</w:t>
                  </w:r>
                </w:p>
              </w:tc>
              <w:tc>
                <w:tcPr>
                  <w:tcW w:w="346"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vMerge w:val="continue"/>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ZH51170220001</w:t>
                  </w:r>
                </w:p>
              </w:tc>
              <w:tc>
                <w:tcPr>
                  <w:tcW w:w="423" w:type="pct"/>
                  <w:vMerge w:val="continue"/>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通川区中心城区</w:t>
                  </w:r>
                </w:p>
              </w:tc>
              <w:tc>
                <w:tcPr>
                  <w:tcW w:w="1710" w:type="pct"/>
                  <w:vMerge w:val="continue"/>
                  <w:noWrap w:val="0"/>
                  <w:vAlign w:val="top"/>
                </w:tcPr>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空间布局约束：</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禁止开发建设活动的要求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-原则上禁止新建工业企业（新建工业企业原则上都应在工业园区内建设）。</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-禁止在居民区、学校、医疗和养老机构等周边新建有色金属冶炼、焦化、化工、铅蓄电池制造等行业企业，有序搬迁或依法关闭对土壤造成严重污染的现有企业。</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-禁止在长江流域河湖管理范围内倾倒、填埋、堆放、弃置、处理固体废物。</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限制开发建设活动的要求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-现有工业企业不得新增污染物排放。</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-允许企业以提升安全、生态环境保护水平为目的的改建，引导企业结合推进新型城镇化、产业结构调整和化解过剩产能等，退城入园，有序搬迁。</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-严格控制在城镇空间范围内新布设工业园区。若新布局工业园区，应符合达州市国土空间规划，并结合区域环境特点、三线成果、园区产业类别，充分论证选址的环境合理性。</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-严格控制新增建设用地规模，法定城乡规划除外</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不符合空间布局要求活动的退出要求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-现有工业企业适时进行有序退出。</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-按照相关规划和要求，清理整顿非法采砂、非法码头，全面清除不合规码头。</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-在全市范围深入开展集中整治“散乱污”工业企业，对不符合产业政策和规划布局的，一律责令停产、限期搬迁或关停；</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-有序搬迁或依法关闭对土壤造成严重污染的现有企业。</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-到2025年，城镇人口密集区现有不符合安全和卫生防护距离要求的危险化学品生产企业搬迁进入规范化工园区或关闭退出。</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-不断优化长江经济带化工行业空间布局，有效控制化工污染。推进化工企业搬迁入园，加强化工园区基础设施建设。</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其他空间布局约束要求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污染物排放管控：</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允许排放量要求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达州市2025年水污染物允许排放量COD33136.93t，氨氮2055.16t，TP252.53t；</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现有源提标升级改造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-到2025年，水环境敏感地区污水处理基本达到一级A排放标准。</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-燃气锅炉升级改造，达到特别排放限值。</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城市污水处理厂进水生化需氧量（BOD）浓度低于100mgL的，要围绕服务片区管网，系统排查进水浓度偏低的原因，科学确定水质提升目标，制定并实施“一厂一策”系统化整治方案，稳步提升污水收集处理设施效能。</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其他污染物排放管控要求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新增源等量或倍量替代:-上一年度水环境质量未完成目标的，新建排放水污染的建设项目按照总量管控要求进行倍量削减替代。</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上一年度空气质量年平均浓度不达标的城市，建设项目新增相关污染物按照总量管控要求进行倍量削减替代。加快城市天然气利用，增加天然气对煤炭和石油的替代，提高天然气民用、交通、发电、工业领域天然气消费比重。</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污染物排放绩效水平准入要求:严格落实建设工地管理要求，做好扬尘污染管控工作。</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从事机动车修理、印刷、服装干洗、研发等排放挥发性有机污染物的生产作业，应当按照有关技术规范进行综合治理。禁止露天和敞开式喷漆作业；包装印刷业必须使用符合环保要求的油墨；餐饮服务业油烟和废水必须经处理达到相应排放标准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建材行业原料破碎、生产、运输、装卸等各环节严格落实抑尘措施，有效控制粉尘无组织排放。-到2023年，城市污泥无害化处置率和资源化利用率进一步提高，力争达州市鲜家坝、周家坝城市生活污水处理厂污泥无害化处置率达92%、各县（市）城市达85%；城市生活污水资源化利用水平明显提升。-到2023年基本实现原生生活垃圾“零填埋”，鼓励跨区域统筹建设焚烧处理设施，在生活垃圾日清运量不足300吨的地区探索开展小型生活垃圾焚烧设施试点；生活垃圾回收利用率力争达30%以上。</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-实施密闭化收运，推广干湿分类收运。强化垃圾渗滤液、焚烧飞灰安全处置，城市生活垃圾无害化处理率保持100%。</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-到2023年，力争全省生活垃圾焚烧处理能力占比达60%以上，地级以上城市具备厨余垃圾集中处理能力；县城生活垃圾无害化处理率保持95%以上，乡镇及行政村生活垃圾收转运处置体系基本实现全覆盖；</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-2030年，渠江流域用水总量控制在31.61亿m3以内，渠江干流COD排放总量限制在4.89万ta内、NH3-N排放总量限制在0.54万ta内。全面推进节水型社会建设，加强河湖（库）水域岸线保护及管理，加强入河排污口规范化建设，加强工业污染、农业农村污染、船舶港口污染防治。对流域内饮用水源地进行有效保护及规范化建设。-到2025年，基本消除城市建成区生活污水直排口和收集处理率设施空白区，城市生活污水集中收集率力争达到70%以上；城市和县城水处理能力基本满足经济社会发展需要，县城污水处理达到95%以上；</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环境风险防控：</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联防联控要求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其他环境风险防控要求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企业环境风险防控要求:现有涉及五类重金属的企业，不得新增污染物排放，限期退城入园或关停。用地环境风险防控要求:工业企业退出用地，须经评估、修复满足相应用地功能后，方可改变用途。</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资源开发利用效率要求：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水资源利用总量要求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-到2025年，全国污水收集效能显著提升，县城及城市污水处理能力基本满足当地经济社会发展需要，水环境敏感地区污水处理基本实现提标升级；全国地级及以上缺水城市再生水利用率达到25%以上。</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地下水开采要求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以省市下发指标为准</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能源利用总量及效率要求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-严控使用燃煤等高污染燃料，禁止焚烧垃圾。</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-全面淘汰每小时10蒸吨以下的燃煤锅炉；在供气管网覆盖不到的其他地区，改用电、新能源或洁净煤。</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禁燃区要求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-禁燃区内禁止销售、燃用高污染燃料；禁止新建、改建、扩建燃用高污染燃料的设施和设备。</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-禁燃区内已建成的高污染燃料燃用设施由辖区人民政府制定限期改造计划，改用天然气、页岩气、液化石油气、电或其他清洁能源。</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其他资源利用效率要求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tc>
              <w:tc>
                <w:tcPr>
                  <w:tcW w:w="336" w:type="pct"/>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污染物排放管控</w:t>
                  </w:r>
                </w:p>
              </w:tc>
              <w:tc>
                <w:tcPr>
                  <w:tcW w:w="1260"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现有源提标升级改造</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通川区全域属于四川省大气污染防治重点区域，执行大气污染物特别排放限值。</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新增源等量或倍量替代</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执行达州市城镇重点管控单元总体要求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新增源排放标准限值</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通川区全域属于四川省大气污染防治重点区域，执行大气污染物特别排放限值。其他同达州市城镇重点总体准入要求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污染物排放绩效水平准入要求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达钢：未纳入淘汰计划的烧结机和球团设备全部实施烟气脱硫，不得设置脱硫设施烟气旁路；所有钢铁烧结及球团应安装脱硝设施；烧结机头、机尾、高炉出铁场、转炉烟气除尘等设施实施升级改造，露天原料场实施封闭改造，原料转运设施建设封闭皮带通廊，转运站和落料点配套抽风收尘装置。-其他同城镇重点管控单元总体准入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其他污染物排放管控要求</w:t>
                  </w:r>
                </w:p>
              </w:tc>
              <w:tc>
                <w:tcPr>
                  <w:tcW w:w="604"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不涉及</w:t>
                  </w:r>
                </w:p>
              </w:tc>
              <w:tc>
                <w:tcPr>
                  <w:tcW w:w="346"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vMerge w:val="continue"/>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ZH51170220001</w:t>
                  </w:r>
                </w:p>
              </w:tc>
              <w:tc>
                <w:tcPr>
                  <w:tcW w:w="423" w:type="pct"/>
                  <w:vMerge w:val="continue"/>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通川区中心城区</w:t>
                  </w:r>
                </w:p>
              </w:tc>
              <w:tc>
                <w:tcPr>
                  <w:tcW w:w="1710" w:type="pct"/>
                  <w:vMerge w:val="continue"/>
                  <w:noWrap w:val="0"/>
                  <w:vAlign w:val="top"/>
                </w:tcPr>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空间布局约束：</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禁止开发建设活动的要求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-原则上禁止新建工业企业（新建工业企业原则上都应在工业园区内建设）。</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-禁止在居民区、学校、医疗和养老机构等周边新建有色金属冶炼、焦化、化工、铅蓄电池制造等行业企业，有序搬迁或依法关闭对土壤造成严重污染的现有企业。</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-禁止在长江流域河湖管理范围内倾倒、填埋、堆放、弃置、处理固体废物。</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限制开发建设活动的要求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-现有工业企业不得新增污染物排放。</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-允许企业以提升安全、生态环境保护水平为目的的改建，引导企业结合推进新型城镇化、产业结构调整和化解过剩产能等，退城入园，有序搬迁。</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-严格控制在城镇空间范围内新布设工业园区。若新布局工业园区，应符合达州市国土空间规划，并结合区域环境特点、三线成果、园区产业类别，充分论证选址的环境合理性。</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-严格控制新增建设用地规模，法定城乡规划除外</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不符合空间布局要求活动的退出要求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-现有工业企业适时进行有序退出。</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-按照相关规划和要求，清理整顿非法采砂、非法码头，全面清除不合规码头。</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-在全市范围深入开展集中整治“散乱污”工业企业，对不符合产业政策和规划布局的，一律责令停产、限期搬迁或关停；</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-有序搬迁或依法关闭对土壤造成严重污染的现有企业。</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-到2025年，城镇人口密集区现有不符合安全和卫生防护距离要求的危险化学品生产企业搬迁进入规范化工园区或关闭退出。</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-不断优化长江经济带化工行业空间布局，有效控制化工污染。推进化工企业搬迁入园，加强化工园区基础设施建设。</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其他空间布局约束要求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污染物排放管控：</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允许排放量要求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达州市2025年水污染物允许排放量COD33136.93t，氨氮2055.16t，TP252.53t；</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现有源提标升级改造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-到2025年，水环境敏感地区污水处理基本达到一级A排放标准。</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-燃气锅炉升级改造，达到特别排放限值。</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城市污水处理厂进水生化需氧量（BOD）浓度低于100mgL的，要围绕服务片区管网，系统排查进水浓度偏低的原因，科学确定水质提升目标，制定并实施“一厂一策”系统化整治方案，稳步提升污水收集处理设施效能。</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其他污染物排放管控要求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新增源等量或倍量替代:-上一年度水环境质量未完成目标的，新建排放水污染的建设项目按照总量管控要求进行倍量削减替代。</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上一年度空气质量年平均浓度不达标的城市，建设项目新增相关污染物按照总量管控要求进行倍量削减替代。加快城市天然气利用，增加天然气对煤炭和石油的替代，提高天然气民用、交通、发电、工业领域天然气消费比重。</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污染物排放绩效水平准入要求:严格落实建设工地管理要求，做好扬尘污染管控工作。</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从事机动车修理、印刷、服装干洗、研发等排放挥发性有机污染物的生产作业，应当按照有关技术规范进行综合治理。禁止露天和敞开式喷漆作业；包装印刷业必须使用符合环保要求的油墨；餐饮服务业油烟和废水必须经处理达到相应排放标准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建材行业原料破碎、生产、运输、装卸等各环节严格落实抑尘措施，有效控制粉尘无组织排放。-到2023年，城市污泥无害化处置率和资源化利用率进一步提高，力争达州市鲜家坝、周家坝城市生活污水处理厂污泥无害化处置率达92%、各县（市）城市达85%；城市生活污水资源化利用水平明显提升。-到2023年基本实现原生生活垃圾“零填埋”，鼓励跨区域统筹建设焚烧处理设施，在生活垃圾日清运量不足300吨的地区探索开展小型生活垃圾焚烧设施试点；生活垃圾回收利用率力争达30%以上。</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-实施密闭化收运，推广干湿分类收运。强化垃圾渗滤液、焚烧飞灰安全处置，城市生活垃圾无害化处理率保持100%。</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-到2023年，力争全省生活垃圾焚烧处理能力占比达60%以上，地级以上城市具备厨余垃圾集中处理能力；县城生活垃圾无害化处理率保持95%以上，乡镇及行政村生活垃圾收转运处置体系基本实现全覆盖；</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-2030年，渠江流域用水总量控制在31.61亿m3以内，渠江干流COD排放总量限制在4.89万ta内、NH3-N排放总量限制在0.54万ta内。全面推进节水型社会建设，加强河湖（库）水域岸线保护及管理，加强入河排污口规范化建设，加强工业污染、农业农村污染、船舶港口污染防治。对流域内饮用水源地进行有效保护及规范化建设。-到2025年，基本消除城市建成区生活污水直排口和收集处理率设施空白区，城市生活污水集中收集率力争达到70%以上；城市和县城水处理能力基本满足经济社会发展需要，县城污水处理达到95%以上；</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环境风险防控：</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联防联控要求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其他环境风险防控要求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企业环境风险防控要求:现有涉及五类重金属的企业，不得新增污染物排放，限期退城入园或关停。用地环境风险防控要求:工业企业退出用地，须经评估、修复满足相应用地功能后，方可改变用途。</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资源开发利用效率要求：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水资源利用总量要求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-到2025年，全国污水收集效能显著提升，县城及城市污水处理能力基本满足当地经济社会发展需要，水环境敏感地区污水处理基本实现提标升级；全国地级及以上缺水城市再生水利用率达到25%以上。</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地下水开采要求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以省市下发指标为准</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能源利用总量及效率要求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-严控使用燃煤等高污染燃料，禁止焚烧垃圾。</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-全面淘汰每小时10蒸吨以下的燃煤锅炉；在供气管网覆盖不到的其他地区，改用电、新能源或洁净煤。</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禁燃区要求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-禁燃区内禁止销售、燃用高污染燃料；禁止新建、改建、扩建燃用高污染燃料的设施和设备。</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-禁燃区内已建成的高污染燃料燃用设施由辖区人民政府制定限期改造计划，改用天然气、页岩气、液化石油气、电或其他清洁能源。</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其他资源利用效率要求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tc>
              <w:tc>
                <w:tcPr>
                  <w:tcW w:w="336" w:type="pct"/>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环境风险防控</w:t>
                  </w:r>
                </w:p>
              </w:tc>
              <w:tc>
                <w:tcPr>
                  <w:tcW w:w="1260"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严格管控类农用地管控要求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执行达州市城镇重点管控单元总体要求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安全利用类农用地管控要求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有一定危险性仓库用地远离市区，按有关规范选址和建设，留够防护距离，原则上安排在铁山山谷。其他同达州市城镇重点总体准入要求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污染地块管控要求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执行达州市城镇重点管控单元总体要求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园区环境风险防控要求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企业环境风险防控要求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执行达州市城镇重点管控单元总体要求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其他环境风险防控要求</w:t>
                  </w:r>
                </w:p>
              </w:tc>
              <w:tc>
                <w:tcPr>
                  <w:tcW w:w="604"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不涉及</w:t>
                  </w:r>
                </w:p>
              </w:tc>
              <w:tc>
                <w:tcPr>
                  <w:tcW w:w="346"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vMerge w:val="continue"/>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ZH51170220001</w:t>
                  </w:r>
                </w:p>
              </w:tc>
              <w:tc>
                <w:tcPr>
                  <w:tcW w:w="423" w:type="pct"/>
                  <w:vMerge w:val="continue"/>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通川区中心城区</w:t>
                  </w:r>
                </w:p>
              </w:tc>
              <w:tc>
                <w:tcPr>
                  <w:tcW w:w="1710" w:type="pct"/>
                  <w:vMerge w:val="continue"/>
                  <w:noWrap w:val="0"/>
                  <w:vAlign w:val="top"/>
                </w:tcPr>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空间布局约束：</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禁止开发建设活动的要求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-原则上禁止新建工业企业（新建工业企业原则上都应在工业园区内建设）。</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-禁止在居民区、学校、医疗和养老机构等周边新建有色金属冶炼、焦化、化工、铅蓄电池制造等行业企业，有序搬迁或依法关闭对土壤造成严重污染的现有企业。</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-禁止在长江流域河湖管理范围内倾倒、填埋、堆放、弃置、处理固体废物。</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限制开发建设活动的要求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-现有工业企业不得新增污染物排放。</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-允许企业以提升安全、生态环境保护水平为目的的改建，引导企业结合推进新型城镇化、产业结构调整和化解过剩产能等，退城入园，有序搬迁。</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-严格控制在城镇空间范围内新布设工业园区。若新布局工业园区，应符合达州市国土空间规划，并结合区域环境特点、三线成果、园区产业类别，充分论证选址的环境合理性。</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-严格控制新增建设用地规模，法定城乡规划除外</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不符合空间布局要求活动的退出要求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-现有工业企业适时进行有序退出。</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-按照相关规划和要求，清理整顿非法采砂、非法码头，全面清除不合规码头。</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-在全市范围深入开展集中整治“散乱污”工业企业，对不符合产业政策和规划布局的，一律责令停产、限期搬迁或关停；</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-有序搬迁或依法关闭对土壤造成严重污染的现有企业。</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-到2025年，城镇人口密集区现有不符合安全和卫生防护距离要求的危险化学品生产企业搬迁进入规范化工园区或关闭退出。</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-不断优化长江经济带化工行业空间布局，有效控制化工污染。推进化工企业搬迁入园，加强化工园区基础设施建设。</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其他空间布局约束要求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污染物排放管控：</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允许排放量要求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达州市2025年水污染物允许排放量COD33136.93t，氨氮2055.16t，TP252.53t；</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现有源提标升级改造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-到2025年，水环境敏感地区污水处理基本达到一级A排放标准。</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-燃气锅炉升级改造，达到特别排放限值。</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城市污水处理厂进水生化需氧量（BOD）浓度低于100mgL的，要围绕服务片区管网，系统排查进水浓度偏低的原因，科学确定水质提升目标，制定并实施“一厂一策”系统化整治方案，稳步提升污水收集处理设施效能。</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其他污染物排放管控要求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新增源等量或倍量替代:-上一年度水环境质量未完成目标的，新建排放水污染的建设项目按照总量管控要求进行倍量削减替代。</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上一年度空气质量年平均浓度不达标的城市，建设项目新增相关污染物按照总量管控要求进行倍量削减替代。加快城市天然气利用，增加天然气对煤炭和石油的替代，提高天然气民用、交通、发电、工业领域天然气消费比重。</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污染物排放绩效水平准入要求:严格落实建设工地管理要求，做好扬尘污染管控工作。</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从事机动车修理、印刷、服装干洗、研发等排放挥发性有机污染物的生产作业，应当按照有关技术规范进行综合治理。禁止露天和敞开式喷漆作业；包装印刷业必须使用符合环保要求的油墨；餐饮服务业油烟和废水必须经处理达到相应排放标准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建材行业原料破碎、生产、运输、装卸等各环节严格落实抑尘措施，有效控制粉尘无组织排放。-到2023年，城市污泥无害化处置率和资源化利用率进一步提高，力争达州市鲜家坝、周家坝城市生活污水处理厂污泥无害化处置率达92%、各县（市）城市达85%；城市生活污水资源化利用水平明显提升。-到2023年基本实现原生生活垃圾“零填埋”，鼓励跨区域统筹建设焚烧处理设施，在生活垃圾日清运量不足300吨的地区探索开展小型生活垃圾焚烧设施试点；生活垃圾回收利用率力争达30%以上。</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-实施密闭化收运，推广干湿分类收运。强化垃圾渗滤液、焚烧飞灰安全处置，城市生活垃圾无害化处理率保持100%。</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-到2023年，力争全省生活垃圾焚烧处理能力占比达60%以上，地级以上城市具备厨余垃圾集中处理能力；县城生活垃圾无害化处理率保持95%以上，乡镇及行政村生活垃圾收转运处置体系基本实现全覆盖；</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-2030年，渠江流域用水总量控制在31.61亿m3以内，渠江干流COD排放总量限制在4.89万ta内、NH3-N排放总量限制在0.54万ta内。全面推进节水型社会建设，加强河湖（库）水域岸线保护及管理，加强入河排污口规范化建设，加强工业污染、农业农村污染、船舶港口污染防治。对流域内饮用水源地进行有效保护及规范化建设。-到2025年，基本消除城市建成区生活污水直排口和收集处理率设施空白区，城市生活污水集中收集率力争达到70%以上；城市和县城水处理能力基本满足经济社会发展需要，县城污水处理达到95%以上；</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环境风险防控：</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联防联控要求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其他环境风险防控要求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企业环境风险防控要求:现有涉及五类重金属的企业，不得新增污染物排放，限期退城入园或关停。用地环境风险防控要求:工业企业退出用地，须经评估、修复满足相应用地功能后，方可改变用途。</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资源开发利用效率要求：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水资源利用总量要求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-到2025年，全国污水收集效能显著提升，县城及城市污水处理能力基本满足当地经济社会发展需要，水环境敏感地区污水处理基本实现提标升级；全国地级及以上缺水城市再生水利用率达到25%以上。</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地下水开采要求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以省市下发指标为准</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能源利用总量及效率要求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-严控使用燃煤等高污染燃料，禁止焚烧垃圾。</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-全面淘汰每小时10蒸吨以下的燃煤锅炉；在供气管网覆盖不到的其他地区，改用电、新能源或洁净煤。</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禁燃区要求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-禁燃区内禁止销售、燃用高污染燃料；禁止新建、改建、扩建燃用高污染燃料的设施和设备。</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-禁燃区内已建成的高污染燃料燃用设施由辖区人民政府制定限期改造计划，改用天然气、页岩气、液化石油气、电或其他清洁能源。</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其他资源利用效率要求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tc>
              <w:tc>
                <w:tcPr>
                  <w:tcW w:w="336" w:type="pct"/>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资源开发效率要求</w:t>
                  </w:r>
                </w:p>
              </w:tc>
              <w:tc>
                <w:tcPr>
                  <w:tcW w:w="1260"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水资源利用效率要求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执行达州市城镇重点管控单元总体要求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地下水开采要求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执行达州市城镇重点管控单元总体要求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能源利用效率要求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执行达州市城镇重点管控单元总体要求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其他资源利用效率要求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禁燃区要求：同达州市城镇重点总体准入要求</w:t>
                  </w:r>
                </w:p>
              </w:tc>
              <w:tc>
                <w:tcPr>
                  <w:tcW w:w="604"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本项目属于城市主干道建设项目，施工期做好各类扬尘、降噪措施后对周边环境影响有限</w:t>
                  </w:r>
                </w:p>
              </w:tc>
              <w:tc>
                <w:tcPr>
                  <w:tcW w:w="346"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vMerge w:val="restart"/>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YS5117022220001</w:t>
                  </w:r>
                </w:p>
              </w:tc>
              <w:tc>
                <w:tcPr>
                  <w:tcW w:w="423" w:type="pct"/>
                  <w:vMerge w:val="restart"/>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州河通川区车家河控制单元</w:t>
                  </w:r>
                </w:p>
              </w:tc>
              <w:tc>
                <w:tcPr>
                  <w:tcW w:w="1710" w:type="pct"/>
                  <w:vMerge w:val="restart"/>
                  <w:noWrap w:val="0"/>
                  <w:vAlign w:val="top"/>
                </w:tcPr>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空间布局约束：</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禁止开发建设活动的要求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限制开发建设活动的要求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不符合空间布局要求活动的退出要求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其他空间布局约束要求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污染物排放管控：</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允许排放量要求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现有源提标升级改造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其他污染物排放管控要求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环境风险防控：</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联防联控要求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其他环境风险防控要求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资源开发利用效率要求：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水资源利用总量要求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地下水开采要求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能源利用总量及效率要求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禁燃区要求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其他资源利用效率要求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tc>
              <w:tc>
                <w:tcPr>
                  <w:tcW w:w="336" w:type="pct"/>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空间布局约束</w:t>
                  </w:r>
                </w:p>
              </w:tc>
              <w:tc>
                <w:tcPr>
                  <w:tcW w:w="1260"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禁止开发建设活动的要求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限制开发建设活动的要求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允许开发建设活动的要求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不符合空间布局要求活动的退出要求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其他空间布局约束要求</w:t>
                  </w:r>
                </w:p>
              </w:tc>
              <w:tc>
                <w:tcPr>
                  <w:tcW w:w="604"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不涉及</w:t>
                  </w:r>
                </w:p>
              </w:tc>
              <w:tc>
                <w:tcPr>
                  <w:tcW w:w="346"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vMerge w:val="continue"/>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YS5117022220001</w:t>
                  </w:r>
                </w:p>
              </w:tc>
              <w:tc>
                <w:tcPr>
                  <w:tcW w:w="423" w:type="pct"/>
                  <w:vMerge w:val="continue"/>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州河通川区车家河控制单元</w:t>
                  </w:r>
                </w:p>
              </w:tc>
              <w:tc>
                <w:tcPr>
                  <w:tcW w:w="1710" w:type="pct"/>
                  <w:vMerge w:val="continue"/>
                  <w:noWrap w:val="0"/>
                  <w:vAlign w:val="top"/>
                </w:tcPr>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空间布局约束：</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禁止开发建设活动的要求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限制开发建设活动的要求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不符合空间布局要求活动的退出要求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其他空间布局约束要求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污染物排放管控：</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允许排放量要求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现有源提标升级改造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其他污染物排放管控要求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环境风险防控：</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联防联控要求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其他环境风险防控要求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资源开发利用效率要求：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水资源利用总量要求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地下水开采要求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能源利用总量及效率要求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禁燃区要求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其他资源利用效率要求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tc>
              <w:tc>
                <w:tcPr>
                  <w:tcW w:w="336" w:type="pct"/>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污染物排放管控</w:t>
                  </w:r>
                </w:p>
              </w:tc>
              <w:tc>
                <w:tcPr>
                  <w:tcW w:w="1260"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城镇污水污染控制措施要求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强化生活污水治理，以尾水排放去向确定排放标准，因地制宜选取治理技术及方法，加快污水处理设施建设运行，城污水城镇生活污水处理厂出水达到《城镇污水处理厂污染物排放标准》（GB18925）要求；鼓励农村生活污水实行资源化利用，排放的尾水达到《农村生活污水处理设施水污染物排放标准》要求。强化生活垃圾收集处理，推广生活垃圾分类收集处理，从源头减少处理处置量。</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工业废水污染控制措施要求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农业面源水污染控制措施要求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船舶港口水污染控制措施要求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饮用水水源和其它特殊水体保护要求</w:t>
                  </w:r>
                </w:p>
              </w:tc>
              <w:tc>
                <w:tcPr>
                  <w:tcW w:w="604"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不涉及</w:t>
                  </w:r>
                </w:p>
              </w:tc>
              <w:tc>
                <w:tcPr>
                  <w:tcW w:w="346"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vMerge w:val="continue"/>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YS5117022220001</w:t>
                  </w:r>
                </w:p>
              </w:tc>
              <w:tc>
                <w:tcPr>
                  <w:tcW w:w="423" w:type="pct"/>
                  <w:vMerge w:val="continue"/>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州河通川区车家河控制单元</w:t>
                  </w:r>
                </w:p>
              </w:tc>
              <w:tc>
                <w:tcPr>
                  <w:tcW w:w="1710" w:type="pct"/>
                  <w:vMerge w:val="continue"/>
                  <w:noWrap w:val="0"/>
                  <w:vAlign w:val="top"/>
                </w:tcPr>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空间布局约束：</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禁止开发建设活动的要求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限制开发建设活动的要求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不符合空间布局要求活动的退出要求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其他空间布局约束要求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污染物排放管控：</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允许排放量要求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现有源提标升级改造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其他污染物排放管控要求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环境风险防控：</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联防联控要求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其他环境风险防控要求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资源开发利用效率要求：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水资源利用总量要求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地下水开采要求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能源利用总量及效率要求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禁燃区要求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其他资源利用效率要求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tc>
              <w:tc>
                <w:tcPr>
                  <w:tcW w:w="336" w:type="pct"/>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环境风险防控</w:t>
                  </w:r>
                </w:p>
              </w:tc>
              <w:tc>
                <w:tcPr>
                  <w:tcW w:w="1260"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加强环境风险防范，坚持预防为主，构建以企业为主体的环境风险防控体系，优化产业布局，加强协调联动，提升应急救援能力；严格环境风险源头防控，加强涉重金属、危险废物、危化品等重点企业环境风险评估；强化工业、企业集中分布区环境风险管控，建设相应的防护工程</w:t>
                  </w:r>
                </w:p>
              </w:tc>
              <w:tc>
                <w:tcPr>
                  <w:tcW w:w="604"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不涉及</w:t>
                  </w:r>
                </w:p>
              </w:tc>
              <w:tc>
                <w:tcPr>
                  <w:tcW w:w="346"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vMerge w:val="continue"/>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YS5117022220001</w:t>
                  </w:r>
                </w:p>
              </w:tc>
              <w:tc>
                <w:tcPr>
                  <w:tcW w:w="423" w:type="pct"/>
                  <w:vMerge w:val="continue"/>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州河通川区车家河控制单元</w:t>
                  </w:r>
                </w:p>
              </w:tc>
              <w:tc>
                <w:tcPr>
                  <w:tcW w:w="1710" w:type="pct"/>
                  <w:vMerge w:val="continue"/>
                  <w:noWrap w:val="0"/>
                  <w:vAlign w:val="top"/>
                </w:tcPr>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空间布局约束：</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禁止开发建设活动的要求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限制开发建设活动的要求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不符合空间布局要求活动的退出要求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其他空间布局约束要求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污染物排放管控：</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允许排放量要求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现有源提标升级改造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其他污染物排放管控要求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环境风险防控：</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联防联控要求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其他环境风险防控要求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资源开发利用效率要求：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水资源利用总量要求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地下水开采要求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能源利用总量及效率要求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禁燃区要求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其他资源利用效率要求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tc>
              <w:tc>
                <w:tcPr>
                  <w:tcW w:w="336" w:type="pct"/>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资源开发效率要求</w:t>
                  </w:r>
                </w:p>
              </w:tc>
              <w:tc>
                <w:tcPr>
                  <w:tcW w:w="1260"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w:t>
                  </w:r>
                </w:p>
              </w:tc>
              <w:tc>
                <w:tcPr>
                  <w:tcW w:w="604"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w:t>
                  </w:r>
                </w:p>
              </w:tc>
              <w:tc>
                <w:tcPr>
                  <w:tcW w:w="346"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vMerge w:val="restart"/>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YS5117022340005</w:t>
                  </w:r>
                </w:p>
              </w:tc>
              <w:tc>
                <w:tcPr>
                  <w:tcW w:w="423" w:type="pct"/>
                  <w:vMerge w:val="restart"/>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通川区中心城区</w:t>
                  </w:r>
                </w:p>
              </w:tc>
              <w:tc>
                <w:tcPr>
                  <w:tcW w:w="1710" w:type="pct"/>
                  <w:vMerge w:val="continue"/>
                  <w:noWrap w:val="0"/>
                  <w:vAlign w:val="top"/>
                </w:tcPr>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空间布局约束：</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禁止开发建设活动的要求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限制开发建设活动的要求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不符合空间布局要求活动的退出要求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其他空间布局约束要求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污染物排放管控：</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允许排放量要求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现有源提标升级改造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其他污染物排放管控要求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环境风险防控：</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联防联控要求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其他环境风险防控要求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资源开发利用效率要求：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水资源利用总量要求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地下水开采要求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能源利用总量及效率要求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禁燃区要求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其他资源利用效率要求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tc>
              <w:tc>
                <w:tcPr>
                  <w:tcW w:w="336" w:type="pct"/>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空间布局约束</w:t>
                  </w:r>
                </w:p>
              </w:tc>
              <w:tc>
                <w:tcPr>
                  <w:tcW w:w="1260"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禁止开发建设活动的要求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限制开发建设活动的要求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允许开发建设活动的要求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不符合空间布局要求活动的退出要求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其他空间布局约束要求</w:t>
                  </w:r>
                </w:p>
              </w:tc>
              <w:tc>
                <w:tcPr>
                  <w:tcW w:w="604"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不涉及</w:t>
                  </w:r>
                </w:p>
              </w:tc>
              <w:tc>
                <w:tcPr>
                  <w:tcW w:w="346"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vMerge w:val="continue"/>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YS5117022340005</w:t>
                  </w:r>
                </w:p>
              </w:tc>
              <w:tc>
                <w:tcPr>
                  <w:tcW w:w="423" w:type="pct"/>
                  <w:vMerge w:val="continue"/>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通川区中心城区</w:t>
                  </w:r>
                </w:p>
              </w:tc>
              <w:tc>
                <w:tcPr>
                  <w:tcW w:w="1710" w:type="pct"/>
                  <w:vMerge w:val="continue"/>
                  <w:noWrap w:val="0"/>
                  <w:vAlign w:val="top"/>
                </w:tcPr>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空间布局约束：</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禁止开发建设活动的要求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限制开发建设活动的要求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不符合空间布局要求活动的退出要求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其他空间布局约束要求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污染物排放管控：</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允许排放量要求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现有源提标升级改造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其他污染物排放管控要求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环境风险防控：</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联防联控要求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其他环境风险防控要求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资源开发利用效率要求：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水资源利用总量要求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地下水开采要求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能源利用总量及效率要求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禁燃区要求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其他资源利用效率要求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tc>
              <w:tc>
                <w:tcPr>
                  <w:tcW w:w="336" w:type="pct"/>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污染物排放管控</w:t>
                  </w:r>
                </w:p>
              </w:tc>
              <w:tc>
                <w:tcPr>
                  <w:tcW w:w="1260"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大气环境质量执行标准</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《环境空气质量标准》（GB3095-2012）：二级</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区域大气污染物削减/替代要求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新增大气污染物排放的建设项目实施总量削减替代。</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燃煤和其他能源大气污染控制要求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工业废气污染控制要求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机动车船大气污染控制要求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扬尘污染控制要求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农业生产经营活动大气污染控制要求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重点行业企业专项治理要求</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其他大气污染物排放管控要求</w:t>
                  </w:r>
                </w:p>
              </w:tc>
              <w:tc>
                <w:tcPr>
                  <w:tcW w:w="604"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本项目道路车辆应按照有关燃油使用要求使用符合环保要求的燃油，确保车辆燃油尾气满足排放</w:t>
                  </w:r>
                </w:p>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要求</w:t>
                  </w:r>
                </w:p>
              </w:tc>
              <w:tc>
                <w:tcPr>
                  <w:tcW w:w="346"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vMerge w:val="continue"/>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YS5117022340005</w:t>
                  </w:r>
                </w:p>
              </w:tc>
              <w:tc>
                <w:tcPr>
                  <w:tcW w:w="423" w:type="pct"/>
                  <w:vMerge w:val="continue"/>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通川区中心城区</w:t>
                  </w:r>
                </w:p>
              </w:tc>
              <w:tc>
                <w:tcPr>
                  <w:tcW w:w="1710" w:type="pct"/>
                  <w:vMerge w:val="continue"/>
                  <w:noWrap w:val="0"/>
                  <w:vAlign w:val="top"/>
                </w:tcPr>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空间布局约束：</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禁止开发建设活动的要求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限制开发建设活动的要求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不符合空间布局要求活动的退出要求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其他空间布局约束要求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污染物排放管控：</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允许排放量要求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现有源提标升级改造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其他污染物排放管控要求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环境风险防控：</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联防联控要求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其他环境风险防控要求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资源开发利用效率要求：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水资源利用总量要求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地下水开采要求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能源利用总量及效率要求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禁燃区要求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其他资源利用效率要求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tc>
              <w:tc>
                <w:tcPr>
                  <w:tcW w:w="336" w:type="pct"/>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环境风险防控</w:t>
                  </w:r>
                </w:p>
              </w:tc>
              <w:tc>
                <w:tcPr>
                  <w:tcW w:w="1260"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现有涉及五类重金属的企业，不得新增污染物排放，限期退城入园或关停；工业企业退出用地，须经评估、修复满足相应用地功能后，方可改变用途</w:t>
                  </w:r>
                </w:p>
              </w:tc>
              <w:tc>
                <w:tcPr>
                  <w:tcW w:w="604"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不涉及</w:t>
                  </w:r>
                </w:p>
              </w:tc>
              <w:tc>
                <w:tcPr>
                  <w:tcW w:w="346"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vMerge w:val="continue"/>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YS5117022340005</w:t>
                  </w:r>
                </w:p>
              </w:tc>
              <w:tc>
                <w:tcPr>
                  <w:tcW w:w="423" w:type="pct"/>
                  <w:vMerge w:val="continue"/>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通川区中心城区</w:t>
                  </w:r>
                </w:p>
              </w:tc>
              <w:tc>
                <w:tcPr>
                  <w:tcW w:w="1710" w:type="pct"/>
                  <w:vMerge w:val="continue"/>
                  <w:noWrap w:val="0"/>
                  <w:vAlign w:val="top"/>
                </w:tcPr>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空间布局约束：</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禁止开发建设活动的要求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限制开发建设活动的要求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不符合空间布局要求活动的退出要求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其他空间布局约束要求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污染物排放管控：</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允许排放量要求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现有源提标升级改造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其他污染物排放管控要求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环境风险防控：</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联防联控要求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其他环境风险防控要求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资源开发利用效率要求：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水资源利用总量要求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地下水开采要求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能源利用总量及效率要求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禁燃区要求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其他资源利用效率要求</w:t>
                  </w:r>
                </w:p>
                <w:p>
                  <w:pPr>
                    <w:pStyle w:val="77"/>
                    <w:keepNext w:val="0"/>
                    <w:keepLines w:val="0"/>
                    <w:widowControl w:val="0"/>
                    <w:suppressLineNumbers w:val="0"/>
                    <w:spacing w:before="0" w:beforeAutospacing="0" w:after="0" w:afterAutospacing="0" w:line="240" w:lineRule="auto"/>
                    <w:ind w:left="0" w:right="0" w:firstLine="0" w:firstLineChars="0"/>
                    <w:jc w:val="both"/>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Style w:val="26"/>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暂无</w:t>
                  </w:r>
                </w:p>
              </w:tc>
              <w:tc>
                <w:tcPr>
                  <w:tcW w:w="336" w:type="pct"/>
                  <w:noWrap w:val="0"/>
                  <w:vAlign w:val="center"/>
                </w:tcPr>
                <w:p>
                  <w:pPr>
                    <w:pStyle w:val="77"/>
                    <w:keepNext w:val="0"/>
                    <w:keepLines w:val="0"/>
                    <w:widowControl/>
                    <w:suppressLineNumbers w:val="0"/>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资源开发效率要求</w:t>
                  </w:r>
                </w:p>
              </w:tc>
              <w:tc>
                <w:tcPr>
                  <w:tcW w:w="1260"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w:t>
                  </w:r>
                </w:p>
              </w:tc>
              <w:tc>
                <w:tcPr>
                  <w:tcW w:w="604"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不涉及</w:t>
                  </w:r>
                </w:p>
              </w:tc>
              <w:tc>
                <w:tcPr>
                  <w:tcW w:w="346" w:type="pct"/>
                  <w:noWrap w:val="0"/>
                  <w:vAlign w:val="center"/>
                </w:tcPr>
                <w:p>
                  <w:pPr>
                    <w:pStyle w:val="77"/>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6"/>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Style w:val="26"/>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w:t>
                  </w:r>
                </w:p>
              </w:tc>
            </w:tr>
          </w:tbl>
          <w:p>
            <w:pPr>
              <w:pStyle w:val="50"/>
              <w:keepNext w:val="0"/>
              <w:keepLines w:val="0"/>
              <w:suppressLineNumbers w:val="0"/>
              <w:spacing w:before="0" w:beforeAutospacing="0" w:after="0" w:afterAutospacing="0"/>
              <w:ind w:left="0" w:right="0" w:firstLine="480" w:firstLineChars="200"/>
              <w:rPr>
                <w:rFonts w:ascii="Times New Roman" w:hAnsi="Times New Roman"/>
                <w:b/>
                <w:bCs/>
                <w:snapToGrid w:val="0"/>
                <w:color w:val="000000" w:themeColor="text1"/>
                <w:sz w:val="30"/>
                <w:szCs w:val="30"/>
                <w:highlight w:val="none"/>
                <w14:textFill>
                  <w14:solidFill>
                    <w14:schemeClr w14:val="tx1"/>
                  </w14:solidFill>
                </w14:textFill>
              </w:rPr>
            </w:pPr>
            <w:r>
              <w:rPr>
                <w:rFonts w:hint="eastAsia" w:ascii="Times New Roman" w:cs="Times New Roman"/>
                <w:color w:val="000000" w:themeColor="text1"/>
                <w:highlight w:val="none"/>
                <w14:textFill>
                  <w14:solidFill>
                    <w14:schemeClr w14:val="tx1"/>
                  </w14:solidFill>
                </w14:textFill>
              </w:rPr>
              <w:t>综上，本项目在生态保护红线、空间布局约束、污染物排放管控、环境风险防控、资源开发效率等方面均符合项目所在区域“三线一单”要求。</w:t>
            </w:r>
          </w:p>
        </w:tc>
      </w:tr>
    </w:tbl>
    <w:p>
      <w:pPr>
        <w:pStyle w:val="19"/>
        <w:jc w:val="center"/>
        <w:outlineLvl w:val="0"/>
        <w:rPr>
          <w:rFonts w:ascii="Times New Roman" w:hAnsi="Times New Roman"/>
          <w:b/>
          <w:bCs/>
          <w:snapToGrid w:val="0"/>
          <w:color w:val="000000" w:themeColor="text1"/>
          <w:sz w:val="30"/>
          <w:szCs w:val="30"/>
          <w:highlight w:val="none"/>
          <w14:textFill>
            <w14:solidFill>
              <w14:schemeClr w14:val="tx1"/>
            </w14:solidFill>
          </w14:textFill>
        </w:rPr>
        <w:sectPr>
          <w:pgSz w:w="16838" w:h="11906" w:orient="landscape"/>
          <w:pgMar w:top="1800" w:right="1440" w:bottom="1800" w:left="1440" w:header="851" w:footer="1077" w:gutter="0"/>
          <w:cols w:space="425" w:num="1"/>
          <w:docGrid w:linePitch="312" w:charSpace="0"/>
        </w:sectPr>
      </w:pPr>
    </w:p>
    <w:p>
      <w:pPr>
        <w:pStyle w:val="19"/>
        <w:jc w:val="center"/>
        <w:outlineLvl w:val="0"/>
        <w:rPr>
          <w:rFonts w:hint="default" w:ascii="Times New Roman" w:hAnsi="Times New Roman" w:eastAsia="宋体"/>
          <w:b/>
          <w:bCs/>
          <w:snapToGrid w:val="0"/>
          <w:color w:val="000000" w:themeColor="text1"/>
          <w:sz w:val="30"/>
          <w:szCs w:val="30"/>
          <w:highlight w:val="none"/>
          <w:lang w:val="en-US" w:eastAsia="zh-CN"/>
          <w14:textFill>
            <w14:solidFill>
              <w14:schemeClr w14:val="tx1"/>
            </w14:solidFill>
          </w14:textFill>
        </w:rPr>
      </w:pPr>
      <w:r>
        <w:rPr>
          <w:rFonts w:ascii="Times New Roman" w:hAnsi="Times New Roman"/>
          <w:b/>
          <w:bCs/>
          <w:snapToGrid w:val="0"/>
          <w:color w:val="000000" w:themeColor="text1"/>
          <w:sz w:val="30"/>
          <w:szCs w:val="30"/>
          <w:highlight w:val="none"/>
          <w14:textFill>
            <w14:solidFill>
              <w14:schemeClr w14:val="tx1"/>
            </w14:solidFill>
          </w14:textFill>
        </w:rPr>
        <w:t>二、</w:t>
      </w:r>
      <w:r>
        <w:rPr>
          <w:rFonts w:hint="eastAsia" w:ascii="Times New Roman" w:hAnsi="Times New Roman"/>
          <w:b/>
          <w:bCs/>
          <w:snapToGrid w:val="0"/>
          <w:color w:val="000000" w:themeColor="text1"/>
          <w:sz w:val="30"/>
          <w:szCs w:val="30"/>
          <w:highlight w:val="none"/>
          <w:lang w:val="en-US" w:eastAsia="zh-CN"/>
          <w14:textFill>
            <w14:solidFill>
              <w14:schemeClr w14:val="tx1"/>
            </w14:solidFill>
          </w14:textFill>
        </w:rPr>
        <w:t>建设项目工程分析</w:t>
      </w:r>
    </w:p>
    <w:tbl>
      <w:tblPr>
        <w:tblStyle w:val="24"/>
        <w:tblW w:w="919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1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503" w:type="dxa"/>
            <w:vAlign w:val="center"/>
          </w:tcPr>
          <w:p>
            <w:pPr>
              <w:keepNext w:val="0"/>
              <w:keepLines w:val="0"/>
              <w:suppressLineNumbers w:val="0"/>
              <w:adjustRightInd w:val="0"/>
              <w:snapToGrid w:val="0"/>
              <w:spacing w:before="0" w:beforeAutospacing="0" w:after="0" w:afterAutospacing="0"/>
              <w:ind w:left="0" w:right="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地理位置</w:t>
            </w:r>
          </w:p>
        </w:tc>
        <w:tc>
          <w:tcPr>
            <w:tcW w:w="8689" w:type="dxa"/>
            <w:vAlign w:val="center"/>
          </w:tcPr>
          <w:p>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000000" w:themeColor="text1"/>
                <w:sz w:val="24"/>
                <w:highlight w:val="none"/>
                <w:lang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本项目位于达州市通川区马踏洞新区，路线起自达州市通川区复兴镇后河村，终至达州市通川区复兴镇岩峰洞村</w:t>
            </w:r>
            <w:r>
              <w:rPr>
                <w:rFonts w:hint="eastAsia"/>
                <w:color w:val="000000" w:themeColor="text1"/>
                <w:sz w:val="24"/>
                <w:highlight w:val="none"/>
                <w:lang w:eastAsia="zh-CN"/>
                <w14:textFill>
                  <w14:solidFill>
                    <w14:schemeClr w14:val="tx1"/>
                  </w14:solidFill>
                </w14:textFill>
              </w:rPr>
              <w:t>。全线</w:t>
            </w:r>
            <w:r>
              <w:rPr>
                <w:rFonts w:hint="eastAsia"/>
                <w:color w:val="000000" w:themeColor="text1"/>
                <w:sz w:val="24"/>
                <w:highlight w:val="none"/>
                <w:lang w:val="en-US" w:eastAsia="zh-CN"/>
                <w14:textFill>
                  <w14:solidFill>
                    <w14:schemeClr w14:val="tx1"/>
                  </w14:solidFill>
                </w14:textFill>
              </w:rPr>
              <w:t>主要控制点有6</w:t>
            </w:r>
            <w:r>
              <w:rPr>
                <w:rFonts w:hint="eastAsia"/>
                <w:color w:val="000000" w:themeColor="text1"/>
                <w:sz w:val="24"/>
                <w:highlight w:val="none"/>
                <w:lang w:eastAsia="zh-CN"/>
                <w14:textFill>
                  <w14:solidFill>
                    <w14:schemeClr w14:val="tx1"/>
                  </w14:solidFill>
                </w14:textFill>
              </w:rPr>
              <w:t>处，起点与金南大道西延线三期（</w:t>
            </w:r>
            <w:r>
              <w:rPr>
                <w:rFonts w:hint="eastAsia"/>
                <w:color w:val="000000" w:themeColor="text1"/>
                <w:sz w:val="24"/>
                <w:highlight w:val="none"/>
                <w:lang w:val="en-US" w:eastAsia="zh-CN"/>
                <w14:textFill>
                  <w14:solidFill>
                    <w14:schemeClr w14:val="tx1"/>
                  </w14:solidFill>
                </w14:textFill>
              </w:rPr>
              <w:t>已建</w:t>
            </w:r>
            <w:r>
              <w:rPr>
                <w:rFonts w:hint="eastAsia"/>
                <w:color w:val="000000" w:themeColor="text1"/>
                <w:sz w:val="24"/>
                <w:highlight w:val="none"/>
                <w:lang w:eastAsia="zh-CN"/>
                <w14:textFill>
                  <w14:solidFill>
                    <w14:schemeClr w14:val="tx1"/>
                  </w14:solidFill>
                </w14:textFill>
              </w:rPr>
              <w:t>，K0+</w:t>
            </w:r>
            <w:r>
              <w:rPr>
                <w:rFonts w:hint="eastAsia"/>
                <w:color w:val="000000" w:themeColor="text1"/>
                <w:sz w:val="24"/>
                <w:highlight w:val="none"/>
                <w:lang w:val="en-US" w:eastAsia="zh-CN"/>
                <w14:textFill>
                  <w14:solidFill>
                    <w14:schemeClr w14:val="tx1"/>
                  </w14:solidFill>
                </w14:textFill>
              </w:rPr>
              <w:t>000）</w:t>
            </w:r>
            <w:r>
              <w:rPr>
                <w:rFonts w:hint="eastAsia"/>
                <w:color w:val="000000" w:themeColor="text1"/>
                <w:sz w:val="24"/>
                <w:highlight w:val="none"/>
                <w:lang w:eastAsia="zh-CN"/>
                <w14:textFill>
                  <w14:solidFill>
                    <w14:schemeClr w14:val="tx1"/>
                  </w14:solidFill>
                </w14:textFill>
              </w:rPr>
              <w:t>相接，终点与绕城高速西段（</w:t>
            </w:r>
            <w:r>
              <w:rPr>
                <w:rFonts w:hint="eastAsia"/>
                <w:color w:val="000000" w:themeColor="text1"/>
                <w:sz w:val="24"/>
                <w:highlight w:val="none"/>
                <w:lang w:val="en-US" w:eastAsia="zh-CN"/>
                <w14:textFill>
                  <w14:solidFill>
                    <w14:schemeClr w14:val="tx1"/>
                  </w14:solidFill>
                </w14:textFill>
              </w:rPr>
              <w:t>在建</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K2+264.036）</w:t>
            </w:r>
            <w:r>
              <w:rPr>
                <w:rFonts w:hint="eastAsia"/>
                <w:color w:val="000000" w:themeColor="text1"/>
                <w:sz w:val="24"/>
                <w:highlight w:val="none"/>
                <w:lang w:eastAsia="zh-CN"/>
                <w14:textFill>
                  <w14:solidFill>
                    <w14:schemeClr w14:val="tx1"/>
                  </w14:solidFill>
                </w14:textFill>
              </w:rPr>
              <w:t>连接线相接，</w:t>
            </w:r>
            <w:r>
              <w:rPr>
                <w:rFonts w:hint="eastAsia"/>
                <w:color w:val="000000" w:themeColor="text1"/>
                <w:sz w:val="24"/>
                <w:highlight w:val="none"/>
                <w:lang w:val="en-US" w:eastAsia="zh-CN"/>
                <w14:textFill>
                  <w14:solidFill>
                    <w14:schemeClr w14:val="tx1"/>
                  </w14:solidFill>
                </w14:textFill>
              </w:rPr>
              <w:t>底平层先后与</w:t>
            </w:r>
            <w:r>
              <w:rPr>
                <w:rFonts w:hint="eastAsia"/>
                <w:color w:val="000000" w:themeColor="text1"/>
                <w:sz w:val="24"/>
                <w:highlight w:val="none"/>
                <w:lang w:eastAsia="zh-CN"/>
                <w14:textFill>
                  <w14:solidFill>
                    <w14:schemeClr w14:val="tx1"/>
                  </w14:solidFill>
                </w14:textFill>
              </w:rPr>
              <w:t>环城路（已建，K0+476.488）、好一新市场（已建，K0+609.6）、纵一路（规划，K1+065.694）</w:t>
            </w:r>
            <w:r>
              <w:rPr>
                <w:rFonts w:hint="eastAsia"/>
                <w:color w:val="000000" w:themeColor="text1"/>
                <w:sz w:val="24"/>
                <w:highlight w:val="none"/>
                <w:lang w:val="en-US" w:eastAsia="zh-CN"/>
                <w14:textFill>
                  <w14:solidFill>
                    <w14:schemeClr w14:val="tx1"/>
                  </w14:solidFill>
                </w14:textFill>
              </w:rPr>
              <w:t>和</w:t>
            </w:r>
            <w:r>
              <w:rPr>
                <w:rFonts w:hint="eastAsia"/>
                <w:color w:val="000000" w:themeColor="text1"/>
                <w:sz w:val="24"/>
                <w:highlight w:val="none"/>
                <w:lang w:eastAsia="zh-CN"/>
                <w14:textFill>
                  <w14:solidFill>
                    <w14:schemeClr w14:val="tx1"/>
                  </w14:solidFill>
                </w14:textFill>
              </w:rPr>
              <w:t>纵二路（规划，K1+339.437）</w:t>
            </w:r>
            <w:r>
              <w:rPr>
                <w:rFonts w:hint="eastAsia"/>
                <w:color w:val="000000" w:themeColor="text1"/>
                <w:sz w:val="24"/>
                <w:highlight w:val="none"/>
                <w:lang w:val="en-US" w:eastAsia="zh-CN"/>
                <w14:textFill>
                  <w14:solidFill>
                    <w14:schemeClr w14:val="tx1"/>
                  </w14:solidFill>
                </w14:textFill>
              </w:rPr>
              <w:t>平交</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地理位置见附图1。</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经纬度如下：</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14:textFill>
                  <w14:solidFill>
                    <w14:schemeClr w14:val="tx1"/>
                  </w14:solidFill>
                </w14:textFill>
              </w:rPr>
              <w:t>起点：经度107°25′11.893′′，纬度31°12′6.183″</w:t>
            </w:r>
            <w:r>
              <w:rPr>
                <w:rFonts w:hint="eastAsia"/>
                <w:color w:val="000000" w:themeColor="text1"/>
                <w:sz w:val="24"/>
                <w:highlight w:val="none"/>
                <w:lang w:eastAsia="zh-CN"/>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14:textFill>
                  <w14:solidFill>
                    <w14:schemeClr w14:val="tx1"/>
                  </w14:solidFill>
                </w14:textFill>
              </w:rPr>
              <w:t>终点：经度107°23′55.746′′，纬度31°12′18.677″</w:t>
            </w:r>
            <w:r>
              <w:rPr>
                <w:rFonts w:hint="eastAsia"/>
                <w:color w:val="000000" w:themeColor="text1"/>
                <w:sz w:val="24"/>
                <w:highlight w:val="none"/>
                <w:lang w:eastAsia="zh-CN"/>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jc w:val="center"/>
              <w:rPr>
                <w:rFonts w:hint="eastAsia" w:eastAsia="宋体"/>
                <w:color w:val="000000" w:themeColor="text1"/>
                <w:sz w:val="24"/>
                <w:highlight w:val="none"/>
                <w:lang w:eastAsia="zh-CN"/>
                <w14:textFill>
                  <w14:solidFill>
                    <w14:schemeClr w14:val="tx1"/>
                  </w14:solidFill>
                </w14:textFill>
              </w:rPr>
            </w:pPr>
            <w:r>
              <w:rPr>
                <w:rFonts w:hint="eastAsia" w:eastAsia="宋体"/>
                <w:color w:val="000000" w:themeColor="text1"/>
                <w:sz w:val="24"/>
                <w:highlight w:val="none"/>
                <w:lang w:eastAsia="zh-CN"/>
                <w14:textFill>
                  <w14:solidFill>
                    <w14:schemeClr w14:val="tx1"/>
                  </w14:solidFill>
                </w14:textFill>
              </w:rPr>
              <w:drawing>
                <wp:inline distT="0" distB="0" distL="114300" distR="114300">
                  <wp:extent cx="4269105" cy="3545840"/>
                  <wp:effectExtent l="0" t="0" r="13335" b="5080"/>
                  <wp:docPr id="37" name="图片 37" descr="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 1"/>
                          <pic:cNvPicPr>
                            <a:picLocks noChangeAspect="1"/>
                          </pic:cNvPicPr>
                        </pic:nvPicPr>
                        <pic:blipFill>
                          <a:blip r:embed="rId13"/>
                          <a:stretch>
                            <a:fillRect/>
                          </a:stretch>
                        </pic:blipFill>
                        <pic:spPr>
                          <a:xfrm>
                            <a:off x="0" y="0"/>
                            <a:ext cx="4269105" cy="3545840"/>
                          </a:xfrm>
                          <a:prstGeom prst="rect">
                            <a:avLst/>
                          </a:prstGeom>
                        </pic:spPr>
                      </pic:pic>
                    </a:graphicData>
                  </a:graphic>
                </wp:inline>
              </w:drawing>
            </w:r>
          </w:p>
          <w:p>
            <w:pPr>
              <w:keepNext w:val="0"/>
              <w:keepLines w:val="0"/>
              <w:suppressLineNumbers w:val="0"/>
              <w:adjustRightInd w:val="0"/>
              <w:snapToGrid w:val="0"/>
              <w:spacing w:before="0" w:beforeAutospacing="0" w:after="0" w:afterAutospacing="0" w:line="360" w:lineRule="auto"/>
              <w:ind w:left="0" w:right="0"/>
              <w:jc w:val="center"/>
              <w:rPr>
                <w:color w:val="000000" w:themeColor="text1"/>
                <w:kern w:val="0"/>
                <w:szCs w:val="21"/>
                <w:highlight w:val="none"/>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图2-1  项目位置关系图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3" w:type="dxa"/>
            <w:vAlign w:val="center"/>
          </w:tcPr>
          <w:p>
            <w:pPr>
              <w:keepNext w:val="0"/>
              <w:keepLines w:val="0"/>
              <w:suppressLineNumbers w:val="0"/>
              <w:adjustRightInd w:val="0"/>
              <w:snapToGrid w:val="0"/>
              <w:spacing w:before="0" w:beforeAutospacing="0" w:after="0" w:afterAutospacing="0"/>
              <w:ind w:left="0" w:right="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项目组成及规模</w:t>
            </w:r>
          </w:p>
        </w:tc>
        <w:tc>
          <w:tcPr>
            <w:tcW w:w="8689" w:type="dxa"/>
            <w:vAlign w:val="center"/>
          </w:tcPr>
          <w:p>
            <w:pPr>
              <w:keepNext w:val="0"/>
              <w:keepLines w:val="0"/>
              <w:suppressLineNumbers w:val="0"/>
              <w:adjustRightInd w:val="0"/>
              <w:snapToGrid w:val="0"/>
              <w:spacing w:before="0" w:beforeAutospacing="0" w:after="0" w:afterAutospacing="0" w:line="360" w:lineRule="auto"/>
              <w:ind w:left="0" w:right="0"/>
              <w:rPr>
                <w:b/>
                <w:bCs/>
                <w:color w:val="000000" w:themeColor="text1"/>
                <w:kern w:val="0"/>
                <w:sz w:val="24"/>
                <w:highlight w:val="none"/>
                <w14:textFill>
                  <w14:solidFill>
                    <w14:schemeClr w14:val="tx1"/>
                  </w14:solidFill>
                </w14:textFill>
              </w:rPr>
            </w:pPr>
            <w:r>
              <w:rPr>
                <w:b/>
                <w:bCs/>
                <w:color w:val="000000" w:themeColor="text1"/>
                <w:kern w:val="0"/>
                <w:sz w:val="24"/>
                <w:highlight w:val="none"/>
                <w14:textFill>
                  <w14:solidFill>
                    <w14:schemeClr w14:val="tx1"/>
                  </w14:solidFill>
                </w14:textFill>
              </w:rPr>
              <w:t>（</w:t>
            </w:r>
            <w:r>
              <w:rPr>
                <w:rFonts w:hint="eastAsia"/>
                <w:b/>
                <w:bCs/>
                <w:color w:val="000000" w:themeColor="text1"/>
                <w:kern w:val="0"/>
                <w:sz w:val="24"/>
                <w:highlight w:val="none"/>
                <w:lang w:val="en-US" w:eastAsia="zh-CN"/>
                <w14:textFill>
                  <w14:solidFill>
                    <w14:schemeClr w14:val="tx1"/>
                  </w14:solidFill>
                </w14:textFill>
              </w:rPr>
              <w:t>一</w:t>
            </w:r>
            <w:r>
              <w:rPr>
                <w:b/>
                <w:bCs/>
                <w:color w:val="000000" w:themeColor="text1"/>
                <w:kern w:val="0"/>
                <w:sz w:val="24"/>
                <w:highlight w:val="none"/>
                <w14:textFill>
                  <w14:solidFill>
                    <w14:schemeClr w14:val="tx1"/>
                  </w14:solidFill>
                </w14:textFill>
              </w:rPr>
              <w:t>）项目基本情况</w:t>
            </w:r>
          </w:p>
          <w:p>
            <w:pPr>
              <w:keepNext w:val="0"/>
              <w:keepLines w:val="0"/>
              <w:widowControl/>
              <w:suppressLineNumbers w:val="0"/>
              <w:spacing w:before="0" w:beforeAutospacing="0" w:after="0" w:afterAutospacing="0" w:line="360" w:lineRule="auto"/>
              <w:ind w:left="0" w:right="0" w:firstLine="480" w:firstLineChars="200"/>
              <w:rPr>
                <w:rFonts w:hint="eastAsia" w:ascii="宋体" w:hAnsi="宋体" w:eastAsia="宋体" w:cs="Times New Roman"/>
                <w:color w:val="000000" w:themeColor="text1"/>
                <w:sz w:val="24"/>
                <w:highlight w:val="none"/>
                <w:lang w:val="en-US" w:eastAsia="zh-CN"/>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本项目为</w:t>
            </w:r>
            <w:r>
              <w:rPr>
                <w:rFonts w:hint="eastAsia"/>
                <w:bCs/>
                <w:color w:val="000000" w:themeColor="text1"/>
                <w:sz w:val="24"/>
                <w:highlight w:val="none"/>
                <w:lang w:eastAsia="zh-CN"/>
                <w14:textFill>
                  <w14:solidFill>
                    <w14:schemeClr w14:val="tx1"/>
                  </w14:solidFill>
                </w14:textFill>
              </w:rPr>
              <w:t>金南大道西延线四期项目，</w:t>
            </w:r>
            <w:r>
              <w:rPr>
                <w:rFonts w:hint="eastAsia" w:ascii="宋体" w:hAnsi="宋体" w:eastAsia="宋体" w:cs="Times New Roman"/>
                <w:color w:val="000000" w:themeColor="text1"/>
                <w:sz w:val="24"/>
                <w:highlight w:val="none"/>
                <w:lang w:val="en-US" w:eastAsia="zh-CN"/>
                <w14:textFill>
                  <w14:solidFill>
                    <w14:schemeClr w14:val="tx1"/>
                  </w14:solidFill>
                </w14:textFill>
              </w:rPr>
              <w:t>道路走向由东向西，起点接已建的金南大道西延线三期西段道路工程，底层与已建环城路和规划道路平交，主线终点接达州绕西高速连接线隧道出口处100m位置。</w:t>
            </w:r>
          </w:p>
          <w:p>
            <w:pPr>
              <w:keepNext w:val="0"/>
              <w:keepLines w:val="0"/>
              <w:widowControl/>
              <w:suppressLineNumbers w:val="0"/>
              <w:spacing w:before="0" w:beforeAutospacing="0" w:after="0" w:afterAutospacing="0" w:line="360" w:lineRule="auto"/>
              <w:ind w:left="0" w:right="0" w:firstLine="480" w:firstLineChars="200"/>
              <w:rPr>
                <w:rFonts w:hint="eastAsia" w:ascii="宋体" w:hAnsi="宋体" w:eastAsia="宋体" w:cs="Times New Roman"/>
                <w:color w:val="000000" w:themeColor="text1"/>
                <w:sz w:val="24"/>
                <w:highlight w:val="none"/>
                <w:lang w:val="en-US" w:eastAsia="zh-CN"/>
                <w14:textFill>
                  <w14:solidFill>
                    <w14:schemeClr w14:val="tx1"/>
                  </w14:solidFill>
                </w14:textFill>
              </w:rPr>
            </w:pPr>
            <w:r>
              <w:rPr>
                <w:rFonts w:hint="eastAsia" w:ascii="宋体" w:hAnsi="宋体" w:eastAsia="宋体" w:cs="Times New Roman"/>
                <w:color w:val="000000" w:themeColor="text1"/>
                <w:sz w:val="24"/>
                <w:highlight w:val="none"/>
                <w:lang w:val="en-US" w:eastAsia="zh-CN"/>
                <w14:textFill>
                  <w14:solidFill>
                    <w14:schemeClr w14:val="tx1"/>
                  </w14:solidFill>
                </w14:textFill>
              </w:rPr>
              <w:t>道路定位于城市主干路，设计速度主线60km/h，底平层设计速度50km/h，匝道设计速度40km/h。</w:t>
            </w:r>
          </w:p>
          <w:p>
            <w:pPr>
              <w:keepNext w:val="0"/>
              <w:keepLines w:val="0"/>
              <w:widowControl/>
              <w:suppressLineNumbers w:val="0"/>
              <w:spacing w:before="0" w:beforeAutospacing="0" w:after="0" w:afterAutospacing="0" w:line="360" w:lineRule="auto"/>
              <w:ind w:left="0" w:right="0" w:firstLine="480" w:firstLineChars="200"/>
              <w:rPr>
                <w:rFonts w:hint="eastAsia" w:ascii="宋体" w:hAnsi="宋体" w:eastAsia="宋体" w:cs="Times New Roman"/>
                <w:color w:val="000000" w:themeColor="text1"/>
                <w:sz w:val="24"/>
                <w:highlight w:val="none"/>
                <w:lang w:val="en-US" w:eastAsia="zh-CN"/>
                <w14:textFill>
                  <w14:solidFill>
                    <w14:schemeClr w14:val="tx1"/>
                  </w14:solidFill>
                </w14:textFill>
              </w:rPr>
            </w:pPr>
            <w:r>
              <w:rPr>
                <w:rFonts w:hint="eastAsia" w:ascii="宋体" w:hAnsi="宋体" w:eastAsia="宋体" w:cs="Times New Roman"/>
                <w:color w:val="000000" w:themeColor="text1"/>
                <w:sz w:val="24"/>
                <w:highlight w:val="none"/>
                <w:lang w:val="en-US" w:eastAsia="zh-CN"/>
                <w14:textFill>
                  <w14:solidFill>
                    <w14:schemeClr w14:val="tx1"/>
                  </w14:solidFill>
                </w14:textFill>
              </w:rPr>
              <w:t>本项目道路长度左线2119.535m（K0+144.5～K2+264.036)，右线2113.955m（K0+144.5～K2+258.456)；底平层1294.936m（K0+044.501～K1+339.437)；匝道桥2座（桩号为：AK0+736.39～AK1+042.103；BK0+736.39～BK1+042.103）。</w:t>
            </w: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其中主线为双向6车道（宽度25.5m），匝道为2车道（宽度9m），底层辅道在K0+499.853～K0+736.39范围内为双向8车道，K0+736.39～K1+339.437范围内为双向4车道，分离式路基段为单向3车道（宽度13m）。</w:t>
            </w: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道路主要控制点为：金南大道三期（已建）、环城路（已建）、好一新市场（已建）、纵一路（规划）、纵二路（规划）、达州绕西高速连接线（在建）。</w:t>
            </w: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1、金南大道西延线三期（已建）</w:t>
            </w: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已建金南大道西延线三期为城市主干路，其预留本项目跨线桥位置，预留宽度为34米，本项目为保证主线设计指标，对三期进行改造，三期设计速度60km/h。</w:t>
            </w: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2、环城路（已建）</w:t>
            </w: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已建环城路与本项目底平层在K0+476.488处平交，已建环城路设计速度60km/h，红线宽度32m。</w:t>
            </w: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3、好一新市场（已建）</w:t>
            </w: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道路南侧为好一新市场正在建设，市场内部道路已建设完成，市场出入口与本项目底层辅道在K0+609.6处平交，为保证其出行及交通转换，在本项目与其用地红线间开口，相接处标高以现状已建道路标高为准。目前因本道路未建，其出入口通过连接道路与已建环城路衔接，保障其目前出行需求。</w:t>
            </w: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4、纵一路（规划）</w:t>
            </w: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规划纵一路与本项目底层辅道在K1+065.694处平交，规划道路设计速度40km/h，红线宽度24m。</w:t>
            </w: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5、纵二路（规划）</w:t>
            </w: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规划纵二路与本项目底层辅道在K1+339.437处平交，规划道路设计速度40km/h。红线宽度20m。</w:t>
            </w: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6、达州绕西高速连接线（在建）</w:t>
            </w: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本项目终点连接达州绕西高速连接线，终点位置为隧道出口100m处，达州绕西高速连接线目前在建。</w:t>
            </w:r>
          </w:p>
          <w:p>
            <w:pPr>
              <w:keepNext w:val="0"/>
              <w:keepLines w:val="0"/>
              <w:widowControl/>
              <w:suppressLineNumbers w:val="0"/>
              <w:spacing w:before="0" w:beforeAutospacing="0" w:after="0" w:afterAutospacing="0" w:line="360" w:lineRule="auto"/>
              <w:ind w:left="0" w:right="0" w:firstLine="422" w:firstLineChars="200"/>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b/>
                <w:bCs/>
                <w:color w:val="000000" w:themeColor="text1"/>
                <w:highlight w:val="none"/>
                <w14:textFill>
                  <w14:solidFill>
                    <w14:schemeClr w14:val="tx1"/>
                  </w14:solidFill>
                </w14:textFill>
              </w:rPr>
              <w:drawing>
                <wp:anchor distT="0" distB="0" distL="114300" distR="114300" simplePos="0" relativeHeight="251665408" behindDoc="0" locked="0" layoutInCell="1" allowOverlap="1">
                  <wp:simplePos x="0" y="0"/>
                  <wp:positionH relativeFrom="column">
                    <wp:posOffset>8238490</wp:posOffset>
                  </wp:positionH>
                  <wp:positionV relativeFrom="paragraph">
                    <wp:posOffset>5567045</wp:posOffset>
                  </wp:positionV>
                  <wp:extent cx="5884545" cy="3772535"/>
                  <wp:effectExtent l="0" t="0" r="13335" b="6985"/>
                  <wp:wrapNone/>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14"/>
                          <a:stretch>
                            <a:fillRect/>
                          </a:stretch>
                        </pic:blipFill>
                        <pic:spPr>
                          <a:xfrm>
                            <a:off x="0" y="0"/>
                            <a:ext cx="5884545" cy="3772535"/>
                          </a:xfrm>
                          <a:prstGeom prst="rect">
                            <a:avLst/>
                          </a:prstGeom>
                          <a:noFill/>
                          <a:ln>
                            <a:noFill/>
                          </a:ln>
                        </pic:spPr>
                      </pic:pic>
                    </a:graphicData>
                  </a:graphic>
                </wp:anchor>
              </w:drawing>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注：</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外环快速为规划道路，本项目从规划线路上方修建桥梁跨越，本项目</w:t>
            </w:r>
            <w:r>
              <w:rPr>
                <w:rFonts w:hint="eastAsia" w:cs="Times New Roman"/>
                <w:bCs/>
                <w:color w:val="000000" w:themeColor="text1"/>
                <w:sz w:val="24"/>
                <w:highlight w:val="none"/>
                <w:lang w:val="en-US" w:eastAsia="zh-CN"/>
                <w14:textFill>
                  <w14:solidFill>
                    <w14:schemeClr w14:val="tx1"/>
                  </w14:solidFill>
                </w14:textFill>
              </w:rPr>
              <w:t>预留闸道</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连接点，故该处不作为本项目控制点。</w:t>
            </w:r>
          </w:p>
          <w:p>
            <w:pPr>
              <w:keepNext w:val="0"/>
              <w:keepLines w:val="0"/>
              <w:suppressLineNumbers w:val="0"/>
              <w:adjustRightInd w:val="0"/>
              <w:snapToGrid w:val="0"/>
              <w:spacing w:before="0" w:beforeAutospacing="0" w:after="0" w:afterAutospacing="0" w:line="360" w:lineRule="auto"/>
              <w:ind w:left="0" w:right="0"/>
              <w:rPr>
                <w:rFonts w:hint="eastAsia" w:eastAsia="宋体"/>
                <w:b/>
                <w:bCs/>
                <w:color w:val="000000" w:themeColor="text1"/>
                <w:kern w:val="0"/>
                <w:sz w:val="24"/>
                <w:highlight w:val="none"/>
                <w:lang w:eastAsia="zh-CN"/>
                <w14:textFill>
                  <w14:solidFill>
                    <w14:schemeClr w14:val="tx1"/>
                  </w14:solidFill>
                </w14:textFill>
              </w:rPr>
            </w:pPr>
            <w:r>
              <w:rPr>
                <w:rFonts w:hint="eastAsia" w:eastAsia="宋体"/>
                <w:b/>
                <w:bCs/>
                <w:color w:val="000000" w:themeColor="text1"/>
                <w:kern w:val="0"/>
                <w:sz w:val="24"/>
                <w:highlight w:val="none"/>
                <w:lang w:eastAsia="zh-CN"/>
                <w14:textFill>
                  <w14:solidFill>
                    <w14:schemeClr w14:val="tx1"/>
                  </w14:solidFill>
                </w14:textFill>
              </w:rPr>
              <w:drawing>
                <wp:inline distT="0" distB="0" distL="114300" distR="114300">
                  <wp:extent cx="5304790" cy="3349625"/>
                  <wp:effectExtent l="0" t="0" r="13970" b="3175"/>
                  <wp:docPr id="52" name="图片 52" descr="170366375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703663752909"/>
                          <pic:cNvPicPr>
                            <a:picLocks noChangeAspect="1"/>
                          </pic:cNvPicPr>
                        </pic:nvPicPr>
                        <pic:blipFill>
                          <a:blip r:embed="rId15"/>
                          <a:stretch>
                            <a:fillRect/>
                          </a:stretch>
                        </pic:blipFill>
                        <pic:spPr>
                          <a:xfrm>
                            <a:off x="0" y="0"/>
                            <a:ext cx="5304790" cy="3349625"/>
                          </a:xfrm>
                          <a:prstGeom prst="rect">
                            <a:avLst/>
                          </a:prstGeom>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图2-2  项目主要控制点位置图</w:t>
            </w:r>
          </w:p>
          <w:p>
            <w:pPr>
              <w:keepNext w:val="0"/>
              <w:keepLines w:val="0"/>
              <w:suppressLineNumbers w:val="0"/>
              <w:adjustRightInd w:val="0"/>
              <w:snapToGrid w:val="0"/>
              <w:spacing w:before="0" w:beforeAutospacing="0" w:after="0" w:afterAutospacing="0" w:line="360" w:lineRule="auto"/>
              <w:ind w:left="0" w:right="0"/>
              <w:rPr>
                <w:rFonts w:hint="default" w:eastAsia="宋体"/>
                <w:b/>
                <w:bCs/>
                <w:color w:val="000000" w:themeColor="text1"/>
                <w:kern w:val="0"/>
                <w:sz w:val="24"/>
                <w:highlight w:val="none"/>
                <w:lang w:val="en-US" w:eastAsia="zh-CN"/>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77696" behindDoc="0" locked="0" layoutInCell="1" allowOverlap="1">
                  <wp:simplePos x="0" y="0"/>
                  <wp:positionH relativeFrom="column">
                    <wp:posOffset>7984490</wp:posOffset>
                  </wp:positionH>
                  <wp:positionV relativeFrom="paragraph">
                    <wp:posOffset>5617845</wp:posOffset>
                  </wp:positionV>
                  <wp:extent cx="5884545" cy="3772535"/>
                  <wp:effectExtent l="0" t="0" r="13335" b="6985"/>
                  <wp:wrapNone/>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14"/>
                          <a:stretch>
                            <a:fillRect/>
                          </a:stretch>
                        </pic:blipFill>
                        <pic:spPr>
                          <a:xfrm>
                            <a:off x="0" y="0"/>
                            <a:ext cx="5884545" cy="3772535"/>
                          </a:xfrm>
                          <a:prstGeom prst="rect">
                            <a:avLst/>
                          </a:prstGeom>
                          <a:noFill/>
                          <a:ln>
                            <a:noFill/>
                          </a:ln>
                        </pic:spPr>
                      </pic:pic>
                    </a:graphicData>
                  </a:graphic>
                </wp:anchor>
              </w:drawing>
            </w:r>
            <w:r>
              <w:rPr>
                <w:color w:val="000000" w:themeColor="text1"/>
                <w:highlight w:val="none"/>
                <w14:textFill>
                  <w14:solidFill>
                    <w14:schemeClr w14:val="tx1"/>
                  </w14:solidFill>
                </w14:textFill>
              </w:rPr>
              <w:drawing>
                <wp:anchor distT="0" distB="0" distL="114300" distR="114300" simplePos="0" relativeHeight="251676672" behindDoc="0" locked="0" layoutInCell="1" allowOverlap="1">
                  <wp:simplePos x="0" y="0"/>
                  <wp:positionH relativeFrom="column">
                    <wp:posOffset>7984490</wp:posOffset>
                  </wp:positionH>
                  <wp:positionV relativeFrom="paragraph">
                    <wp:posOffset>5617845</wp:posOffset>
                  </wp:positionV>
                  <wp:extent cx="5884545" cy="3772535"/>
                  <wp:effectExtent l="0" t="0" r="13335" b="6985"/>
                  <wp:wrapNone/>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14"/>
                          <a:stretch>
                            <a:fillRect/>
                          </a:stretch>
                        </pic:blipFill>
                        <pic:spPr>
                          <a:xfrm>
                            <a:off x="0" y="0"/>
                            <a:ext cx="5884545" cy="3772535"/>
                          </a:xfrm>
                          <a:prstGeom prst="rect">
                            <a:avLst/>
                          </a:prstGeom>
                          <a:noFill/>
                          <a:ln>
                            <a:noFill/>
                          </a:ln>
                        </pic:spPr>
                      </pic:pic>
                    </a:graphicData>
                  </a:graphic>
                </wp:anchor>
              </w:drawing>
            </w:r>
            <w:r>
              <w:rPr>
                <w:color w:val="000000" w:themeColor="text1"/>
                <w:highlight w:val="none"/>
                <w14:textFill>
                  <w14:solidFill>
                    <w14:schemeClr w14:val="tx1"/>
                  </w14:solidFill>
                </w14:textFill>
              </w:rPr>
              <w:drawing>
                <wp:anchor distT="0" distB="0" distL="114300" distR="114300" simplePos="0" relativeHeight="251675648" behindDoc="0" locked="0" layoutInCell="1" allowOverlap="1">
                  <wp:simplePos x="0" y="0"/>
                  <wp:positionH relativeFrom="column">
                    <wp:posOffset>8848090</wp:posOffset>
                  </wp:positionH>
                  <wp:positionV relativeFrom="paragraph">
                    <wp:posOffset>6176645</wp:posOffset>
                  </wp:positionV>
                  <wp:extent cx="5884545" cy="3772535"/>
                  <wp:effectExtent l="0" t="0" r="13335" b="6985"/>
                  <wp:wrapNone/>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14"/>
                          <a:stretch>
                            <a:fillRect/>
                          </a:stretch>
                        </pic:blipFill>
                        <pic:spPr>
                          <a:xfrm>
                            <a:off x="0" y="0"/>
                            <a:ext cx="5884545" cy="3772535"/>
                          </a:xfrm>
                          <a:prstGeom prst="rect">
                            <a:avLst/>
                          </a:prstGeom>
                          <a:noFill/>
                          <a:ln>
                            <a:noFill/>
                          </a:ln>
                        </pic:spPr>
                      </pic:pic>
                    </a:graphicData>
                  </a:graphic>
                </wp:anchor>
              </w:drawing>
            </w:r>
            <w:r>
              <w:rPr>
                <w:color w:val="000000" w:themeColor="text1"/>
                <w:highlight w:val="none"/>
                <w14:textFill>
                  <w14:solidFill>
                    <w14:schemeClr w14:val="tx1"/>
                  </w14:solidFill>
                </w14:textFill>
              </w:rPr>
              <w:drawing>
                <wp:anchor distT="0" distB="0" distL="114300" distR="114300" simplePos="0" relativeHeight="251674624" behindDoc="0" locked="0" layoutInCell="1" allowOverlap="1">
                  <wp:simplePos x="0" y="0"/>
                  <wp:positionH relativeFrom="column">
                    <wp:posOffset>8695690</wp:posOffset>
                  </wp:positionH>
                  <wp:positionV relativeFrom="paragraph">
                    <wp:posOffset>6024245</wp:posOffset>
                  </wp:positionV>
                  <wp:extent cx="5884545" cy="3772535"/>
                  <wp:effectExtent l="0" t="0" r="13335" b="6985"/>
                  <wp:wrapNone/>
                  <wp:docPr id="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1"/>
                          </pic:cNvPicPr>
                        </pic:nvPicPr>
                        <pic:blipFill>
                          <a:blip r:embed="rId14"/>
                          <a:stretch>
                            <a:fillRect/>
                          </a:stretch>
                        </pic:blipFill>
                        <pic:spPr>
                          <a:xfrm>
                            <a:off x="0" y="0"/>
                            <a:ext cx="5884545" cy="3772535"/>
                          </a:xfrm>
                          <a:prstGeom prst="rect">
                            <a:avLst/>
                          </a:prstGeom>
                          <a:noFill/>
                          <a:ln>
                            <a:noFill/>
                          </a:ln>
                        </pic:spPr>
                      </pic:pic>
                    </a:graphicData>
                  </a:graphic>
                </wp:anchor>
              </w:drawing>
            </w:r>
            <w:r>
              <w:rPr>
                <w:color w:val="000000" w:themeColor="text1"/>
                <w:highlight w:val="none"/>
                <w14:textFill>
                  <w14:solidFill>
                    <w14:schemeClr w14:val="tx1"/>
                  </w14:solidFill>
                </w14:textFill>
              </w:rPr>
              <w:drawing>
                <wp:anchor distT="0" distB="0" distL="114300" distR="114300" simplePos="0" relativeHeight="251673600" behindDoc="0" locked="0" layoutInCell="1" allowOverlap="1">
                  <wp:simplePos x="0" y="0"/>
                  <wp:positionH relativeFrom="column">
                    <wp:posOffset>8543290</wp:posOffset>
                  </wp:positionH>
                  <wp:positionV relativeFrom="paragraph">
                    <wp:posOffset>5871845</wp:posOffset>
                  </wp:positionV>
                  <wp:extent cx="5884545" cy="3772535"/>
                  <wp:effectExtent l="0" t="0" r="13335" b="6985"/>
                  <wp:wrapNone/>
                  <wp:docPr id="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pic:cNvPicPr>
                            <a:picLocks noChangeAspect="1"/>
                          </pic:cNvPicPr>
                        </pic:nvPicPr>
                        <pic:blipFill>
                          <a:blip r:embed="rId14"/>
                          <a:stretch>
                            <a:fillRect/>
                          </a:stretch>
                        </pic:blipFill>
                        <pic:spPr>
                          <a:xfrm>
                            <a:off x="0" y="0"/>
                            <a:ext cx="5884545" cy="3772535"/>
                          </a:xfrm>
                          <a:prstGeom prst="rect">
                            <a:avLst/>
                          </a:prstGeom>
                          <a:noFill/>
                          <a:ln>
                            <a:noFill/>
                          </a:ln>
                        </pic:spPr>
                      </pic:pic>
                    </a:graphicData>
                  </a:graphic>
                </wp:anchor>
              </w:drawing>
            </w:r>
            <w:r>
              <w:rPr>
                <w:color w:val="000000" w:themeColor="text1"/>
                <w:highlight w:val="none"/>
                <w14:textFill>
                  <w14:solidFill>
                    <w14:schemeClr w14:val="tx1"/>
                  </w14:solidFill>
                </w14:textFill>
              </w:rPr>
              <w:drawing>
                <wp:anchor distT="0" distB="0" distL="114300" distR="114300" simplePos="0" relativeHeight="251672576" behindDoc="0" locked="0" layoutInCell="1" allowOverlap="1">
                  <wp:simplePos x="0" y="0"/>
                  <wp:positionH relativeFrom="column">
                    <wp:posOffset>8390890</wp:posOffset>
                  </wp:positionH>
                  <wp:positionV relativeFrom="paragraph">
                    <wp:posOffset>5719445</wp:posOffset>
                  </wp:positionV>
                  <wp:extent cx="5884545" cy="3772535"/>
                  <wp:effectExtent l="0" t="0" r="13335" b="6985"/>
                  <wp:wrapNone/>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14"/>
                          <a:stretch>
                            <a:fillRect/>
                          </a:stretch>
                        </pic:blipFill>
                        <pic:spPr>
                          <a:xfrm>
                            <a:off x="0" y="0"/>
                            <a:ext cx="5884545" cy="3772535"/>
                          </a:xfrm>
                          <a:prstGeom prst="rect">
                            <a:avLst/>
                          </a:prstGeom>
                          <a:noFill/>
                          <a:ln>
                            <a:noFill/>
                          </a:ln>
                        </pic:spPr>
                      </pic:pic>
                    </a:graphicData>
                  </a:graphic>
                </wp:anchor>
              </w:drawing>
            </w:r>
            <w:r>
              <w:rPr>
                <w:color w:val="000000" w:themeColor="text1"/>
                <w:highlight w:val="none"/>
                <w14:textFill>
                  <w14:solidFill>
                    <w14:schemeClr w14:val="tx1"/>
                  </w14:solidFill>
                </w14:textFill>
              </w:rPr>
              <w:drawing>
                <wp:anchor distT="0" distB="0" distL="114300" distR="114300" simplePos="0" relativeHeight="251671552" behindDoc="0" locked="0" layoutInCell="1" allowOverlap="1">
                  <wp:simplePos x="0" y="0"/>
                  <wp:positionH relativeFrom="column">
                    <wp:posOffset>8238490</wp:posOffset>
                  </wp:positionH>
                  <wp:positionV relativeFrom="paragraph">
                    <wp:posOffset>5567045</wp:posOffset>
                  </wp:positionV>
                  <wp:extent cx="5884545" cy="3772535"/>
                  <wp:effectExtent l="0" t="0" r="13335" b="6985"/>
                  <wp:wrapNone/>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14"/>
                          <a:stretch>
                            <a:fillRect/>
                          </a:stretch>
                        </pic:blipFill>
                        <pic:spPr>
                          <a:xfrm>
                            <a:off x="0" y="0"/>
                            <a:ext cx="5884545" cy="3772535"/>
                          </a:xfrm>
                          <a:prstGeom prst="rect">
                            <a:avLst/>
                          </a:prstGeom>
                          <a:noFill/>
                          <a:ln>
                            <a:noFill/>
                          </a:ln>
                        </pic:spPr>
                      </pic:pic>
                    </a:graphicData>
                  </a:graphic>
                </wp:anchor>
              </w:drawing>
            </w:r>
            <w:r>
              <w:rPr>
                <w:b/>
                <w:bCs/>
                <w:color w:val="000000" w:themeColor="text1"/>
                <w:kern w:val="0"/>
                <w:sz w:val="24"/>
                <w:highlight w:val="none"/>
                <w14:textFill>
                  <w14:solidFill>
                    <w14:schemeClr w14:val="tx1"/>
                  </w14:solidFill>
                </w14:textFill>
              </w:rPr>
              <w:t>（</w:t>
            </w:r>
            <w:r>
              <w:rPr>
                <w:rFonts w:hint="eastAsia"/>
                <w:b/>
                <w:bCs/>
                <w:color w:val="000000" w:themeColor="text1"/>
                <w:kern w:val="0"/>
                <w:sz w:val="24"/>
                <w:highlight w:val="none"/>
                <w:lang w:val="en-US" w:eastAsia="zh-CN"/>
                <w14:textFill>
                  <w14:solidFill>
                    <w14:schemeClr w14:val="tx1"/>
                  </w14:solidFill>
                </w14:textFill>
              </w:rPr>
              <w:t>二</w:t>
            </w:r>
            <w:r>
              <w:rPr>
                <w:b/>
                <w:bCs/>
                <w:color w:val="000000" w:themeColor="text1"/>
                <w:kern w:val="0"/>
                <w:sz w:val="24"/>
                <w:highlight w:val="none"/>
                <w14:textFill>
                  <w14:solidFill>
                    <w14:schemeClr w14:val="tx1"/>
                  </w14:solidFill>
                </w14:textFill>
              </w:rPr>
              <w:t>）</w:t>
            </w:r>
            <w:r>
              <w:rPr>
                <w:rFonts w:hint="eastAsia"/>
                <w:b/>
                <w:bCs/>
                <w:color w:val="000000" w:themeColor="text1"/>
                <w:kern w:val="0"/>
                <w:sz w:val="24"/>
                <w:highlight w:val="none"/>
                <w:lang w:val="en-US" w:eastAsia="zh-CN"/>
                <w14:textFill>
                  <w14:solidFill>
                    <w14:schemeClr w14:val="tx1"/>
                  </w14:solidFill>
                </w14:textFill>
              </w:rPr>
              <w:t>设计标准</w:t>
            </w:r>
          </w:p>
          <w:p>
            <w:pPr>
              <w:keepNext w:val="0"/>
              <w:keepLines w:val="0"/>
              <w:suppressLineNumbers w:val="0"/>
              <w:autoSpaceDE w:val="0"/>
              <w:autoSpaceDN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本项目道路等级为城市主干路，设计速度主线60km/h，主线桥梁宽25.5m，主线分离式路基单侧宽度13m。底平层50km/h，底平层红线宽47.5m/52.5m/33.5m（其中设计起点～环城路K0+476.488跨线桥段，对三期断面进行改造，改造后宽度50.5m）。上下匝道设计速度40km/h，宽度为9m。设计路面结构为沥青混凝土路面，道路交通饱和设计年限为20年，路基、涵洞设计洪水频率为1/100。</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表2-1  主要技术指标表（主线）</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1"/>
              <w:gridCol w:w="1823"/>
              <w:gridCol w:w="798"/>
              <w:gridCol w:w="1985"/>
              <w:gridCol w:w="2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pct"/>
                  <w:gridSpan w:val="2"/>
                  <w:noWrap w:val="0"/>
                  <w:vAlign w:val="center"/>
                </w:tcPr>
                <w:p>
                  <w:pPr>
                    <w:keepNext w:val="0"/>
                    <w:keepLines w:val="0"/>
                    <w:suppressLineNumbers w:val="0"/>
                    <w:spacing w:before="0" w:beforeAutospacing="0" w:after="0" w:afterAutospacing="0"/>
                    <w:ind w:left="0" w:right="0"/>
                    <w:jc w:val="center"/>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主要技术指标</w:t>
                  </w:r>
                </w:p>
              </w:tc>
              <w:tc>
                <w:tcPr>
                  <w:tcW w:w="449" w:type="pct"/>
                  <w:noWrap w:val="0"/>
                  <w:vAlign w:val="center"/>
                </w:tcPr>
                <w:p>
                  <w:pPr>
                    <w:keepNext w:val="0"/>
                    <w:keepLines w:val="0"/>
                    <w:suppressLineNumbers w:val="0"/>
                    <w:spacing w:before="0" w:beforeAutospacing="0" w:after="0" w:afterAutospacing="0"/>
                    <w:ind w:left="0" w:right="0"/>
                    <w:jc w:val="center"/>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单位</w:t>
                  </w:r>
                </w:p>
              </w:tc>
              <w:tc>
                <w:tcPr>
                  <w:tcW w:w="1117" w:type="pct"/>
                  <w:noWrap w:val="0"/>
                  <w:vAlign w:val="center"/>
                </w:tcPr>
                <w:p>
                  <w:pPr>
                    <w:keepNext w:val="0"/>
                    <w:keepLines w:val="0"/>
                    <w:suppressLineNumbers w:val="0"/>
                    <w:spacing w:before="0" w:beforeAutospacing="0" w:after="0" w:afterAutospacing="0"/>
                    <w:ind w:left="0" w:right="0"/>
                    <w:jc w:val="center"/>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规范标准值</w:t>
                  </w:r>
                </w:p>
              </w:tc>
              <w:tc>
                <w:tcPr>
                  <w:tcW w:w="1493" w:type="pct"/>
                  <w:noWrap w:val="0"/>
                  <w:vAlign w:val="center"/>
                </w:tcPr>
                <w:p>
                  <w:pPr>
                    <w:keepNext w:val="0"/>
                    <w:keepLines w:val="0"/>
                    <w:suppressLineNumbers w:val="0"/>
                    <w:spacing w:before="0" w:beforeAutospacing="0" w:after="0" w:afterAutospacing="0"/>
                    <w:ind w:left="0" w:right="0"/>
                    <w:jc w:val="center"/>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设计采用值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pct"/>
                  <w:gridSpan w:val="2"/>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道路等级</w:t>
                  </w:r>
                </w:p>
              </w:tc>
              <w:tc>
                <w:tcPr>
                  <w:tcW w:w="449" w:type="pct"/>
                  <w:noWrap w:val="0"/>
                  <w:vAlign w:val="center"/>
                </w:tcPr>
                <w:p>
                  <w:pPr>
                    <w:keepNext w:val="0"/>
                    <w:keepLines w:val="0"/>
                    <w:suppressLineNumbers w:val="0"/>
                    <w:spacing w:before="0" w:beforeAutospacing="0" w:after="0" w:afterAutospacing="0"/>
                    <w:ind w:left="0" w:right="0" w:firstLine="420" w:firstLineChars="200"/>
                    <w:jc w:val="center"/>
                    <w:rPr>
                      <w:rFonts w:hint="eastAsia" w:ascii="宋体" w:hAnsi="宋体"/>
                      <w:color w:val="000000" w:themeColor="text1"/>
                      <w:szCs w:val="21"/>
                      <w:highlight w:val="none"/>
                      <w14:textFill>
                        <w14:solidFill>
                          <w14:schemeClr w14:val="tx1"/>
                        </w14:solidFill>
                      </w14:textFill>
                    </w:rPr>
                  </w:pPr>
                </w:p>
              </w:tc>
              <w:tc>
                <w:tcPr>
                  <w:tcW w:w="1117"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城市主干路</w:t>
                  </w:r>
                </w:p>
              </w:tc>
              <w:tc>
                <w:tcPr>
                  <w:tcW w:w="1493"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城市主干路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pct"/>
                  <w:gridSpan w:val="2"/>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设计速度</w:t>
                  </w:r>
                </w:p>
              </w:tc>
              <w:tc>
                <w:tcPr>
                  <w:tcW w:w="449"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km/h</w:t>
                  </w:r>
                </w:p>
              </w:tc>
              <w:tc>
                <w:tcPr>
                  <w:tcW w:w="1117"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60</w:t>
                  </w:r>
                </w:p>
              </w:tc>
              <w:tc>
                <w:tcPr>
                  <w:tcW w:w="1493"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pct"/>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设超高圆曲线最小半径</w:t>
                  </w:r>
                </w:p>
              </w:tc>
              <w:tc>
                <w:tcPr>
                  <w:tcW w:w="1025"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一般值</w:t>
                  </w:r>
                </w:p>
              </w:tc>
              <w:tc>
                <w:tcPr>
                  <w:tcW w:w="449"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m</w:t>
                  </w:r>
                </w:p>
              </w:tc>
              <w:tc>
                <w:tcPr>
                  <w:tcW w:w="1117" w:type="pct"/>
                  <w:noWrap w:val="0"/>
                  <w:vAlign w:val="center"/>
                </w:tcPr>
                <w:p>
                  <w:pPr>
                    <w:keepNext w:val="0"/>
                    <w:keepLines w:val="0"/>
                    <w:suppressLineNumbers w:val="0"/>
                    <w:spacing w:before="0" w:beforeAutospacing="0" w:after="0" w:afterAutospacing="0"/>
                    <w:ind w:left="-63" w:leftChars="-31" w:right="-73" w:rightChars="-35" w:hanging="2"/>
                    <w:jc w:val="center"/>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300</w:t>
                  </w:r>
                </w:p>
              </w:tc>
              <w:tc>
                <w:tcPr>
                  <w:tcW w:w="1493" w:type="pct"/>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pct"/>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p>
              </w:tc>
              <w:tc>
                <w:tcPr>
                  <w:tcW w:w="1025"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极限值</w:t>
                  </w:r>
                </w:p>
              </w:tc>
              <w:tc>
                <w:tcPr>
                  <w:tcW w:w="449"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m</w:t>
                  </w:r>
                </w:p>
              </w:tc>
              <w:tc>
                <w:tcPr>
                  <w:tcW w:w="1117" w:type="pct"/>
                  <w:noWrap w:val="0"/>
                  <w:vAlign w:val="center"/>
                </w:tcPr>
                <w:p>
                  <w:pPr>
                    <w:keepNext w:val="0"/>
                    <w:keepLines w:val="0"/>
                    <w:suppressLineNumbers w:val="0"/>
                    <w:spacing w:before="0" w:beforeAutospacing="0" w:after="0" w:afterAutospacing="0"/>
                    <w:ind w:left="-63" w:leftChars="-31" w:right="-73" w:rightChars="-35" w:hanging="2"/>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150</w:t>
                  </w:r>
                </w:p>
              </w:tc>
              <w:tc>
                <w:tcPr>
                  <w:tcW w:w="1493" w:type="pct"/>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pct"/>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最大纵坡</w:t>
                  </w:r>
                </w:p>
              </w:tc>
              <w:tc>
                <w:tcPr>
                  <w:tcW w:w="1025"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一般值</w:t>
                  </w:r>
                </w:p>
              </w:tc>
              <w:tc>
                <w:tcPr>
                  <w:tcW w:w="449"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117"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w:t>
                  </w:r>
                </w:p>
              </w:tc>
              <w:tc>
                <w:tcPr>
                  <w:tcW w:w="1493" w:type="pct"/>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olor w:val="000000" w:themeColor="text1"/>
                      <w:szCs w:val="21"/>
                      <w:highlight w:val="none"/>
                      <w:lang w:val="en-US" w:eastAsia="zh-CN"/>
                      <w14:textFill>
                        <w14:solidFill>
                          <w14:schemeClr w14:val="tx1"/>
                        </w14:solidFill>
                      </w14:textFill>
                    </w:rPr>
                  </w:pPr>
                  <w:r>
                    <w:rPr>
                      <w:rFonts w:ascii="宋体" w:hAnsi="宋体"/>
                      <w:color w:val="000000" w:themeColor="text1"/>
                      <w:szCs w:val="21"/>
                      <w:highlight w:val="none"/>
                      <w14:textFill>
                        <w14:solidFill>
                          <w14:schemeClr w14:val="tx1"/>
                        </w14:solidFill>
                      </w14:textFill>
                    </w:rPr>
                    <w:t>4.8</w:t>
                  </w:r>
                  <w:r>
                    <w:rPr>
                      <w:rFonts w:hint="eastAsia" w:ascii="宋体" w:hAnsi="宋体"/>
                      <w:color w:val="000000" w:themeColor="text1"/>
                      <w:szCs w:val="21"/>
                      <w:highlight w:val="none"/>
                      <w:lang w:val="en-US" w:eastAsia="zh-CN"/>
                      <w14:textFill>
                        <w14:solidFill>
                          <w14:schemeClr w14:val="tx1"/>
                        </w14:solidFill>
                      </w14:textFill>
                    </w:rPr>
                    <w:t>7（顺延已建三期纵坡）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pct"/>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p>
              </w:tc>
              <w:tc>
                <w:tcPr>
                  <w:tcW w:w="1025"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极限值</w:t>
                  </w:r>
                </w:p>
              </w:tc>
              <w:tc>
                <w:tcPr>
                  <w:tcW w:w="449"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117"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w:t>
                  </w:r>
                </w:p>
              </w:tc>
              <w:tc>
                <w:tcPr>
                  <w:tcW w:w="1493" w:type="pct"/>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pct"/>
                  <w:gridSpan w:val="2"/>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最小纵坡</w:t>
                  </w:r>
                </w:p>
              </w:tc>
              <w:tc>
                <w:tcPr>
                  <w:tcW w:w="449"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117"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0.3</w:t>
                  </w:r>
                </w:p>
              </w:tc>
              <w:tc>
                <w:tcPr>
                  <w:tcW w:w="1493" w:type="pct"/>
                  <w:noWrap w:val="0"/>
                  <w:vAlign w:val="center"/>
                </w:tcPr>
                <w:p>
                  <w:pPr>
                    <w:keepNext w:val="0"/>
                    <w:keepLines w:val="0"/>
                    <w:suppressLineNumbers w:val="0"/>
                    <w:spacing w:before="0" w:beforeAutospacing="0" w:after="0" w:afterAutospacing="0"/>
                    <w:ind w:left="0" w:right="0"/>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pct"/>
                  <w:gridSpan w:val="2"/>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最小坡长</w:t>
                  </w:r>
                </w:p>
              </w:tc>
              <w:tc>
                <w:tcPr>
                  <w:tcW w:w="449"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m</w:t>
                  </w:r>
                </w:p>
              </w:tc>
              <w:tc>
                <w:tcPr>
                  <w:tcW w:w="1117"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150</w:t>
                  </w:r>
                </w:p>
              </w:tc>
              <w:tc>
                <w:tcPr>
                  <w:tcW w:w="1493" w:type="pct"/>
                  <w:noWrap w:val="0"/>
                  <w:vAlign w:val="center"/>
                </w:tcPr>
                <w:p>
                  <w:pPr>
                    <w:keepNext w:val="0"/>
                    <w:keepLines w:val="0"/>
                    <w:suppressLineNumbers w:val="0"/>
                    <w:spacing w:before="0" w:beforeAutospacing="0" w:after="0" w:afterAutospacing="0"/>
                    <w:ind w:left="0" w:right="0"/>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eastAsia="宋体"/>
                      <w:color w:val="000000" w:themeColor="text1"/>
                      <w:szCs w:val="21"/>
                      <w:highlight w:val="none"/>
                      <w:lang w:val="en-US" w:eastAsia="zh-CN"/>
                      <w14:textFill>
                        <w14:solidFill>
                          <w14:schemeClr w14:val="tx1"/>
                        </w14:solidFill>
                      </w14:textFill>
                    </w:rPr>
                    <w:t>178.10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pct"/>
                  <w:gridSpan w:val="2"/>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最小凸曲线半径（</w:t>
                  </w:r>
                  <w:r>
                    <w:rPr>
                      <w:rFonts w:hint="eastAsia" w:ascii="宋体" w:hAnsi="宋体"/>
                      <w:color w:val="000000" w:themeColor="text1"/>
                      <w:szCs w:val="21"/>
                      <w:highlight w:val="none"/>
                      <w:lang w:eastAsia="zh-CN"/>
                      <w14:textFill>
                        <w14:solidFill>
                          <w14:schemeClr w14:val="tx1"/>
                        </w14:solidFill>
                      </w14:textFill>
                    </w:rPr>
                    <w:t>一般</w:t>
                  </w:r>
                  <w:r>
                    <w:rPr>
                      <w:rFonts w:hint="eastAsia" w:ascii="宋体" w:hAnsi="宋体"/>
                      <w:color w:val="000000" w:themeColor="text1"/>
                      <w:szCs w:val="21"/>
                      <w:highlight w:val="none"/>
                      <w14:textFill>
                        <w14:solidFill>
                          <w14:schemeClr w14:val="tx1"/>
                        </w14:solidFill>
                      </w14:textFill>
                    </w:rPr>
                    <w:t>值）</w:t>
                  </w:r>
                </w:p>
              </w:tc>
              <w:tc>
                <w:tcPr>
                  <w:tcW w:w="449"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m</w:t>
                  </w:r>
                </w:p>
              </w:tc>
              <w:tc>
                <w:tcPr>
                  <w:tcW w:w="1117" w:type="pct"/>
                  <w:noWrap w:val="0"/>
                  <w:vAlign w:val="center"/>
                </w:tcPr>
                <w:p>
                  <w:pPr>
                    <w:keepNext w:val="0"/>
                    <w:keepLines w:val="0"/>
                    <w:suppressLineNumbers w:val="0"/>
                    <w:spacing w:before="0" w:beforeAutospacing="0" w:after="0" w:afterAutospacing="0"/>
                    <w:ind w:left="0" w:right="0"/>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800</w:t>
                  </w:r>
                </w:p>
              </w:tc>
              <w:tc>
                <w:tcPr>
                  <w:tcW w:w="1493" w:type="pct"/>
                  <w:noWrap w:val="0"/>
                  <w:vAlign w:val="center"/>
                </w:tcPr>
                <w:p>
                  <w:pPr>
                    <w:keepNext w:val="0"/>
                    <w:keepLines w:val="0"/>
                    <w:suppressLineNumbers w:val="0"/>
                    <w:spacing w:before="0" w:beforeAutospacing="0" w:after="0" w:afterAutospacing="0"/>
                    <w:ind w:left="0" w:right="0"/>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pct"/>
                  <w:gridSpan w:val="2"/>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最小凹曲线半径（</w:t>
                  </w:r>
                  <w:r>
                    <w:rPr>
                      <w:rFonts w:hint="eastAsia" w:ascii="宋体" w:hAnsi="宋体"/>
                      <w:color w:val="000000" w:themeColor="text1"/>
                      <w:szCs w:val="21"/>
                      <w:highlight w:val="none"/>
                      <w:lang w:eastAsia="zh-CN"/>
                      <w14:textFill>
                        <w14:solidFill>
                          <w14:schemeClr w14:val="tx1"/>
                        </w14:solidFill>
                      </w14:textFill>
                    </w:rPr>
                    <w:t>一般</w:t>
                  </w:r>
                  <w:r>
                    <w:rPr>
                      <w:rFonts w:hint="eastAsia" w:ascii="宋体" w:hAnsi="宋体"/>
                      <w:color w:val="000000" w:themeColor="text1"/>
                      <w:szCs w:val="21"/>
                      <w:highlight w:val="none"/>
                      <w14:textFill>
                        <w14:solidFill>
                          <w14:schemeClr w14:val="tx1"/>
                        </w14:solidFill>
                      </w14:textFill>
                    </w:rPr>
                    <w:t>值）</w:t>
                  </w:r>
                </w:p>
              </w:tc>
              <w:tc>
                <w:tcPr>
                  <w:tcW w:w="449"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m</w:t>
                  </w:r>
                </w:p>
              </w:tc>
              <w:tc>
                <w:tcPr>
                  <w:tcW w:w="1117" w:type="pct"/>
                  <w:noWrap w:val="0"/>
                  <w:vAlign w:val="center"/>
                </w:tcPr>
                <w:p>
                  <w:pPr>
                    <w:keepNext w:val="0"/>
                    <w:keepLines w:val="0"/>
                    <w:suppressLineNumbers w:val="0"/>
                    <w:spacing w:before="0" w:beforeAutospacing="0" w:after="0" w:afterAutospacing="0"/>
                    <w:ind w:left="0" w:right="0"/>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500</w:t>
                  </w:r>
                </w:p>
              </w:tc>
              <w:tc>
                <w:tcPr>
                  <w:tcW w:w="1493" w:type="pct"/>
                  <w:noWrap w:val="0"/>
                  <w:vAlign w:val="center"/>
                </w:tcPr>
                <w:p>
                  <w:pPr>
                    <w:keepNext w:val="0"/>
                    <w:keepLines w:val="0"/>
                    <w:suppressLineNumbers w:val="0"/>
                    <w:spacing w:before="0" w:beforeAutospacing="0" w:after="0" w:afterAutospacing="0"/>
                    <w:ind w:left="0" w:right="0"/>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pct"/>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平曲线最小长度</w:t>
                  </w:r>
                </w:p>
              </w:tc>
              <w:tc>
                <w:tcPr>
                  <w:tcW w:w="1025"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一般值</w:t>
                  </w:r>
                </w:p>
              </w:tc>
              <w:tc>
                <w:tcPr>
                  <w:tcW w:w="449"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m</w:t>
                  </w:r>
                </w:p>
              </w:tc>
              <w:tc>
                <w:tcPr>
                  <w:tcW w:w="1117" w:type="pct"/>
                  <w:noWrap w:val="0"/>
                  <w:vAlign w:val="center"/>
                </w:tcPr>
                <w:p>
                  <w:pPr>
                    <w:keepNext w:val="0"/>
                    <w:keepLines w:val="0"/>
                    <w:suppressLineNumbers w:val="0"/>
                    <w:spacing w:before="0" w:beforeAutospacing="0" w:after="0" w:afterAutospacing="0"/>
                    <w:ind w:left="-63" w:leftChars="-31" w:right="-73" w:rightChars="-35" w:hanging="2"/>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150</w:t>
                  </w:r>
                </w:p>
              </w:tc>
              <w:tc>
                <w:tcPr>
                  <w:tcW w:w="1493" w:type="pct"/>
                  <w:vMerge w:val="restart"/>
                  <w:noWrap w:val="0"/>
                  <w:vAlign w:val="center"/>
                </w:tcPr>
                <w:p>
                  <w:pPr>
                    <w:keepNext w:val="0"/>
                    <w:keepLines w:val="0"/>
                    <w:suppressLineNumbers w:val="0"/>
                    <w:spacing w:before="0" w:beforeAutospacing="0" w:after="0" w:afterAutospacing="0"/>
                    <w:ind w:left="0" w:right="0"/>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243.43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pct"/>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p>
              </w:tc>
              <w:tc>
                <w:tcPr>
                  <w:tcW w:w="1025"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极限值</w:t>
                  </w:r>
                </w:p>
              </w:tc>
              <w:tc>
                <w:tcPr>
                  <w:tcW w:w="449"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m</w:t>
                  </w:r>
                </w:p>
              </w:tc>
              <w:tc>
                <w:tcPr>
                  <w:tcW w:w="1117" w:type="pct"/>
                  <w:noWrap w:val="0"/>
                  <w:vAlign w:val="center"/>
                </w:tcPr>
                <w:p>
                  <w:pPr>
                    <w:keepNext w:val="0"/>
                    <w:keepLines w:val="0"/>
                    <w:suppressLineNumbers w:val="0"/>
                    <w:spacing w:before="0" w:beforeAutospacing="0" w:after="0" w:afterAutospacing="0"/>
                    <w:ind w:left="-63" w:leftChars="-31" w:right="-73" w:rightChars="-35" w:hanging="2"/>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100</w:t>
                  </w:r>
                </w:p>
              </w:tc>
              <w:tc>
                <w:tcPr>
                  <w:tcW w:w="1493" w:type="pct"/>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pct"/>
                  <w:gridSpan w:val="2"/>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缓和曲线最小长度</w:t>
                  </w:r>
                </w:p>
              </w:tc>
              <w:tc>
                <w:tcPr>
                  <w:tcW w:w="449"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m</w:t>
                  </w:r>
                </w:p>
              </w:tc>
              <w:tc>
                <w:tcPr>
                  <w:tcW w:w="1117"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50</w:t>
                  </w:r>
                </w:p>
              </w:tc>
              <w:tc>
                <w:tcPr>
                  <w:tcW w:w="1493" w:type="pct"/>
                  <w:noWrap w:val="0"/>
                  <w:vAlign w:val="center"/>
                </w:tcPr>
                <w:p>
                  <w:pPr>
                    <w:keepNext w:val="0"/>
                    <w:keepLines w:val="0"/>
                    <w:suppressLineNumbers w:val="0"/>
                    <w:spacing w:before="0" w:beforeAutospacing="0" w:after="0" w:afterAutospacing="0"/>
                    <w:ind w:left="0" w:right="0"/>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pct"/>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竖曲线最小长度</w:t>
                  </w:r>
                </w:p>
              </w:tc>
              <w:tc>
                <w:tcPr>
                  <w:tcW w:w="1025"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一般值</w:t>
                  </w:r>
                </w:p>
              </w:tc>
              <w:tc>
                <w:tcPr>
                  <w:tcW w:w="449"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m</w:t>
                  </w:r>
                </w:p>
              </w:tc>
              <w:tc>
                <w:tcPr>
                  <w:tcW w:w="1117" w:type="pct"/>
                  <w:noWrap w:val="0"/>
                  <w:vAlign w:val="center"/>
                </w:tcPr>
                <w:p>
                  <w:pPr>
                    <w:keepNext w:val="0"/>
                    <w:keepLines w:val="0"/>
                    <w:suppressLineNumbers w:val="0"/>
                    <w:spacing w:before="0" w:beforeAutospacing="0" w:after="0" w:afterAutospacing="0"/>
                    <w:ind w:left="-63" w:leftChars="-31" w:right="-73" w:rightChars="-35" w:hanging="2"/>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120</w:t>
                  </w:r>
                </w:p>
              </w:tc>
              <w:tc>
                <w:tcPr>
                  <w:tcW w:w="1493" w:type="pct"/>
                  <w:vMerge w:val="restart"/>
                  <w:noWrap w:val="0"/>
                  <w:vAlign w:val="center"/>
                </w:tcPr>
                <w:p>
                  <w:pPr>
                    <w:keepNext w:val="0"/>
                    <w:keepLines w:val="0"/>
                    <w:suppressLineNumbers w:val="0"/>
                    <w:spacing w:before="0" w:beforeAutospacing="0" w:after="0" w:afterAutospacing="0"/>
                    <w:ind w:left="0" w:right="0"/>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pct"/>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p>
              </w:tc>
              <w:tc>
                <w:tcPr>
                  <w:tcW w:w="1025"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极限值</w:t>
                  </w:r>
                </w:p>
              </w:tc>
              <w:tc>
                <w:tcPr>
                  <w:tcW w:w="449"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m</w:t>
                  </w:r>
                </w:p>
              </w:tc>
              <w:tc>
                <w:tcPr>
                  <w:tcW w:w="1117" w:type="pct"/>
                  <w:noWrap w:val="0"/>
                  <w:vAlign w:val="center"/>
                </w:tcPr>
                <w:p>
                  <w:pPr>
                    <w:keepNext w:val="0"/>
                    <w:keepLines w:val="0"/>
                    <w:suppressLineNumbers w:val="0"/>
                    <w:spacing w:before="0" w:beforeAutospacing="0" w:after="0" w:afterAutospacing="0"/>
                    <w:ind w:left="-63" w:leftChars="-31" w:right="-73" w:rightChars="-35" w:hanging="2"/>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50</w:t>
                  </w:r>
                </w:p>
              </w:tc>
              <w:tc>
                <w:tcPr>
                  <w:tcW w:w="1493" w:type="pct"/>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桥梁净空</w:t>
                  </w:r>
                </w:p>
              </w:tc>
              <w:tc>
                <w:tcPr>
                  <w:tcW w:w="1025"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城市道路</w:t>
                  </w:r>
                </w:p>
              </w:tc>
              <w:tc>
                <w:tcPr>
                  <w:tcW w:w="449"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m</w:t>
                  </w:r>
                </w:p>
              </w:tc>
              <w:tc>
                <w:tcPr>
                  <w:tcW w:w="1117" w:type="pct"/>
                  <w:noWrap w:val="0"/>
                  <w:vAlign w:val="center"/>
                </w:tcPr>
                <w:p>
                  <w:pPr>
                    <w:keepNext w:val="0"/>
                    <w:keepLines w:val="0"/>
                    <w:suppressLineNumbers w:val="0"/>
                    <w:spacing w:before="0" w:beforeAutospacing="0" w:after="0" w:afterAutospacing="0"/>
                    <w:ind w:left="-63" w:leftChars="-31" w:right="-73" w:rightChars="-35" w:hanging="2"/>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4.5</w:t>
                  </w:r>
                </w:p>
              </w:tc>
              <w:tc>
                <w:tcPr>
                  <w:tcW w:w="1493"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pct"/>
                  <w:gridSpan w:val="2"/>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荷载标准</w:t>
                  </w:r>
                </w:p>
              </w:tc>
              <w:tc>
                <w:tcPr>
                  <w:tcW w:w="3060" w:type="pct"/>
                  <w:gridSpan w:val="3"/>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桥涵：城市—A级</w:t>
                  </w:r>
                </w:p>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人群：按《城市</w:t>
                  </w:r>
                  <w:r>
                    <w:rPr>
                      <w:rFonts w:ascii="宋体" w:hAnsi="宋体"/>
                      <w:color w:val="000000" w:themeColor="text1"/>
                      <w:szCs w:val="21"/>
                      <w:highlight w:val="none"/>
                      <w14:textFill>
                        <w14:solidFill>
                          <w14:schemeClr w14:val="tx1"/>
                        </w14:solidFill>
                      </w14:textFill>
                    </w:rPr>
                    <w:t>桥梁设计规范</w:t>
                  </w:r>
                  <w:r>
                    <w:rPr>
                      <w:rFonts w:hint="eastAsia" w:ascii="宋体" w:hAnsi="宋体"/>
                      <w:color w:val="000000" w:themeColor="text1"/>
                      <w:szCs w:val="21"/>
                      <w:highlight w:val="none"/>
                      <w14:textFill>
                        <w14:solidFill>
                          <w14:schemeClr w14:val="tx1"/>
                        </w14:solidFill>
                      </w14:textFill>
                    </w:rPr>
                    <w:t>》计算取值</w:t>
                  </w:r>
                </w:p>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路面：标准轴载BZZ—100KN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pct"/>
                  <w:gridSpan w:val="2"/>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设计年限</w:t>
                  </w:r>
                </w:p>
              </w:tc>
              <w:tc>
                <w:tcPr>
                  <w:tcW w:w="3060" w:type="pct"/>
                  <w:gridSpan w:val="3"/>
                  <w:noWrap w:val="0"/>
                  <w:vAlign w:val="center"/>
                </w:tcPr>
                <w:p>
                  <w:pPr>
                    <w:keepNext w:val="0"/>
                    <w:keepLines w:val="0"/>
                    <w:suppressLineNumbers w:val="0"/>
                    <w:spacing w:before="0" w:beforeAutospacing="0" w:after="0" w:afterAutospacing="0"/>
                    <w:ind w:left="0" w:right="0" w:firstLine="315" w:firstLineChars="15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道路交通量达到饱和时的设计年限20年</w:t>
                  </w:r>
                </w:p>
                <w:p>
                  <w:pPr>
                    <w:keepNext w:val="0"/>
                    <w:keepLines w:val="0"/>
                    <w:suppressLineNumbers w:val="0"/>
                    <w:spacing w:before="0" w:beforeAutospacing="0" w:after="0" w:afterAutospacing="0"/>
                    <w:ind w:left="0" w:right="0" w:firstLine="315" w:firstLineChars="15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路面结构设计使用年限15年（沥青混凝土路面）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pct"/>
                  <w:gridSpan w:val="2"/>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基本地震烈度</w:t>
                  </w:r>
                </w:p>
              </w:tc>
              <w:tc>
                <w:tcPr>
                  <w:tcW w:w="3060" w:type="pct"/>
                  <w:gridSpan w:val="3"/>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基本烈度6度，构造设防7度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pct"/>
                  <w:gridSpan w:val="2"/>
                  <w:noWrap w:val="0"/>
                  <w:vAlign w:val="top"/>
                </w:tcPr>
                <w:p>
                  <w:pPr>
                    <w:keepNext w:val="0"/>
                    <w:keepLines w:val="0"/>
                    <w:suppressLineNumbers w:val="0"/>
                    <w:spacing w:before="0" w:beforeAutospacing="0" w:after="0" w:afterAutospacing="0" w:line="460" w:lineRule="exact"/>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轴载次数</w:t>
                  </w:r>
                </w:p>
              </w:tc>
              <w:tc>
                <w:tcPr>
                  <w:tcW w:w="3060" w:type="pct"/>
                  <w:gridSpan w:val="3"/>
                  <w:noWrap w:val="0"/>
                  <w:vAlign w:val="top"/>
                </w:tcPr>
                <w:p>
                  <w:pPr>
                    <w:keepNext w:val="0"/>
                    <w:keepLines w:val="0"/>
                    <w:suppressLineNumbers w:val="0"/>
                    <w:spacing w:before="0" w:beforeAutospacing="0" w:after="0" w:afterAutospacing="0" w:line="460" w:lineRule="exact"/>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2025</w:t>
                  </w:r>
                  <w:r>
                    <w:rPr>
                      <w:rFonts w:ascii="宋体" w:hAnsi="宋体"/>
                      <w:color w:val="000000" w:themeColor="text1"/>
                      <w:szCs w:val="21"/>
                      <w:highlight w:val="none"/>
                      <w14:textFill>
                        <w14:solidFill>
                          <w14:schemeClr w14:val="tx1"/>
                        </w14:solidFill>
                      </w14:textFill>
                    </w:rPr>
                    <w:t>3700</w:t>
                  </w:r>
                  <w:r>
                    <w:rPr>
                      <w:rFonts w:hint="eastAsia" w:ascii="宋体" w:hAnsi="宋体"/>
                      <w:color w:val="000000" w:themeColor="text1"/>
                      <w:szCs w:val="21"/>
                      <w:highlight w:val="none"/>
                      <w14:textFill>
                        <w14:solidFill>
                          <w14:schemeClr w14:val="tx1"/>
                        </w14:solidFill>
                      </w14:textFill>
                    </w:rPr>
                    <w:t>（次/车道）</w:t>
                  </w:r>
                </w:p>
              </w:tc>
            </w:tr>
          </w:tbl>
          <w:p>
            <w:pPr>
              <w:keepNext w:val="0"/>
              <w:keepLines w:val="0"/>
              <w:suppressLineNumbers w:val="0"/>
              <w:autoSpaceDE w:val="0"/>
              <w:autoSpaceDN w:val="0"/>
              <w:spacing w:before="0" w:beforeAutospacing="0" w:after="0" w:afterAutospacing="0" w:line="360" w:lineRule="auto"/>
              <w:ind w:left="0" w:right="0"/>
              <w:jc w:val="center"/>
              <w:rPr>
                <w:b/>
                <w:color w:val="000000" w:themeColor="text1"/>
                <w:kern w:val="0"/>
                <w:sz w:val="24"/>
                <w:highlight w:val="none"/>
                <w14:textFill>
                  <w14:solidFill>
                    <w14:schemeClr w14:val="tx1"/>
                  </w14:solidFill>
                </w14:textFill>
              </w:rPr>
            </w:pP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表2-2  主要技术指标表（底平层）</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2"/>
              <w:gridCol w:w="1823"/>
              <w:gridCol w:w="798"/>
              <w:gridCol w:w="1986"/>
              <w:gridCol w:w="2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pct"/>
                  <w:gridSpan w:val="2"/>
                  <w:noWrap w:val="0"/>
                  <w:vAlign w:val="center"/>
                </w:tcPr>
                <w:p>
                  <w:pPr>
                    <w:keepNext w:val="0"/>
                    <w:keepLines w:val="0"/>
                    <w:suppressLineNumbers w:val="0"/>
                    <w:spacing w:before="0" w:beforeAutospacing="0" w:after="0" w:afterAutospacing="0"/>
                    <w:ind w:left="0" w:right="0"/>
                    <w:jc w:val="center"/>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主要技术指标</w:t>
                  </w:r>
                </w:p>
              </w:tc>
              <w:tc>
                <w:tcPr>
                  <w:tcW w:w="449" w:type="pct"/>
                  <w:noWrap w:val="0"/>
                  <w:vAlign w:val="center"/>
                </w:tcPr>
                <w:p>
                  <w:pPr>
                    <w:keepNext w:val="0"/>
                    <w:keepLines w:val="0"/>
                    <w:suppressLineNumbers w:val="0"/>
                    <w:spacing w:before="0" w:beforeAutospacing="0" w:after="0" w:afterAutospacing="0"/>
                    <w:ind w:left="0" w:right="0"/>
                    <w:jc w:val="center"/>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单位</w:t>
                  </w:r>
                </w:p>
              </w:tc>
              <w:tc>
                <w:tcPr>
                  <w:tcW w:w="1118" w:type="pct"/>
                  <w:noWrap w:val="0"/>
                  <w:vAlign w:val="center"/>
                </w:tcPr>
                <w:p>
                  <w:pPr>
                    <w:keepNext w:val="0"/>
                    <w:keepLines w:val="0"/>
                    <w:suppressLineNumbers w:val="0"/>
                    <w:spacing w:before="0" w:beforeAutospacing="0" w:after="0" w:afterAutospacing="0"/>
                    <w:ind w:left="0" w:right="0"/>
                    <w:jc w:val="center"/>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规范标准值</w:t>
                  </w:r>
                </w:p>
              </w:tc>
              <w:tc>
                <w:tcPr>
                  <w:tcW w:w="1492" w:type="pct"/>
                  <w:noWrap w:val="0"/>
                  <w:vAlign w:val="center"/>
                </w:tcPr>
                <w:p>
                  <w:pPr>
                    <w:keepNext w:val="0"/>
                    <w:keepLines w:val="0"/>
                    <w:suppressLineNumbers w:val="0"/>
                    <w:spacing w:before="0" w:beforeAutospacing="0" w:after="0" w:afterAutospacing="0"/>
                    <w:ind w:left="0" w:right="0"/>
                    <w:jc w:val="center"/>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设计采用值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pct"/>
                  <w:gridSpan w:val="2"/>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道路等级</w:t>
                  </w:r>
                </w:p>
              </w:tc>
              <w:tc>
                <w:tcPr>
                  <w:tcW w:w="449" w:type="pct"/>
                  <w:noWrap w:val="0"/>
                  <w:vAlign w:val="center"/>
                </w:tcPr>
                <w:p>
                  <w:pPr>
                    <w:keepNext w:val="0"/>
                    <w:keepLines w:val="0"/>
                    <w:suppressLineNumbers w:val="0"/>
                    <w:spacing w:before="0" w:beforeAutospacing="0" w:after="0" w:afterAutospacing="0"/>
                    <w:ind w:left="0" w:right="0" w:firstLine="420" w:firstLineChars="200"/>
                    <w:jc w:val="center"/>
                    <w:rPr>
                      <w:rFonts w:hint="eastAsia" w:ascii="宋体" w:hAnsi="宋体"/>
                      <w:color w:val="000000" w:themeColor="text1"/>
                      <w:szCs w:val="21"/>
                      <w:highlight w:val="none"/>
                      <w14:textFill>
                        <w14:solidFill>
                          <w14:schemeClr w14:val="tx1"/>
                        </w14:solidFill>
                      </w14:textFill>
                    </w:rPr>
                  </w:pPr>
                </w:p>
              </w:tc>
              <w:tc>
                <w:tcPr>
                  <w:tcW w:w="1118"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城市主干路</w:t>
                  </w:r>
                </w:p>
              </w:tc>
              <w:tc>
                <w:tcPr>
                  <w:tcW w:w="1492"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城市主干路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pct"/>
                  <w:gridSpan w:val="2"/>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设计速度</w:t>
                  </w:r>
                </w:p>
              </w:tc>
              <w:tc>
                <w:tcPr>
                  <w:tcW w:w="449"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km/h</w:t>
                  </w:r>
                </w:p>
              </w:tc>
              <w:tc>
                <w:tcPr>
                  <w:tcW w:w="1118" w:type="pct"/>
                  <w:noWrap w:val="0"/>
                  <w:vAlign w:val="center"/>
                </w:tcPr>
                <w:p>
                  <w:pPr>
                    <w:keepNext w:val="0"/>
                    <w:keepLines w:val="0"/>
                    <w:suppressLineNumbers w:val="0"/>
                    <w:spacing w:before="0" w:beforeAutospacing="0" w:after="0" w:afterAutospacing="0"/>
                    <w:ind w:left="0" w:right="0"/>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50</w:t>
                  </w:r>
                </w:p>
              </w:tc>
              <w:tc>
                <w:tcPr>
                  <w:tcW w:w="1492"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pct"/>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设超高圆曲线最小半径</w:t>
                  </w:r>
                </w:p>
              </w:tc>
              <w:tc>
                <w:tcPr>
                  <w:tcW w:w="1025"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一般值</w:t>
                  </w:r>
                </w:p>
              </w:tc>
              <w:tc>
                <w:tcPr>
                  <w:tcW w:w="449"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m</w:t>
                  </w:r>
                </w:p>
              </w:tc>
              <w:tc>
                <w:tcPr>
                  <w:tcW w:w="1118" w:type="pct"/>
                  <w:noWrap w:val="0"/>
                  <w:vAlign w:val="center"/>
                </w:tcPr>
                <w:p>
                  <w:pPr>
                    <w:keepNext w:val="0"/>
                    <w:keepLines w:val="0"/>
                    <w:suppressLineNumbers w:val="0"/>
                    <w:spacing w:before="0" w:beforeAutospacing="0" w:after="0" w:afterAutospacing="0"/>
                    <w:ind w:left="-63" w:leftChars="-31" w:right="-73" w:rightChars="-35" w:hanging="2"/>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200</w:t>
                  </w:r>
                </w:p>
              </w:tc>
              <w:tc>
                <w:tcPr>
                  <w:tcW w:w="1492" w:type="pct"/>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pct"/>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p>
              </w:tc>
              <w:tc>
                <w:tcPr>
                  <w:tcW w:w="1025"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极限值</w:t>
                  </w:r>
                </w:p>
              </w:tc>
              <w:tc>
                <w:tcPr>
                  <w:tcW w:w="449"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m</w:t>
                  </w:r>
                </w:p>
              </w:tc>
              <w:tc>
                <w:tcPr>
                  <w:tcW w:w="1118" w:type="pct"/>
                  <w:noWrap w:val="0"/>
                  <w:vAlign w:val="center"/>
                </w:tcPr>
                <w:p>
                  <w:pPr>
                    <w:keepNext w:val="0"/>
                    <w:keepLines w:val="0"/>
                    <w:suppressLineNumbers w:val="0"/>
                    <w:spacing w:before="0" w:beforeAutospacing="0" w:after="0" w:afterAutospacing="0"/>
                    <w:ind w:left="-63" w:leftChars="-31" w:right="-73" w:rightChars="-35" w:hanging="2"/>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100</w:t>
                  </w:r>
                </w:p>
              </w:tc>
              <w:tc>
                <w:tcPr>
                  <w:tcW w:w="1492" w:type="pct"/>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pct"/>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最大纵坡</w:t>
                  </w:r>
                </w:p>
              </w:tc>
              <w:tc>
                <w:tcPr>
                  <w:tcW w:w="1025"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一般值</w:t>
                  </w:r>
                </w:p>
              </w:tc>
              <w:tc>
                <w:tcPr>
                  <w:tcW w:w="449"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118" w:type="pct"/>
                  <w:noWrap w:val="0"/>
                  <w:vAlign w:val="center"/>
                </w:tcPr>
                <w:p>
                  <w:pPr>
                    <w:keepNext w:val="0"/>
                    <w:keepLines w:val="0"/>
                    <w:suppressLineNumbers w:val="0"/>
                    <w:spacing w:before="0" w:beforeAutospacing="0" w:after="0" w:afterAutospacing="0"/>
                    <w:ind w:left="0" w:right="0"/>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w:t>
                  </w:r>
                  <w:r>
                    <w:rPr>
                      <w:rFonts w:hint="eastAsia" w:ascii="宋体" w:hAnsi="宋体"/>
                      <w:color w:val="000000" w:themeColor="text1"/>
                      <w:szCs w:val="21"/>
                      <w:highlight w:val="none"/>
                      <w:lang w:val="en-US" w:eastAsia="zh-CN"/>
                      <w14:textFill>
                        <w14:solidFill>
                          <w14:schemeClr w14:val="tx1"/>
                        </w14:solidFill>
                      </w14:textFill>
                    </w:rPr>
                    <w:t>.5</w:t>
                  </w:r>
                </w:p>
              </w:tc>
              <w:tc>
                <w:tcPr>
                  <w:tcW w:w="1492" w:type="pct"/>
                  <w:vMerge w:val="restart"/>
                  <w:noWrap w:val="0"/>
                  <w:vAlign w:val="center"/>
                </w:tcPr>
                <w:p>
                  <w:pPr>
                    <w:keepNext w:val="0"/>
                    <w:keepLines w:val="0"/>
                    <w:suppressLineNumbers w:val="0"/>
                    <w:spacing w:before="0" w:beforeAutospacing="0" w:after="0" w:afterAutospacing="0"/>
                    <w:ind w:left="0" w:right="0"/>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lang w:val="en-US" w:eastAsia="zh-CN"/>
                      <w14:textFill>
                        <w14:solidFill>
                          <w14:schemeClr w14:val="tx1"/>
                        </w14:solidFill>
                      </w14:textFill>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pct"/>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p>
              </w:tc>
              <w:tc>
                <w:tcPr>
                  <w:tcW w:w="1025"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极限值</w:t>
                  </w:r>
                </w:p>
              </w:tc>
              <w:tc>
                <w:tcPr>
                  <w:tcW w:w="449"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118"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w:t>
                  </w:r>
                </w:p>
              </w:tc>
              <w:tc>
                <w:tcPr>
                  <w:tcW w:w="1492" w:type="pct"/>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pct"/>
                  <w:gridSpan w:val="2"/>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最小纵坡</w:t>
                  </w:r>
                </w:p>
              </w:tc>
              <w:tc>
                <w:tcPr>
                  <w:tcW w:w="449"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118"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0.3</w:t>
                  </w:r>
                </w:p>
              </w:tc>
              <w:tc>
                <w:tcPr>
                  <w:tcW w:w="1492"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pct"/>
                  <w:gridSpan w:val="2"/>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最小坡长</w:t>
                  </w:r>
                </w:p>
              </w:tc>
              <w:tc>
                <w:tcPr>
                  <w:tcW w:w="449"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m</w:t>
                  </w:r>
                </w:p>
              </w:tc>
              <w:tc>
                <w:tcPr>
                  <w:tcW w:w="1118" w:type="pct"/>
                  <w:noWrap w:val="0"/>
                  <w:vAlign w:val="center"/>
                </w:tcPr>
                <w:p>
                  <w:pPr>
                    <w:keepNext w:val="0"/>
                    <w:keepLines w:val="0"/>
                    <w:suppressLineNumbers w:val="0"/>
                    <w:spacing w:before="0" w:beforeAutospacing="0" w:after="0" w:afterAutospacing="0"/>
                    <w:ind w:left="0" w:right="0"/>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30</w:t>
                  </w:r>
                </w:p>
              </w:tc>
              <w:tc>
                <w:tcPr>
                  <w:tcW w:w="1492" w:type="pct"/>
                  <w:noWrap w:val="0"/>
                  <w:vAlign w:val="center"/>
                </w:tcPr>
                <w:p>
                  <w:pPr>
                    <w:keepNext w:val="0"/>
                    <w:keepLines w:val="0"/>
                    <w:suppressLineNumbers w:val="0"/>
                    <w:spacing w:before="0" w:beforeAutospacing="0" w:after="0" w:afterAutospacing="0"/>
                    <w:ind w:left="0" w:right="0"/>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pct"/>
                  <w:gridSpan w:val="2"/>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最小凸曲线半径（</w:t>
                  </w:r>
                  <w:r>
                    <w:rPr>
                      <w:rFonts w:hint="eastAsia" w:ascii="宋体" w:hAnsi="宋体"/>
                      <w:color w:val="000000" w:themeColor="text1"/>
                      <w:szCs w:val="21"/>
                      <w:highlight w:val="none"/>
                      <w:lang w:eastAsia="zh-CN"/>
                      <w14:textFill>
                        <w14:solidFill>
                          <w14:schemeClr w14:val="tx1"/>
                        </w14:solidFill>
                      </w14:textFill>
                    </w:rPr>
                    <w:t>一般</w:t>
                  </w:r>
                  <w:r>
                    <w:rPr>
                      <w:rFonts w:hint="eastAsia" w:ascii="宋体" w:hAnsi="宋体"/>
                      <w:color w:val="000000" w:themeColor="text1"/>
                      <w:szCs w:val="21"/>
                      <w:highlight w:val="none"/>
                      <w14:textFill>
                        <w14:solidFill>
                          <w14:schemeClr w14:val="tx1"/>
                        </w14:solidFill>
                      </w14:textFill>
                    </w:rPr>
                    <w:t>值）</w:t>
                  </w:r>
                </w:p>
              </w:tc>
              <w:tc>
                <w:tcPr>
                  <w:tcW w:w="449"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m</w:t>
                  </w:r>
                </w:p>
              </w:tc>
              <w:tc>
                <w:tcPr>
                  <w:tcW w:w="1118" w:type="pct"/>
                  <w:noWrap w:val="0"/>
                  <w:vAlign w:val="center"/>
                </w:tcPr>
                <w:p>
                  <w:pPr>
                    <w:keepNext w:val="0"/>
                    <w:keepLines w:val="0"/>
                    <w:suppressLineNumbers w:val="0"/>
                    <w:spacing w:before="0" w:beforeAutospacing="0" w:after="0" w:afterAutospacing="0"/>
                    <w:ind w:left="0" w:right="0"/>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1050</w:t>
                  </w:r>
                </w:p>
              </w:tc>
              <w:tc>
                <w:tcPr>
                  <w:tcW w:w="1492" w:type="pct"/>
                  <w:noWrap w:val="0"/>
                  <w:vAlign w:val="center"/>
                </w:tcPr>
                <w:p>
                  <w:pPr>
                    <w:keepNext w:val="0"/>
                    <w:keepLines w:val="0"/>
                    <w:suppressLineNumbers w:val="0"/>
                    <w:spacing w:before="0" w:beforeAutospacing="0" w:after="0" w:afterAutospacing="0"/>
                    <w:ind w:left="0" w:right="0"/>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eastAsia="宋体"/>
                      <w:color w:val="000000" w:themeColor="text1"/>
                      <w:szCs w:val="21"/>
                      <w:highlight w:val="none"/>
                      <w:lang w:val="en-US" w:eastAsia="zh-CN"/>
                      <w14:textFill>
                        <w14:solidFill>
                          <w14:schemeClr w14:val="tx1"/>
                        </w14:solidFill>
                      </w14:textFill>
                    </w:rPr>
                    <w:t>1250</w:t>
                  </w:r>
                  <w:r>
                    <w:rPr>
                      <w:rFonts w:hint="eastAsia" w:ascii="宋体" w:hAnsi="宋体"/>
                      <w:color w:val="000000" w:themeColor="text1"/>
                      <w:szCs w:val="21"/>
                      <w:highlight w:val="none"/>
                      <w:lang w:val="en-US" w:eastAsia="zh-CN"/>
                      <w14:textFill>
                        <w14:solidFill>
                          <w14:schemeClr w14:val="tx1"/>
                        </w14:solidFill>
                      </w14:textFill>
                    </w:rPr>
                    <w:t>（三期现状）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pct"/>
                  <w:gridSpan w:val="2"/>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最小凹曲线半径（</w:t>
                  </w:r>
                  <w:r>
                    <w:rPr>
                      <w:rFonts w:hint="eastAsia" w:ascii="宋体" w:hAnsi="宋体"/>
                      <w:color w:val="000000" w:themeColor="text1"/>
                      <w:szCs w:val="21"/>
                      <w:highlight w:val="none"/>
                      <w:lang w:eastAsia="zh-CN"/>
                      <w14:textFill>
                        <w14:solidFill>
                          <w14:schemeClr w14:val="tx1"/>
                        </w14:solidFill>
                      </w14:textFill>
                    </w:rPr>
                    <w:t>一般</w:t>
                  </w:r>
                  <w:r>
                    <w:rPr>
                      <w:rFonts w:hint="eastAsia" w:ascii="宋体" w:hAnsi="宋体"/>
                      <w:color w:val="000000" w:themeColor="text1"/>
                      <w:szCs w:val="21"/>
                      <w:highlight w:val="none"/>
                      <w14:textFill>
                        <w14:solidFill>
                          <w14:schemeClr w14:val="tx1"/>
                        </w14:solidFill>
                      </w14:textFill>
                    </w:rPr>
                    <w:t>值）</w:t>
                  </w:r>
                </w:p>
              </w:tc>
              <w:tc>
                <w:tcPr>
                  <w:tcW w:w="449"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m</w:t>
                  </w:r>
                </w:p>
              </w:tc>
              <w:tc>
                <w:tcPr>
                  <w:tcW w:w="1118" w:type="pct"/>
                  <w:noWrap w:val="0"/>
                  <w:vAlign w:val="center"/>
                </w:tcPr>
                <w:p>
                  <w:pPr>
                    <w:keepNext w:val="0"/>
                    <w:keepLines w:val="0"/>
                    <w:suppressLineNumbers w:val="0"/>
                    <w:spacing w:before="0" w:beforeAutospacing="0" w:after="0" w:afterAutospacing="0"/>
                    <w:ind w:left="0" w:right="0"/>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1050</w:t>
                  </w:r>
                </w:p>
              </w:tc>
              <w:tc>
                <w:tcPr>
                  <w:tcW w:w="1492" w:type="pct"/>
                  <w:noWrap w:val="0"/>
                  <w:vAlign w:val="center"/>
                </w:tcPr>
                <w:p>
                  <w:pPr>
                    <w:keepNext w:val="0"/>
                    <w:keepLines w:val="0"/>
                    <w:suppressLineNumbers w:val="0"/>
                    <w:spacing w:before="0" w:beforeAutospacing="0" w:after="0" w:afterAutospacing="0"/>
                    <w:ind w:left="0" w:right="0"/>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3500（环城路以西）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pct"/>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平曲线最小长度</w:t>
                  </w:r>
                </w:p>
              </w:tc>
              <w:tc>
                <w:tcPr>
                  <w:tcW w:w="1025"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一般值</w:t>
                  </w:r>
                </w:p>
              </w:tc>
              <w:tc>
                <w:tcPr>
                  <w:tcW w:w="449"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m</w:t>
                  </w:r>
                </w:p>
              </w:tc>
              <w:tc>
                <w:tcPr>
                  <w:tcW w:w="1118" w:type="pct"/>
                  <w:noWrap w:val="0"/>
                  <w:vAlign w:val="center"/>
                </w:tcPr>
                <w:p>
                  <w:pPr>
                    <w:keepNext w:val="0"/>
                    <w:keepLines w:val="0"/>
                    <w:suppressLineNumbers w:val="0"/>
                    <w:spacing w:before="0" w:beforeAutospacing="0" w:after="0" w:afterAutospacing="0"/>
                    <w:ind w:left="-63" w:leftChars="-31" w:right="-73" w:rightChars="-35" w:hanging="2"/>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130</w:t>
                  </w:r>
                </w:p>
              </w:tc>
              <w:tc>
                <w:tcPr>
                  <w:tcW w:w="1492" w:type="pct"/>
                  <w:vMerge w:val="restart"/>
                  <w:noWrap w:val="0"/>
                  <w:vAlign w:val="center"/>
                </w:tcPr>
                <w:p>
                  <w:pPr>
                    <w:keepNext w:val="0"/>
                    <w:keepLines w:val="0"/>
                    <w:suppressLineNumbers w:val="0"/>
                    <w:spacing w:before="0" w:beforeAutospacing="0" w:after="0" w:afterAutospacing="0"/>
                    <w:ind w:left="0" w:right="0"/>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243.43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pct"/>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p>
              </w:tc>
              <w:tc>
                <w:tcPr>
                  <w:tcW w:w="1025"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极限值</w:t>
                  </w:r>
                </w:p>
              </w:tc>
              <w:tc>
                <w:tcPr>
                  <w:tcW w:w="449"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m</w:t>
                  </w:r>
                </w:p>
              </w:tc>
              <w:tc>
                <w:tcPr>
                  <w:tcW w:w="1118" w:type="pct"/>
                  <w:noWrap w:val="0"/>
                  <w:vAlign w:val="center"/>
                </w:tcPr>
                <w:p>
                  <w:pPr>
                    <w:keepNext w:val="0"/>
                    <w:keepLines w:val="0"/>
                    <w:suppressLineNumbers w:val="0"/>
                    <w:spacing w:before="0" w:beforeAutospacing="0" w:after="0" w:afterAutospacing="0"/>
                    <w:ind w:left="-63" w:leftChars="-31" w:right="-73" w:rightChars="-35" w:hanging="2"/>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85</w:t>
                  </w:r>
                </w:p>
              </w:tc>
              <w:tc>
                <w:tcPr>
                  <w:tcW w:w="1492" w:type="pct"/>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pct"/>
                  <w:gridSpan w:val="2"/>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缓和曲线最小长度</w:t>
                  </w:r>
                </w:p>
              </w:tc>
              <w:tc>
                <w:tcPr>
                  <w:tcW w:w="449"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m</w:t>
                  </w:r>
                </w:p>
              </w:tc>
              <w:tc>
                <w:tcPr>
                  <w:tcW w:w="1118" w:type="pct"/>
                  <w:noWrap w:val="0"/>
                  <w:vAlign w:val="center"/>
                </w:tcPr>
                <w:p>
                  <w:pPr>
                    <w:keepNext w:val="0"/>
                    <w:keepLines w:val="0"/>
                    <w:suppressLineNumbers w:val="0"/>
                    <w:spacing w:before="0" w:beforeAutospacing="0" w:after="0" w:afterAutospacing="0"/>
                    <w:ind w:left="0" w:right="0"/>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45</w:t>
                  </w:r>
                </w:p>
              </w:tc>
              <w:tc>
                <w:tcPr>
                  <w:tcW w:w="1492" w:type="pct"/>
                  <w:noWrap w:val="0"/>
                  <w:vAlign w:val="center"/>
                </w:tcPr>
                <w:p>
                  <w:pPr>
                    <w:keepNext w:val="0"/>
                    <w:keepLines w:val="0"/>
                    <w:suppressLineNumbers w:val="0"/>
                    <w:spacing w:before="0" w:beforeAutospacing="0" w:after="0" w:afterAutospacing="0"/>
                    <w:ind w:left="0" w:right="0"/>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pct"/>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竖曲线最小长度</w:t>
                  </w:r>
                </w:p>
              </w:tc>
              <w:tc>
                <w:tcPr>
                  <w:tcW w:w="1025"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一般值</w:t>
                  </w:r>
                </w:p>
              </w:tc>
              <w:tc>
                <w:tcPr>
                  <w:tcW w:w="449"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m</w:t>
                  </w:r>
                </w:p>
              </w:tc>
              <w:tc>
                <w:tcPr>
                  <w:tcW w:w="1118" w:type="pct"/>
                  <w:noWrap w:val="0"/>
                  <w:vAlign w:val="center"/>
                </w:tcPr>
                <w:p>
                  <w:pPr>
                    <w:keepNext w:val="0"/>
                    <w:keepLines w:val="0"/>
                    <w:suppressLineNumbers w:val="0"/>
                    <w:spacing w:before="0" w:beforeAutospacing="0" w:after="0" w:afterAutospacing="0"/>
                    <w:ind w:left="-63" w:leftChars="-31" w:right="-73" w:rightChars="-35" w:hanging="2"/>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00</w:t>
                  </w:r>
                </w:p>
              </w:tc>
              <w:tc>
                <w:tcPr>
                  <w:tcW w:w="1492" w:type="pct"/>
                  <w:vMerge w:val="restart"/>
                  <w:noWrap w:val="0"/>
                  <w:vAlign w:val="center"/>
                </w:tcPr>
                <w:p>
                  <w:pPr>
                    <w:keepNext w:val="0"/>
                    <w:keepLines w:val="0"/>
                    <w:suppressLineNumbers w:val="0"/>
                    <w:spacing w:before="0" w:beforeAutospacing="0" w:after="0" w:afterAutospacing="0"/>
                    <w:ind w:left="0" w:right="0"/>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pct"/>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p>
              </w:tc>
              <w:tc>
                <w:tcPr>
                  <w:tcW w:w="1025"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极限值</w:t>
                  </w:r>
                </w:p>
              </w:tc>
              <w:tc>
                <w:tcPr>
                  <w:tcW w:w="449"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m</w:t>
                  </w:r>
                </w:p>
              </w:tc>
              <w:tc>
                <w:tcPr>
                  <w:tcW w:w="1118" w:type="pct"/>
                  <w:noWrap w:val="0"/>
                  <w:vAlign w:val="center"/>
                </w:tcPr>
                <w:p>
                  <w:pPr>
                    <w:keepNext w:val="0"/>
                    <w:keepLines w:val="0"/>
                    <w:suppressLineNumbers w:val="0"/>
                    <w:spacing w:before="0" w:beforeAutospacing="0" w:after="0" w:afterAutospacing="0"/>
                    <w:ind w:left="-63" w:leftChars="-31" w:right="-73" w:rightChars="-35" w:hanging="2"/>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40</w:t>
                  </w:r>
                </w:p>
              </w:tc>
              <w:tc>
                <w:tcPr>
                  <w:tcW w:w="1492" w:type="pct"/>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桥梁净空</w:t>
                  </w:r>
                </w:p>
              </w:tc>
              <w:tc>
                <w:tcPr>
                  <w:tcW w:w="1025"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城市道路</w:t>
                  </w:r>
                </w:p>
              </w:tc>
              <w:tc>
                <w:tcPr>
                  <w:tcW w:w="449"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m</w:t>
                  </w:r>
                </w:p>
              </w:tc>
              <w:tc>
                <w:tcPr>
                  <w:tcW w:w="1118" w:type="pct"/>
                  <w:noWrap w:val="0"/>
                  <w:vAlign w:val="center"/>
                </w:tcPr>
                <w:p>
                  <w:pPr>
                    <w:keepNext w:val="0"/>
                    <w:keepLines w:val="0"/>
                    <w:suppressLineNumbers w:val="0"/>
                    <w:spacing w:before="0" w:beforeAutospacing="0" w:after="0" w:afterAutospacing="0"/>
                    <w:ind w:left="-63" w:leftChars="-31" w:right="-73" w:rightChars="-35" w:hanging="2"/>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4.5</w:t>
                  </w:r>
                </w:p>
              </w:tc>
              <w:tc>
                <w:tcPr>
                  <w:tcW w:w="1492" w:type="pct"/>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pct"/>
                  <w:gridSpan w:val="2"/>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荷载标准</w:t>
                  </w:r>
                </w:p>
              </w:tc>
              <w:tc>
                <w:tcPr>
                  <w:tcW w:w="3060" w:type="pct"/>
                  <w:gridSpan w:val="3"/>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桥涵：城市—A级</w:t>
                  </w:r>
                </w:p>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人群：按《城市</w:t>
                  </w:r>
                  <w:r>
                    <w:rPr>
                      <w:rFonts w:ascii="宋体" w:hAnsi="宋体"/>
                      <w:color w:val="000000" w:themeColor="text1"/>
                      <w:szCs w:val="21"/>
                      <w:highlight w:val="none"/>
                      <w14:textFill>
                        <w14:solidFill>
                          <w14:schemeClr w14:val="tx1"/>
                        </w14:solidFill>
                      </w14:textFill>
                    </w:rPr>
                    <w:t>桥梁设计规范</w:t>
                  </w:r>
                  <w:r>
                    <w:rPr>
                      <w:rFonts w:hint="eastAsia" w:ascii="宋体" w:hAnsi="宋体"/>
                      <w:color w:val="000000" w:themeColor="text1"/>
                      <w:szCs w:val="21"/>
                      <w:highlight w:val="none"/>
                      <w14:textFill>
                        <w14:solidFill>
                          <w14:schemeClr w14:val="tx1"/>
                        </w14:solidFill>
                      </w14:textFill>
                    </w:rPr>
                    <w:t>》计算取值</w:t>
                  </w:r>
                </w:p>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路面：标准轴载BZZ—100KN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pct"/>
                  <w:gridSpan w:val="2"/>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设计年限</w:t>
                  </w:r>
                </w:p>
              </w:tc>
              <w:tc>
                <w:tcPr>
                  <w:tcW w:w="3060" w:type="pct"/>
                  <w:gridSpan w:val="3"/>
                  <w:noWrap w:val="0"/>
                  <w:vAlign w:val="center"/>
                </w:tcPr>
                <w:p>
                  <w:pPr>
                    <w:keepNext w:val="0"/>
                    <w:keepLines w:val="0"/>
                    <w:suppressLineNumbers w:val="0"/>
                    <w:spacing w:before="0" w:beforeAutospacing="0" w:after="0" w:afterAutospacing="0"/>
                    <w:ind w:left="0" w:right="0" w:firstLine="315" w:firstLineChars="15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道路交通量达到饱和时的设计年限20年</w:t>
                  </w:r>
                </w:p>
                <w:p>
                  <w:pPr>
                    <w:keepNext w:val="0"/>
                    <w:keepLines w:val="0"/>
                    <w:suppressLineNumbers w:val="0"/>
                    <w:spacing w:before="0" w:beforeAutospacing="0" w:after="0" w:afterAutospacing="0"/>
                    <w:ind w:left="0" w:right="0" w:firstLine="315" w:firstLineChars="15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路面结构设计使用年限15年（沥青混凝土路面）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pct"/>
                  <w:gridSpan w:val="2"/>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基本地震烈度</w:t>
                  </w:r>
                </w:p>
              </w:tc>
              <w:tc>
                <w:tcPr>
                  <w:tcW w:w="3060" w:type="pct"/>
                  <w:gridSpan w:val="3"/>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基本烈度6度，构造设防7度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pct"/>
                  <w:gridSpan w:val="2"/>
                  <w:noWrap w:val="0"/>
                  <w:vAlign w:val="top"/>
                </w:tcPr>
                <w:p>
                  <w:pPr>
                    <w:keepNext w:val="0"/>
                    <w:keepLines w:val="0"/>
                    <w:suppressLineNumbers w:val="0"/>
                    <w:spacing w:before="0" w:beforeAutospacing="0" w:after="0" w:afterAutospacing="0" w:line="460" w:lineRule="exact"/>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轴载次数</w:t>
                  </w:r>
                </w:p>
              </w:tc>
              <w:tc>
                <w:tcPr>
                  <w:tcW w:w="3060" w:type="pct"/>
                  <w:gridSpan w:val="3"/>
                  <w:noWrap w:val="0"/>
                  <w:vAlign w:val="top"/>
                </w:tcPr>
                <w:p>
                  <w:pPr>
                    <w:keepNext w:val="0"/>
                    <w:keepLines w:val="0"/>
                    <w:suppressLineNumbers w:val="0"/>
                    <w:spacing w:before="0" w:beforeAutospacing="0" w:after="0" w:afterAutospacing="0" w:line="460" w:lineRule="exact"/>
                    <w:ind w:left="0" w:right="0"/>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2025</w:t>
                  </w:r>
                  <w:r>
                    <w:rPr>
                      <w:rFonts w:ascii="宋体" w:hAnsi="宋体"/>
                      <w:color w:val="000000" w:themeColor="text1"/>
                      <w:szCs w:val="21"/>
                      <w:highlight w:val="none"/>
                      <w14:textFill>
                        <w14:solidFill>
                          <w14:schemeClr w14:val="tx1"/>
                        </w14:solidFill>
                      </w14:textFill>
                    </w:rPr>
                    <w:t>3700</w:t>
                  </w:r>
                  <w:r>
                    <w:rPr>
                      <w:rFonts w:hint="eastAsia" w:ascii="宋体" w:hAnsi="宋体"/>
                      <w:color w:val="000000" w:themeColor="text1"/>
                      <w:szCs w:val="21"/>
                      <w:highlight w:val="none"/>
                      <w14:textFill>
                        <w14:solidFill>
                          <w14:schemeClr w14:val="tx1"/>
                        </w14:solidFill>
                      </w14:textFill>
                    </w:rPr>
                    <w:t>（次/车道）</w:t>
                  </w:r>
                </w:p>
              </w:tc>
            </w:tr>
          </w:tbl>
          <w:p>
            <w:pPr>
              <w:keepNext w:val="0"/>
              <w:keepLines w:val="0"/>
              <w:suppressLineNumbers w:val="0"/>
              <w:adjustRightInd w:val="0"/>
              <w:snapToGrid w:val="0"/>
              <w:spacing w:before="0" w:beforeAutospacing="0" w:after="0" w:afterAutospacing="0" w:line="360" w:lineRule="auto"/>
              <w:ind w:left="0" w:right="0"/>
              <w:rPr>
                <w:b/>
                <w:bCs/>
                <w:color w:val="000000" w:themeColor="text1"/>
                <w:kern w:val="0"/>
                <w:sz w:val="24"/>
                <w:highlight w:val="none"/>
                <w14:textFill>
                  <w14:solidFill>
                    <w14:schemeClr w14:val="tx1"/>
                  </w14:solidFill>
                </w14:textFill>
              </w:rPr>
            </w:pPr>
          </w:p>
          <w:p>
            <w:pPr>
              <w:keepNext w:val="0"/>
              <w:keepLines w:val="0"/>
              <w:suppressLineNumbers w:val="0"/>
              <w:adjustRightInd w:val="0"/>
              <w:snapToGrid w:val="0"/>
              <w:spacing w:before="0" w:beforeAutospacing="0" w:after="0" w:afterAutospacing="0" w:line="360" w:lineRule="auto"/>
              <w:ind w:left="0" w:right="0"/>
              <w:rPr>
                <w:rFonts w:hint="default" w:eastAsia="宋体"/>
                <w:b/>
                <w:bCs/>
                <w:color w:val="000000" w:themeColor="text1"/>
                <w:kern w:val="0"/>
                <w:sz w:val="24"/>
                <w:highlight w:val="none"/>
                <w:lang w:val="en-US" w:eastAsia="zh-CN"/>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70528" behindDoc="0" locked="0" layoutInCell="1" allowOverlap="1">
                  <wp:simplePos x="0" y="0"/>
                  <wp:positionH relativeFrom="column">
                    <wp:posOffset>7984490</wp:posOffset>
                  </wp:positionH>
                  <wp:positionV relativeFrom="paragraph">
                    <wp:posOffset>5617845</wp:posOffset>
                  </wp:positionV>
                  <wp:extent cx="5884545" cy="3772535"/>
                  <wp:effectExtent l="0" t="0" r="13335" b="6985"/>
                  <wp:wrapNone/>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14"/>
                          <a:stretch>
                            <a:fillRect/>
                          </a:stretch>
                        </pic:blipFill>
                        <pic:spPr>
                          <a:xfrm>
                            <a:off x="0" y="0"/>
                            <a:ext cx="5884545" cy="3772535"/>
                          </a:xfrm>
                          <a:prstGeom prst="rect">
                            <a:avLst/>
                          </a:prstGeom>
                          <a:noFill/>
                          <a:ln>
                            <a:noFill/>
                          </a:ln>
                        </pic:spPr>
                      </pic:pic>
                    </a:graphicData>
                  </a:graphic>
                </wp:anchor>
              </w:drawing>
            </w:r>
            <w:r>
              <w:rPr>
                <w:color w:val="000000" w:themeColor="text1"/>
                <w:highlight w:val="none"/>
                <w14:textFill>
                  <w14:solidFill>
                    <w14:schemeClr w14:val="tx1"/>
                  </w14:solidFill>
                </w14:textFill>
              </w:rPr>
              <w:drawing>
                <wp:anchor distT="0" distB="0" distL="114300" distR="114300" simplePos="0" relativeHeight="251669504" behindDoc="0" locked="0" layoutInCell="1" allowOverlap="1">
                  <wp:simplePos x="0" y="0"/>
                  <wp:positionH relativeFrom="column">
                    <wp:posOffset>7984490</wp:posOffset>
                  </wp:positionH>
                  <wp:positionV relativeFrom="paragraph">
                    <wp:posOffset>5617845</wp:posOffset>
                  </wp:positionV>
                  <wp:extent cx="5884545" cy="3772535"/>
                  <wp:effectExtent l="0" t="0" r="13335" b="6985"/>
                  <wp:wrapNone/>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14"/>
                          <a:stretch>
                            <a:fillRect/>
                          </a:stretch>
                        </pic:blipFill>
                        <pic:spPr>
                          <a:xfrm>
                            <a:off x="0" y="0"/>
                            <a:ext cx="5884545" cy="3772535"/>
                          </a:xfrm>
                          <a:prstGeom prst="rect">
                            <a:avLst/>
                          </a:prstGeom>
                          <a:noFill/>
                          <a:ln>
                            <a:noFill/>
                          </a:ln>
                        </pic:spPr>
                      </pic:pic>
                    </a:graphicData>
                  </a:graphic>
                </wp:anchor>
              </w:drawing>
            </w:r>
            <w:r>
              <w:rPr>
                <w:color w:val="000000" w:themeColor="text1"/>
                <w:highlight w:val="none"/>
                <w14:textFill>
                  <w14:solidFill>
                    <w14:schemeClr w14:val="tx1"/>
                  </w14:solidFill>
                </w14:textFill>
              </w:rPr>
              <w:drawing>
                <wp:anchor distT="0" distB="0" distL="114300" distR="114300" simplePos="0" relativeHeight="251668480" behindDoc="0" locked="0" layoutInCell="1" allowOverlap="1">
                  <wp:simplePos x="0" y="0"/>
                  <wp:positionH relativeFrom="column">
                    <wp:posOffset>8848090</wp:posOffset>
                  </wp:positionH>
                  <wp:positionV relativeFrom="paragraph">
                    <wp:posOffset>6176645</wp:posOffset>
                  </wp:positionV>
                  <wp:extent cx="5884545" cy="3772535"/>
                  <wp:effectExtent l="0" t="0" r="13335" b="6985"/>
                  <wp:wrapNone/>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14"/>
                          <a:stretch>
                            <a:fillRect/>
                          </a:stretch>
                        </pic:blipFill>
                        <pic:spPr>
                          <a:xfrm>
                            <a:off x="0" y="0"/>
                            <a:ext cx="5884545" cy="3772535"/>
                          </a:xfrm>
                          <a:prstGeom prst="rect">
                            <a:avLst/>
                          </a:prstGeom>
                          <a:noFill/>
                          <a:ln>
                            <a:noFill/>
                          </a:ln>
                        </pic:spPr>
                      </pic:pic>
                    </a:graphicData>
                  </a:graphic>
                </wp:anchor>
              </w:drawing>
            </w:r>
            <w:r>
              <w:rPr>
                <w:color w:val="000000" w:themeColor="text1"/>
                <w:highlight w:val="none"/>
                <w14:textFill>
                  <w14:solidFill>
                    <w14:schemeClr w14:val="tx1"/>
                  </w14:solidFill>
                </w14:textFill>
              </w:rPr>
              <w:drawing>
                <wp:anchor distT="0" distB="0" distL="114300" distR="114300" simplePos="0" relativeHeight="251667456" behindDoc="0" locked="0" layoutInCell="1" allowOverlap="1">
                  <wp:simplePos x="0" y="0"/>
                  <wp:positionH relativeFrom="column">
                    <wp:posOffset>8695690</wp:posOffset>
                  </wp:positionH>
                  <wp:positionV relativeFrom="paragraph">
                    <wp:posOffset>6024245</wp:posOffset>
                  </wp:positionV>
                  <wp:extent cx="5884545" cy="3772535"/>
                  <wp:effectExtent l="0" t="0" r="13335" b="6985"/>
                  <wp:wrapNone/>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14"/>
                          <a:stretch>
                            <a:fillRect/>
                          </a:stretch>
                        </pic:blipFill>
                        <pic:spPr>
                          <a:xfrm>
                            <a:off x="0" y="0"/>
                            <a:ext cx="5884545" cy="3772535"/>
                          </a:xfrm>
                          <a:prstGeom prst="rect">
                            <a:avLst/>
                          </a:prstGeom>
                          <a:noFill/>
                          <a:ln>
                            <a:noFill/>
                          </a:ln>
                        </pic:spPr>
                      </pic:pic>
                    </a:graphicData>
                  </a:graphic>
                </wp:anchor>
              </w:drawing>
            </w:r>
            <w:r>
              <w:rPr>
                <w:color w:val="000000" w:themeColor="text1"/>
                <w:highlight w:val="none"/>
                <w14:textFill>
                  <w14:solidFill>
                    <w14:schemeClr w14:val="tx1"/>
                  </w14:solidFill>
                </w14:textFill>
              </w:rPr>
              <w:drawing>
                <wp:anchor distT="0" distB="0" distL="114300" distR="114300" simplePos="0" relativeHeight="251666432" behindDoc="0" locked="0" layoutInCell="1" allowOverlap="1">
                  <wp:simplePos x="0" y="0"/>
                  <wp:positionH relativeFrom="column">
                    <wp:posOffset>8543290</wp:posOffset>
                  </wp:positionH>
                  <wp:positionV relativeFrom="paragraph">
                    <wp:posOffset>5871845</wp:posOffset>
                  </wp:positionV>
                  <wp:extent cx="5884545" cy="3772535"/>
                  <wp:effectExtent l="0" t="0" r="13335" b="6985"/>
                  <wp:wrapNone/>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4"/>
                          <a:stretch>
                            <a:fillRect/>
                          </a:stretch>
                        </pic:blipFill>
                        <pic:spPr>
                          <a:xfrm>
                            <a:off x="0" y="0"/>
                            <a:ext cx="5884545" cy="3772535"/>
                          </a:xfrm>
                          <a:prstGeom prst="rect">
                            <a:avLst/>
                          </a:prstGeom>
                          <a:noFill/>
                          <a:ln>
                            <a:noFill/>
                          </a:ln>
                        </pic:spPr>
                      </pic:pic>
                    </a:graphicData>
                  </a:graphic>
                </wp:anchor>
              </w:drawing>
            </w:r>
            <w:r>
              <w:rPr>
                <w:color w:val="000000" w:themeColor="text1"/>
                <w:highlight w:val="none"/>
                <w14:textFill>
                  <w14:solidFill>
                    <w14:schemeClr w14:val="tx1"/>
                  </w14:solidFill>
                </w14:textFill>
              </w:rPr>
              <w:drawing>
                <wp:anchor distT="0" distB="0" distL="114300" distR="114300" simplePos="0" relativeHeight="251664384" behindDoc="0" locked="0" layoutInCell="1" allowOverlap="1">
                  <wp:simplePos x="0" y="0"/>
                  <wp:positionH relativeFrom="column">
                    <wp:posOffset>8390890</wp:posOffset>
                  </wp:positionH>
                  <wp:positionV relativeFrom="paragraph">
                    <wp:posOffset>5719445</wp:posOffset>
                  </wp:positionV>
                  <wp:extent cx="5884545" cy="3772535"/>
                  <wp:effectExtent l="0" t="0" r="13335" b="6985"/>
                  <wp:wrapNone/>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4"/>
                          <a:stretch>
                            <a:fillRect/>
                          </a:stretch>
                        </pic:blipFill>
                        <pic:spPr>
                          <a:xfrm>
                            <a:off x="0" y="0"/>
                            <a:ext cx="5884545" cy="3772535"/>
                          </a:xfrm>
                          <a:prstGeom prst="rect">
                            <a:avLst/>
                          </a:prstGeom>
                          <a:noFill/>
                          <a:ln>
                            <a:noFill/>
                          </a:ln>
                        </pic:spPr>
                      </pic:pic>
                    </a:graphicData>
                  </a:graphic>
                </wp:anchor>
              </w:drawing>
            </w:r>
            <w:r>
              <w:rPr>
                <w:color w:val="000000" w:themeColor="text1"/>
                <w:highlight w:val="none"/>
                <w14:textFill>
                  <w14:solidFill>
                    <w14:schemeClr w14:val="tx1"/>
                  </w14:solidFill>
                </w14:textFill>
              </w:rPr>
              <w:drawing>
                <wp:anchor distT="0" distB="0" distL="114300" distR="114300" simplePos="0" relativeHeight="251663360" behindDoc="0" locked="0" layoutInCell="1" allowOverlap="1">
                  <wp:simplePos x="0" y="0"/>
                  <wp:positionH relativeFrom="column">
                    <wp:posOffset>8238490</wp:posOffset>
                  </wp:positionH>
                  <wp:positionV relativeFrom="paragraph">
                    <wp:posOffset>5567045</wp:posOffset>
                  </wp:positionV>
                  <wp:extent cx="5884545" cy="3772535"/>
                  <wp:effectExtent l="0" t="0" r="13335" b="6985"/>
                  <wp:wrapNone/>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4"/>
                          <a:stretch>
                            <a:fillRect/>
                          </a:stretch>
                        </pic:blipFill>
                        <pic:spPr>
                          <a:xfrm>
                            <a:off x="0" y="0"/>
                            <a:ext cx="5884545" cy="3772535"/>
                          </a:xfrm>
                          <a:prstGeom prst="rect">
                            <a:avLst/>
                          </a:prstGeom>
                          <a:noFill/>
                          <a:ln>
                            <a:noFill/>
                          </a:ln>
                        </pic:spPr>
                      </pic:pic>
                    </a:graphicData>
                  </a:graphic>
                </wp:anchor>
              </w:drawing>
            </w:r>
            <w:r>
              <w:rPr>
                <w:b/>
                <w:bCs/>
                <w:color w:val="000000" w:themeColor="text1"/>
                <w:kern w:val="0"/>
                <w:sz w:val="24"/>
                <w:highlight w:val="none"/>
                <w14:textFill>
                  <w14:solidFill>
                    <w14:schemeClr w14:val="tx1"/>
                  </w14:solidFill>
                </w14:textFill>
              </w:rPr>
              <w:t>（</w:t>
            </w:r>
            <w:r>
              <w:rPr>
                <w:rFonts w:hint="eastAsia"/>
                <w:b/>
                <w:bCs/>
                <w:color w:val="000000" w:themeColor="text1"/>
                <w:kern w:val="0"/>
                <w:sz w:val="24"/>
                <w:highlight w:val="none"/>
                <w14:textFill>
                  <w14:solidFill>
                    <w14:schemeClr w14:val="tx1"/>
                  </w14:solidFill>
                </w14:textFill>
              </w:rPr>
              <w:t>三</w:t>
            </w:r>
            <w:r>
              <w:rPr>
                <w:b/>
                <w:bCs/>
                <w:color w:val="000000" w:themeColor="text1"/>
                <w:kern w:val="0"/>
                <w:sz w:val="24"/>
                <w:highlight w:val="none"/>
                <w14:textFill>
                  <w14:solidFill>
                    <w14:schemeClr w14:val="tx1"/>
                  </w14:solidFill>
                </w14:textFill>
              </w:rPr>
              <w:t>）</w:t>
            </w:r>
            <w:r>
              <w:rPr>
                <w:rFonts w:hint="eastAsia"/>
                <w:b/>
                <w:bCs/>
                <w:color w:val="000000" w:themeColor="text1"/>
                <w:kern w:val="0"/>
                <w:sz w:val="24"/>
                <w:highlight w:val="none"/>
                <w:lang w:val="en-US" w:eastAsia="zh-CN"/>
                <w14:textFill>
                  <w14:solidFill>
                    <w14:schemeClr w14:val="tx1"/>
                  </w14:solidFill>
                </w14:textFill>
              </w:rPr>
              <w:t>交通量预测</w:t>
            </w:r>
          </w:p>
          <w:p>
            <w:pPr>
              <w:keepNext w:val="0"/>
              <w:keepLines w:val="0"/>
              <w:suppressLineNumbers w:val="0"/>
              <w:autoSpaceDE w:val="0"/>
              <w:autoSpaceDN w:val="0"/>
              <w:spacing w:before="0" w:beforeAutospacing="0" w:after="0" w:afterAutospacing="0" w:line="360" w:lineRule="auto"/>
              <w:ind w:left="0" w:right="0" w:firstLine="480" w:firstLineChars="200"/>
              <w:rPr>
                <w:rFonts w:hint="eastAsia" w:cs="Times New Roman"/>
                <w:color w:val="000000" w:themeColor="text1"/>
                <w:kern w:val="2"/>
                <w:sz w:val="24"/>
                <w:szCs w:val="24"/>
                <w:highlight w:val="none"/>
                <w:lang w:val="en-US" w:eastAsia="zh-CN" w:bidi="ar"/>
                <w14:textFill>
                  <w14:solidFill>
                    <w14:schemeClr w14:val="tx1"/>
                  </w14:solidFill>
                </w14:textFill>
              </w:rPr>
            </w:pPr>
            <w:r>
              <w:rPr>
                <w:rFonts w:hint="eastAsia" w:cs="Times New Roman"/>
                <w:color w:val="000000" w:themeColor="text1"/>
                <w:kern w:val="2"/>
                <w:sz w:val="24"/>
                <w:szCs w:val="24"/>
                <w:highlight w:val="none"/>
                <w:lang w:val="en-US" w:eastAsia="zh-CN" w:bidi="ar"/>
                <w14:textFill>
                  <w14:solidFill>
                    <w14:schemeClr w14:val="tx1"/>
                  </w14:solidFill>
                </w14:textFill>
              </w:rPr>
              <w:t>根据业主提供的方案设计说明中交通量预测数据，本项目预测特征年为</w:t>
            </w:r>
            <w:r>
              <w:rPr>
                <w:color w:val="000000" w:themeColor="text1"/>
                <w:sz w:val="24"/>
                <w:highlight w:val="none"/>
                <w14:textFill>
                  <w14:solidFill>
                    <w14:schemeClr w14:val="tx1"/>
                  </w14:solidFill>
                </w14:textFill>
              </w:rPr>
              <w:t>2026年、2033年、2041年</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w:t>
            </w:r>
            <w:r>
              <w:rPr>
                <w:rFonts w:hint="eastAsia" w:cs="Times New Roman"/>
                <w:color w:val="000000" w:themeColor="text1"/>
                <w:kern w:val="2"/>
                <w:sz w:val="24"/>
                <w:szCs w:val="24"/>
                <w:highlight w:val="none"/>
                <w:lang w:val="en-US" w:eastAsia="zh-CN" w:bidi="ar"/>
                <w14:textFill>
                  <w14:solidFill>
                    <w14:schemeClr w14:val="tx1"/>
                  </w14:solidFill>
                </w14:textFill>
              </w:rPr>
              <w:t>项目交通量预测结果见下表2-3。</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表2-3  日交通流量预测表（pcu/d）</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5"/>
              <w:gridCol w:w="1383"/>
              <w:gridCol w:w="5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0" w:type="pct"/>
                  <w:vMerge w:val="restart"/>
                  <w:noWrap w:val="0"/>
                  <w:vAlign w:val="center"/>
                </w:tcPr>
                <w:p>
                  <w:pPr>
                    <w:keepNext w:val="0"/>
                    <w:keepLines w:val="0"/>
                    <w:suppressLineNumbers w:val="0"/>
                    <w:adjustRightInd w:val="0"/>
                    <w:snapToGrid w:val="0"/>
                    <w:spacing w:before="0" w:beforeAutospacing="0" w:after="0" w:afterAutospacing="0" w:line="360" w:lineRule="auto"/>
                    <w:ind w:left="0" w:right="0" w:firstLine="422"/>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预测特征年</w:t>
                  </w:r>
                </w:p>
              </w:tc>
              <w:tc>
                <w:tcPr>
                  <w:tcW w:w="778" w:type="pct"/>
                  <w:vMerge w:val="restart"/>
                  <w:noWrap w:val="0"/>
                  <w:vAlign w:val="center"/>
                </w:tcPr>
                <w:p>
                  <w:pPr>
                    <w:keepNext w:val="0"/>
                    <w:keepLines w:val="0"/>
                    <w:suppressLineNumbers w:val="0"/>
                    <w:spacing w:before="0" w:beforeAutospacing="0" w:after="0" w:afterAutospacing="0" w:line="360" w:lineRule="auto"/>
                    <w:ind w:left="0" w:right="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特征年份</w:t>
                  </w:r>
                </w:p>
              </w:tc>
              <w:tc>
                <w:tcPr>
                  <w:tcW w:w="3211" w:type="pct"/>
                  <w:noWrap w:val="0"/>
                  <w:vAlign w:val="center"/>
                </w:tcPr>
                <w:p>
                  <w:pPr>
                    <w:keepNext w:val="0"/>
                    <w:keepLines w:val="0"/>
                    <w:suppressLineNumbers w:val="0"/>
                    <w:spacing w:before="0" w:beforeAutospacing="0" w:after="0" w:afterAutospacing="0" w:line="360" w:lineRule="auto"/>
                    <w:ind w:left="0" w:right="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预测交通量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10" w:type="pct"/>
                  <w:vMerge w:val="continue"/>
                  <w:noWrap w:val="0"/>
                  <w:vAlign w:val="center"/>
                </w:tcPr>
                <w:p>
                  <w:pPr>
                    <w:keepNext w:val="0"/>
                    <w:keepLines w:val="0"/>
                    <w:suppressLineNumbers w:val="0"/>
                    <w:adjustRightInd w:val="0"/>
                    <w:snapToGrid w:val="0"/>
                    <w:spacing w:before="0" w:beforeAutospacing="0" w:after="0" w:afterAutospacing="0" w:line="360" w:lineRule="auto"/>
                    <w:ind w:left="0" w:right="0" w:firstLine="422"/>
                    <w:jc w:val="center"/>
                    <w:rPr>
                      <w:color w:val="000000" w:themeColor="text1"/>
                      <w:szCs w:val="21"/>
                      <w:highlight w:val="none"/>
                      <w14:textFill>
                        <w14:solidFill>
                          <w14:schemeClr w14:val="tx1"/>
                        </w14:solidFill>
                      </w14:textFill>
                    </w:rPr>
                  </w:pPr>
                </w:p>
              </w:tc>
              <w:tc>
                <w:tcPr>
                  <w:tcW w:w="778" w:type="pct"/>
                  <w:vMerge w:val="continue"/>
                  <w:noWrap w:val="0"/>
                  <w:vAlign w:val="center"/>
                </w:tcPr>
                <w:p>
                  <w:pPr>
                    <w:keepNext w:val="0"/>
                    <w:keepLines w:val="0"/>
                    <w:suppressLineNumbers w:val="0"/>
                    <w:spacing w:before="0" w:beforeAutospacing="0" w:after="0" w:afterAutospacing="0" w:line="360" w:lineRule="auto"/>
                    <w:ind w:left="0" w:right="0"/>
                    <w:jc w:val="center"/>
                    <w:rPr>
                      <w:color w:val="000000" w:themeColor="text1"/>
                      <w:szCs w:val="21"/>
                      <w:highlight w:val="none"/>
                      <w14:textFill>
                        <w14:solidFill>
                          <w14:schemeClr w14:val="tx1"/>
                        </w14:solidFill>
                      </w14:textFill>
                    </w:rPr>
                  </w:pPr>
                </w:p>
              </w:tc>
              <w:tc>
                <w:tcPr>
                  <w:tcW w:w="3211" w:type="pct"/>
                  <w:noWrap w:val="0"/>
                  <w:vAlign w:val="center"/>
                </w:tcPr>
                <w:p>
                  <w:pPr>
                    <w:keepNext w:val="0"/>
                    <w:keepLines w:val="0"/>
                    <w:suppressLineNumbers w:val="0"/>
                    <w:spacing w:before="0" w:beforeAutospacing="0" w:after="0" w:afterAutospacing="0" w:line="360" w:lineRule="auto"/>
                    <w:ind w:left="0" w:right="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金南大道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010" w:type="pct"/>
                  <w:vMerge w:val="restart"/>
                  <w:noWrap w:val="0"/>
                  <w:vAlign w:val="center"/>
                </w:tcPr>
                <w:p>
                  <w:pPr>
                    <w:keepNext w:val="0"/>
                    <w:keepLines w:val="0"/>
                    <w:suppressLineNumbers w:val="0"/>
                    <w:adjustRightInd w:val="0"/>
                    <w:snapToGrid w:val="0"/>
                    <w:spacing w:before="0" w:beforeAutospacing="0" w:after="0" w:afterAutospacing="0" w:line="360" w:lineRule="auto"/>
                    <w:ind w:left="0" w:right="0" w:firstLine="420"/>
                    <w:jc w:val="center"/>
                    <w:rPr>
                      <w:bCs/>
                      <w:color w:val="000000" w:themeColor="text1"/>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日交通量</w:t>
                  </w:r>
                </w:p>
              </w:tc>
              <w:tc>
                <w:tcPr>
                  <w:tcW w:w="778" w:type="pct"/>
                  <w:noWrap w:val="0"/>
                  <w:vAlign w:val="center"/>
                </w:tcPr>
                <w:p>
                  <w:pPr>
                    <w:keepNext w:val="0"/>
                    <w:keepLines w:val="0"/>
                    <w:suppressLineNumbers w:val="0"/>
                    <w:spacing w:before="0" w:beforeAutospacing="0" w:after="0" w:afterAutospacing="0" w:line="360" w:lineRule="auto"/>
                    <w:ind w:left="0" w:right="0"/>
                    <w:jc w:val="center"/>
                    <w:rPr>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202</w:t>
                  </w:r>
                  <w:r>
                    <w:rPr>
                      <w:bCs/>
                      <w:color w:val="000000" w:themeColor="text1"/>
                      <w:szCs w:val="21"/>
                      <w:highlight w:val="none"/>
                      <w14:textFill>
                        <w14:solidFill>
                          <w14:schemeClr w14:val="tx1"/>
                        </w14:solidFill>
                      </w14:textFill>
                    </w:rPr>
                    <w:t>6</w:t>
                  </w:r>
                  <w:r>
                    <w:rPr>
                      <w:rFonts w:hint="eastAsia"/>
                      <w:bCs/>
                      <w:color w:val="000000" w:themeColor="text1"/>
                      <w:szCs w:val="21"/>
                      <w:highlight w:val="none"/>
                      <w14:textFill>
                        <w14:solidFill>
                          <w14:schemeClr w14:val="tx1"/>
                        </w14:solidFill>
                      </w14:textFill>
                    </w:rPr>
                    <w:t>年</w:t>
                  </w:r>
                </w:p>
              </w:tc>
              <w:tc>
                <w:tcPr>
                  <w:tcW w:w="3211" w:type="pct"/>
                  <w:noWrap w:val="0"/>
                  <w:vAlign w:val="center"/>
                </w:tcPr>
                <w:p>
                  <w:pPr>
                    <w:keepNext w:val="0"/>
                    <w:keepLines w:val="0"/>
                    <w:suppressLineNumbers w:val="0"/>
                    <w:spacing w:before="0" w:beforeAutospacing="0" w:after="0" w:afterAutospacing="0" w:line="360" w:lineRule="auto"/>
                    <w:ind w:left="0" w:right="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7</w:t>
                  </w:r>
                  <w:r>
                    <w:rPr>
                      <w:color w:val="000000" w:themeColor="text1"/>
                      <w:szCs w:val="21"/>
                      <w:highlight w:val="none"/>
                      <w14:textFill>
                        <w14:solidFill>
                          <w14:schemeClr w14:val="tx1"/>
                        </w14:solidFill>
                      </w14:textFill>
                    </w:rPr>
                    <w:t>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010" w:type="pct"/>
                  <w:vMerge w:val="continue"/>
                  <w:noWrap w:val="0"/>
                  <w:vAlign w:val="center"/>
                </w:tcPr>
                <w:p>
                  <w:pPr>
                    <w:keepNext w:val="0"/>
                    <w:keepLines w:val="0"/>
                    <w:suppressLineNumbers w:val="0"/>
                    <w:adjustRightInd w:val="0"/>
                    <w:snapToGrid w:val="0"/>
                    <w:spacing w:before="0" w:beforeAutospacing="0" w:after="0" w:afterAutospacing="0" w:line="360" w:lineRule="auto"/>
                    <w:ind w:left="0" w:right="0" w:firstLine="420"/>
                    <w:jc w:val="center"/>
                    <w:rPr>
                      <w:color w:val="000000" w:themeColor="text1"/>
                      <w:kern w:val="0"/>
                      <w:szCs w:val="21"/>
                      <w:highlight w:val="none"/>
                      <w14:textFill>
                        <w14:solidFill>
                          <w14:schemeClr w14:val="tx1"/>
                        </w14:solidFill>
                      </w14:textFill>
                    </w:rPr>
                  </w:pPr>
                </w:p>
              </w:tc>
              <w:tc>
                <w:tcPr>
                  <w:tcW w:w="778" w:type="pct"/>
                  <w:noWrap w:val="0"/>
                  <w:vAlign w:val="center"/>
                </w:tcPr>
                <w:p>
                  <w:pPr>
                    <w:keepNext w:val="0"/>
                    <w:keepLines w:val="0"/>
                    <w:suppressLineNumbers w:val="0"/>
                    <w:spacing w:before="0" w:beforeAutospacing="0" w:after="0" w:afterAutospacing="0" w:line="360" w:lineRule="auto"/>
                    <w:ind w:left="0" w:right="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20</w:t>
                  </w:r>
                  <w:r>
                    <w:rPr>
                      <w:bCs/>
                      <w:color w:val="000000" w:themeColor="text1"/>
                      <w:szCs w:val="21"/>
                      <w:highlight w:val="none"/>
                      <w14:textFill>
                        <w14:solidFill>
                          <w14:schemeClr w14:val="tx1"/>
                        </w14:solidFill>
                      </w14:textFill>
                    </w:rPr>
                    <w:t>33</w:t>
                  </w:r>
                  <w:r>
                    <w:rPr>
                      <w:rFonts w:hint="eastAsia"/>
                      <w:bCs/>
                      <w:color w:val="000000" w:themeColor="text1"/>
                      <w:szCs w:val="21"/>
                      <w:highlight w:val="none"/>
                      <w14:textFill>
                        <w14:solidFill>
                          <w14:schemeClr w14:val="tx1"/>
                        </w14:solidFill>
                      </w14:textFill>
                    </w:rPr>
                    <w:t>年</w:t>
                  </w:r>
                </w:p>
              </w:tc>
              <w:tc>
                <w:tcPr>
                  <w:tcW w:w="3211" w:type="pct"/>
                  <w:noWrap w:val="0"/>
                  <w:vAlign w:val="center"/>
                </w:tcPr>
                <w:p>
                  <w:pPr>
                    <w:keepNext w:val="0"/>
                    <w:keepLines w:val="0"/>
                    <w:suppressLineNumbers w:val="0"/>
                    <w:spacing w:before="0" w:beforeAutospacing="0" w:after="0" w:afterAutospacing="0" w:line="360" w:lineRule="auto"/>
                    <w:ind w:left="0" w:right="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1</w:t>
                  </w:r>
                  <w:r>
                    <w:rPr>
                      <w:bCs/>
                      <w:color w:val="000000" w:themeColor="text1"/>
                      <w:szCs w:val="21"/>
                      <w:highlight w:val="none"/>
                      <w14:textFill>
                        <w14:solidFill>
                          <w14:schemeClr w14:val="tx1"/>
                        </w14:solidFill>
                      </w14:textFill>
                    </w:rPr>
                    <w:t>3383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1010" w:type="pct"/>
                  <w:vMerge w:val="continue"/>
                  <w:noWrap w:val="0"/>
                  <w:vAlign w:val="center"/>
                </w:tcPr>
                <w:p>
                  <w:pPr>
                    <w:keepNext w:val="0"/>
                    <w:keepLines w:val="0"/>
                    <w:suppressLineNumbers w:val="0"/>
                    <w:adjustRightInd w:val="0"/>
                    <w:snapToGrid w:val="0"/>
                    <w:spacing w:before="0" w:beforeAutospacing="0" w:after="0" w:afterAutospacing="0" w:line="360" w:lineRule="auto"/>
                    <w:ind w:left="0" w:right="0" w:firstLine="420"/>
                    <w:jc w:val="center"/>
                    <w:rPr>
                      <w:color w:val="000000" w:themeColor="text1"/>
                      <w:kern w:val="0"/>
                      <w:szCs w:val="21"/>
                      <w:highlight w:val="none"/>
                      <w14:textFill>
                        <w14:solidFill>
                          <w14:schemeClr w14:val="tx1"/>
                        </w14:solidFill>
                      </w14:textFill>
                    </w:rPr>
                  </w:pPr>
                </w:p>
              </w:tc>
              <w:tc>
                <w:tcPr>
                  <w:tcW w:w="778" w:type="pct"/>
                  <w:noWrap w:val="0"/>
                  <w:vAlign w:val="center"/>
                </w:tcPr>
                <w:p>
                  <w:pPr>
                    <w:keepNext w:val="0"/>
                    <w:keepLines w:val="0"/>
                    <w:suppressLineNumbers w:val="0"/>
                    <w:spacing w:before="0" w:beforeAutospacing="0" w:after="0" w:afterAutospacing="0" w:line="360" w:lineRule="auto"/>
                    <w:ind w:left="0" w:right="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20</w:t>
                  </w:r>
                  <w:r>
                    <w:rPr>
                      <w:bCs/>
                      <w:color w:val="000000" w:themeColor="text1"/>
                      <w:szCs w:val="21"/>
                      <w:highlight w:val="none"/>
                      <w14:textFill>
                        <w14:solidFill>
                          <w14:schemeClr w14:val="tx1"/>
                        </w14:solidFill>
                      </w14:textFill>
                    </w:rPr>
                    <w:t>41</w:t>
                  </w:r>
                  <w:r>
                    <w:rPr>
                      <w:rFonts w:hint="eastAsia"/>
                      <w:bCs/>
                      <w:color w:val="000000" w:themeColor="text1"/>
                      <w:szCs w:val="21"/>
                      <w:highlight w:val="none"/>
                      <w14:textFill>
                        <w14:solidFill>
                          <w14:schemeClr w14:val="tx1"/>
                        </w14:solidFill>
                      </w14:textFill>
                    </w:rPr>
                    <w:t>年</w:t>
                  </w:r>
                </w:p>
              </w:tc>
              <w:tc>
                <w:tcPr>
                  <w:tcW w:w="3211" w:type="pct"/>
                  <w:noWrap w:val="0"/>
                  <w:vAlign w:val="center"/>
                </w:tcPr>
                <w:p>
                  <w:pPr>
                    <w:keepNext w:val="0"/>
                    <w:keepLines w:val="0"/>
                    <w:suppressLineNumbers w:val="0"/>
                    <w:spacing w:before="0" w:beforeAutospacing="0" w:after="0" w:afterAutospacing="0" w:line="360" w:lineRule="auto"/>
                    <w:ind w:left="0" w:right="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1</w:t>
                  </w:r>
                  <w:r>
                    <w:rPr>
                      <w:bCs/>
                      <w:color w:val="000000" w:themeColor="text1"/>
                      <w:szCs w:val="21"/>
                      <w:highlight w:val="none"/>
                      <w14:textFill>
                        <w14:solidFill>
                          <w14:schemeClr w14:val="tx1"/>
                        </w14:solidFill>
                      </w14:textFill>
                    </w:rPr>
                    <w:t>7338</w:t>
                  </w:r>
                </w:p>
              </w:tc>
            </w:tr>
          </w:tbl>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p>
          <w:p>
            <w:pPr>
              <w:keepNext w:val="0"/>
              <w:keepLines w:val="0"/>
              <w:widowControl/>
              <w:suppressLineNumbers w:val="0"/>
              <w:spacing w:before="0" w:beforeAutospacing="0" w:after="0" w:afterAutospacing="0" w:line="360" w:lineRule="auto"/>
              <w:ind w:left="0" w:right="0"/>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w:t>
            </w:r>
            <w:r>
              <w:rPr>
                <w:rFonts w:hint="eastAsia"/>
                <w:b/>
                <w:bCs/>
                <w:color w:val="000000" w:themeColor="text1"/>
                <w:sz w:val="24"/>
                <w:highlight w:val="none"/>
                <w14:textFill>
                  <w14:solidFill>
                    <w14:schemeClr w14:val="tx1"/>
                  </w14:solidFill>
                </w14:textFill>
              </w:rPr>
              <w:t>四</w:t>
            </w:r>
            <w:r>
              <w:rPr>
                <w:b/>
                <w:bCs/>
                <w:color w:val="000000" w:themeColor="text1"/>
                <w:sz w:val="24"/>
                <w:highlight w:val="none"/>
                <w14:textFill>
                  <w14:solidFill>
                    <w14:schemeClr w14:val="tx1"/>
                  </w14:solidFill>
                </w14:textFill>
              </w:rPr>
              <w:t>）项目组成及主要环境问题</w:t>
            </w:r>
          </w:p>
          <w:p>
            <w:pPr>
              <w:keepNext w:val="0"/>
              <w:keepLines w:val="0"/>
              <w:widowControl/>
              <w:suppressLineNumbers w:val="0"/>
              <w:spacing w:before="0" w:beforeAutospacing="0" w:after="0" w:afterAutospacing="0" w:line="360" w:lineRule="auto"/>
              <w:ind w:left="0" w:right="0" w:firstLine="480" w:firstLineChars="200"/>
              <w:rPr>
                <w:color w:val="000000" w:themeColor="text1"/>
                <w:sz w:val="24"/>
                <w:highlight w:val="none"/>
                <w:lang w:val="zh-CN"/>
                <w14:textFill>
                  <w14:solidFill>
                    <w14:schemeClr w14:val="tx1"/>
                  </w14:solidFill>
                </w14:textFill>
              </w:rPr>
            </w:pPr>
            <w:r>
              <w:rPr>
                <w:color w:val="000000" w:themeColor="text1"/>
                <w:sz w:val="24"/>
                <w:highlight w:val="none"/>
                <w:lang w:val="zh-CN"/>
                <w14:textFill>
                  <w14:solidFill>
                    <w14:schemeClr w14:val="tx1"/>
                  </w14:solidFill>
                </w14:textFill>
              </w:rPr>
              <w:t>项目组成及主要环境问题见下表2-</w:t>
            </w:r>
            <w:r>
              <w:rPr>
                <w:rFonts w:hint="eastAsia"/>
                <w:color w:val="000000" w:themeColor="text1"/>
                <w:sz w:val="24"/>
                <w:highlight w:val="none"/>
                <w:lang w:val="en-US" w:eastAsia="zh-CN"/>
                <w14:textFill>
                  <w14:solidFill>
                    <w14:schemeClr w14:val="tx1"/>
                  </w14:solidFill>
                </w14:textFill>
              </w:rPr>
              <w:t>4</w:t>
            </w:r>
            <w:r>
              <w:rPr>
                <w:color w:val="000000" w:themeColor="text1"/>
                <w:sz w:val="24"/>
                <w:highlight w:val="none"/>
                <w:lang w:val="zh-CN"/>
                <w14:textFill>
                  <w14:solidFill>
                    <w14:schemeClr w14:val="tx1"/>
                  </w14:solidFill>
                </w14:textFill>
              </w:rPr>
              <w:t>。</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表2-4  项目建设规模一览表</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741"/>
              <w:gridCol w:w="933"/>
              <w:gridCol w:w="4655"/>
              <w:gridCol w:w="1012"/>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41" w:type="pct"/>
                  <w:vMerge w:val="restart"/>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名称</w:t>
                  </w:r>
                </w:p>
              </w:tc>
              <w:tc>
                <w:tcPr>
                  <w:tcW w:w="3563" w:type="pct"/>
                  <w:gridSpan w:val="3"/>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建设内容及规模</w:t>
                  </w:r>
                </w:p>
              </w:tc>
              <w:tc>
                <w:tcPr>
                  <w:tcW w:w="1095" w:type="pct"/>
                  <w:gridSpan w:val="2"/>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产生的环境问题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41"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c>
                <w:tcPr>
                  <w:tcW w:w="417" w:type="pct"/>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建设</w:t>
                  </w:r>
                </w:p>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内容</w:t>
                  </w:r>
                </w:p>
              </w:tc>
              <w:tc>
                <w:tcPr>
                  <w:tcW w:w="3146" w:type="pct"/>
                  <w:gridSpan w:val="2"/>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建设规模</w:t>
                  </w:r>
                </w:p>
              </w:tc>
              <w:tc>
                <w:tcPr>
                  <w:tcW w:w="570" w:type="pct"/>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建设期</w:t>
                  </w:r>
                </w:p>
              </w:tc>
              <w:tc>
                <w:tcPr>
                  <w:tcW w:w="525" w:type="pct"/>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营运期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0" w:hRule="atLeast"/>
                <w:jc w:val="center"/>
              </w:trPr>
              <w:tc>
                <w:tcPr>
                  <w:tcW w:w="341" w:type="pct"/>
                  <w:vMerge w:val="restart"/>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主体工程</w:t>
                  </w:r>
                </w:p>
              </w:tc>
              <w:tc>
                <w:tcPr>
                  <w:tcW w:w="417" w:type="pct"/>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道路工程</w:t>
                  </w:r>
                </w:p>
              </w:tc>
              <w:tc>
                <w:tcPr>
                  <w:tcW w:w="3146" w:type="pct"/>
                  <w:gridSpan w:val="2"/>
                  <w:noWrap w:val="0"/>
                  <w:vAlign w:val="center"/>
                </w:tcPr>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本项目走向由东向西，起点接已建的金南大道西延线三期西段道路工程，底层与已建环城路和规划道路平交，主线终点接达州绕西高速连接线隧道出口处100m位置</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p>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主线</w:t>
                  </w:r>
                  <w:r>
                    <w:rPr>
                      <w:rFonts w:hint="eastAsia" w:ascii="Times New Roman" w:hAnsi="Times New Roman" w:eastAsia="宋体" w:cs="Times New Roman"/>
                      <w:color w:val="000000" w:themeColor="text1"/>
                      <w:szCs w:val="21"/>
                      <w:highlight w:val="none"/>
                      <w14:textFill>
                        <w14:solidFill>
                          <w14:schemeClr w14:val="tx1"/>
                        </w14:solidFill>
                      </w14:textFill>
                    </w:rPr>
                    <w:t>左线2119.535m，右线2113.955m；底平层1294.936m；匝道桥2座。</w:t>
                  </w:r>
                </w:p>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主线为双向6车道（宽度25.5m），匝道为2车道（宽度9m），底层辅道在K0+499.853～K0+736.39范围内为双向8车道，K0+736.39～K1+339.437范围内为双向4车道，分离式路基段为单向3车道（宽度13m）。</w:t>
                  </w:r>
                </w:p>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设计起点～环城路K0+476.488段横断面为：50.5m路幅宽=4m人行道+7.5m车行道+1.0m绿化带+25.5m（挡墙）桥梁+1.0m绿化带+7.5m车行道+4m人行道。</w:t>
                  </w:r>
                </w:p>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K0+499.853～K0+736.390段标准断面：47.5m路幅宽=4.0m人行道+14.5m车行道+10.5m中央分隔带+14.5m车行道+4.0m人行道；上部跨线桥宽25.5m。</w:t>
                  </w:r>
                </w:p>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上、下匝道段K0+736.390～K0+795.805（挡墙段）K0+795.805～K1+042.103（桥梁段）标准断面：52.5m路幅宽=4m人行道+9m（挡墙）匝道桥+7.5m车行道+10.5m中央分隔带+7.5m车行道+9m（挡墙）匝道桥+4m人行道；上部跨线桥宽25.5m</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p>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K</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1+042.103</w:t>
                  </w:r>
                  <w:r>
                    <w:rPr>
                      <w:rFonts w:hint="eastAsia" w:ascii="Times New Roman" w:hAnsi="Times New Roman" w:eastAsia="宋体" w:cs="Times New Roman"/>
                      <w:color w:val="000000" w:themeColor="text1"/>
                      <w:szCs w:val="21"/>
                      <w:highlight w:val="none"/>
                      <w14:textFill>
                        <w14:solidFill>
                          <w14:schemeClr w14:val="tx1"/>
                        </w14:solidFill>
                      </w14:textFill>
                    </w:rPr>
                    <w:t>~K1+</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249.853</w:t>
                  </w:r>
                  <w:r>
                    <w:rPr>
                      <w:rFonts w:hint="eastAsia" w:ascii="Times New Roman" w:hAnsi="Times New Roman" w:eastAsia="宋体" w:cs="Times New Roman"/>
                      <w:color w:val="000000" w:themeColor="text1"/>
                      <w:szCs w:val="21"/>
                      <w:highlight w:val="none"/>
                      <w14:textFill>
                        <w14:solidFill>
                          <w14:schemeClr w14:val="tx1"/>
                        </w14:solidFill>
                      </w14:textFill>
                    </w:rPr>
                    <w:t>标准断面：</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33</w:t>
                  </w:r>
                  <w:r>
                    <w:rPr>
                      <w:rFonts w:hint="eastAsia" w:ascii="Times New Roman" w:hAnsi="Times New Roman" w:eastAsia="宋体" w:cs="Times New Roman"/>
                      <w:color w:val="000000" w:themeColor="text1"/>
                      <w:szCs w:val="21"/>
                      <w:highlight w:val="none"/>
                      <w14:textFill>
                        <w14:solidFill>
                          <w14:schemeClr w14:val="tx1"/>
                        </w14:solidFill>
                      </w14:textFill>
                    </w:rPr>
                    <w:t>.5m路幅宽=4m人行道+</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7.5</w:t>
                  </w:r>
                  <w:r>
                    <w:rPr>
                      <w:rFonts w:hint="eastAsia" w:ascii="Times New Roman" w:hAnsi="Times New Roman" w:eastAsia="宋体" w:cs="Times New Roman"/>
                      <w:color w:val="000000" w:themeColor="text1"/>
                      <w:szCs w:val="21"/>
                      <w:highlight w:val="none"/>
                      <w14:textFill>
                        <w14:solidFill>
                          <w14:schemeClr w14:val="tx1"/>
                        </w14:solidFill>
                      </w14:textFill>
                    </w:rPr>
                    <w:t>m车行道+10.5m中央分隔带+</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7.5</w:t>
                  </w:r>
                  <w:r>
                    <w:rPr>
                      <w:rFonts w:hint="eastAsia" w:ascii="Times New Roman" w:hAnsi="Times New Roman" w:eastAsia="宋体" w:cs="Times New Roman"/>
                      <w:color w:val="000000" w:themeColor="text1"/>
                      <w:szCs w:val="21"/>
                      <w:highlight w:val="none"/>
                      <w14:textFill>
                        <w14:solidFill>
                          <w14:schemeClr w14:val="tx1"/>
                        </w14:solidFill>
                      </w14:textFill>
                    </w:rPr>
                    <w:t>0m车行道+4m人行道</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；上部跨线桥宽</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33.5</w:t>
                  </w:r>
                  <w:r>
                    <w:rPr>
                      <w:rFonts w:hint="eastAsia" w:ascii="Times New Roman" w:hAnsi="Times New Roman" w:eastAsia="宋体" w:cs="Times New Roman"/>
                      <w:color w:val="000000" w:themeColor="text1"/>
                      <w:szCs w:val="21"/>
                      <w:highlight w:val="none"/>
                      <w14:textFill>
                        <w14:solidFill>
                          <w14:schemeClr w14:val="tx1"/>
                        </w14:solidFill>
                      </w14:textFill>
                    </w:rPr>
                    <w:t>m</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p>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eastAsia="zh-CN"/>
                      <w14:textFill>
                        <w14:solidFill>
                          <w14:schemeClr w14:val="tx1"/>
                        </w14:solidFill>
                      </w14:textFill>
                    </w:rPr>
                    <w:t>K1+249.853~底平层终点K1+586.903标准断面：33.5m路幅宽=4m人行道+7.5m车行道+10.5m中央分隔带+7.50m车行道+4m人行道；上部跨线桥宽25.5m。</w:t>
                  </w:r>
                </w:p>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eastAsia="zh-CN"/>
                      <w14:textFill>
                        <w14:solidFill>
                          <w14:schemeClr w14:val="tx1"/>
                        </w14:solidFill>
                      </w14:textFill>
                    </w:rPr>
                    <w:t>主线分离式路基段（K1+586.903~终点）：13m路幅宽=0.75m保护性路肩+11.5m车行道+0.75m保护性路肩。</w:t>
                  </w:r>
                </w:p>
              </w:tc>
              <w:tc>
                <w:tcPr>
                  <w:tcW w:w="570" w:type="pct"/>
                  <w:vMerge w:val="restart"/>
                  <w:noWrap w:val="0"/>
                  <w:vAlign w:val="center"/>
                </w:tcPr>
                <w:p>
                  <w:pPr>
                    <w:pStyle w:val="105"/>
                    <w:keepNext w:val="0"/>
                    <w:keepLines w:val="0"/>
                    <w:suppressLineNumbers w:val="0"/>
                    <w:adjustRightInd w:val="0"/>
                    <w:snapToGrid w:val="0"/>
                    <w:spacing w:before="0" w:beforeAutospacing="0" w:after="0" w:afterAutospacing="0"/>
                    <w:ind w:left="0" w:right="0"/>
                    <w:jc w:val="both"/>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噪声、扬尘、废水、</w:t>
                  </w:r>
                  <w:r>
                    <w:rPr>
                      <w:rFonts w:hint="eastAsia" w:ascii="Times New Roman" w:hAnsi="Times New Roman"/>
                      <w:color w:val="000000" w:themeColor="text1"/>
                      <w:szCs w:val="21"/>
                      <w:highlight w:val="none"/>
                      <w:lang w:val="en-US" w:eastAsia="zh-CN"/>
                      <w14:textFill>
                        <w14:solidFill>
                          <w14:schemeClr w14:val="tx1"/>
                        </w14:solidFill>
                      </w14:textFill>
                    </w:rPr>
                    <w:t>固废、</w:t>
                  </w:r>
                  <w:r>
                    <w:rPr>
                      <w:rFonts w:ascii="Times New Roman" w:hAnsi="Times New Roman"/>
                      <w:color w:val="000000" w:themeColor="text1"/>
                      <w:szCs w:val="21"/>
                      <w:highlight w:val="none"/>
                      <w14:textFill>
                        <w14:solidFill>
                          <w14:schemeClr w14:val="tx1"/>
                        </w14:solidFill>
                      </w14:textFill>
                    </w:rPr>
                    <w:cr/>
                  </w:r>
                  <w:r>
                    <w:rPr>
                      <w:rFonts w:ascii="Times New Roman" w:hAnsi="Times New Roman"/>
                      <w:color w:val="000000" w:themeColor="text1"/>
                      <w:szCs w:val="21"/>
                      <w:highlight w:val="none"/>
                      <w14:textFill>
                        <w14:solidFill>
                          <w14:schemeClr w14:val="tx1"/>
                        </w14:solidFill>
                      </w14:textFill>
                    </w:rPr>
                    <w:t>对沿线居民出行的影响</w:t>
                  </w:r>
                </w:p>
              </w:tc>
              <w:tc>
                <w:tcPr>
                  <w:tcW w:w="525" w:type="pct"/>
                  <w:vMerge w:val="restart"/>
                  <w:noWrap w:val="0"/>
                  <w:vAlign w:val="center"/>
                </w:tcPr>
                <w:p>
                  <w:pPr>
                    <w:pStyle w:val="105"/>
                    <w:keepNext w:val="0"/>
                    <w:keepLines w:val="0"/>
                    <w:suppressLineNumbers w:val="0"/>
                    <w:adjustRightInd w:val="0"/>
                    <w:snapToGrid w:val="0"/>
                    <w:spacing w:before="0" w:beforeAutospacing="0" w:after="0" w:afterAutospacing="0"/>
                    <w:ind w:left="0" w:right="0"/>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交通噪声</w:t>
                  </w:r>
                  <w:r>
                    <w:rPr>
                      <w:rFonts w:hint="eastAsia" w:ascii="Times New Roman" w:hAnsi="Times New Roman"/>
                      <w:color w:val="000000" w:themeColor="text1"/>
                      <w:szCs w:val="21"/>
                      <w:highlight w:val="none"/>
                      <w:lang w:eastAsia="zh-CN"/>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汽车尾气</w:t>
                  </w:r>
                  <w:r>
                    <w:rPr>
                      <w:rFonts w:hint="eastAsia" w:ascii="Times New Roman" w:hAnsi="Times New Roman"/>
                      <w:color w:val="000000" w:themeColor="text1"/>
                      <w:szCs w:val="21"/>
                      <w:highlight w:val="none"/>
                      <w:lang w:eastAsia="zh-CN"/>
                      <w14:textFill>
                        <w14:solidFill>
                          <w14:schemeClr w14:val="tx1"/>
                        </w14:solidFill>
                      </w14:textFill>
                    </w:rPr>
                    <w:t>、</w:t>
                  </w:r>
                  <w:r>
                    <w:rPr>
                      <w:rFonts w:hint="eastAsia" w:ascii="Times New Roman" w:hAnsi="Times New Roman"/>
                      <w:color w:val="000000" w:themeColor="text1"/>
                      <w:szCs w:val="21"/>
                      <w:highlight w:val="none"/>
                      <w:lang w:val="en-US" w:eastAsia="zh-CN"/>
                      <w14:textFill>
                        <w14:solidFill>
                          <w14:schemeClr w14:val="tx1"/>
                        </w14:solidFill>
                      </w14:textFill>
                    </w:rPr>
                    <w:t>道路</w:t>
                  </w:r>
                  <w:r>
                    <w:rPr>
                      <w:rFonts w:ascii="Times New Roman" w:hAnsi="Times New Roman"/>
                      <w:color w:val="000000" w:themeColor="text1"/>
                      <w:szCs w:val="21"/>
                      <w:highlight w:val="none"/>
                      <w14:textFill>
                        <w14:solidFill>
                          <w14:schemeClr w14:val="tx1"/>
                        </w14:solidFill>
                      </w14:textFill>
                    </w:rPr>
                    <w:t>扬尘</w:t>
                  </w:r>
                  <w:r>
                    <w:rPr>
                      <w:rFonts w:hint="eastAsia" w:ascii="Times New Roman" w:hAnsi="Times New Roman"/>
                      <w:color w:val="000000" w:themeColor="text1"/>
                      <w:szCs w:val="21"/>
                      <w:highlight w:val="none"/>
                      <w:lang w:eastAsia="zh-CN"/>
                      <w14:textFill>
                        <w14:solidFill>
                          <w14:schemeClr w14:val="tx1"/>
                        </w14:solidFill>
                      </w14:textFill>
                    </w:rPr>
                    <w:t>、</w:t>
                  </w:r>
                  <w:r>
                    <w:rPr>
                      <w:rFonts w:hint="eastAsia" w:ascii="Times New Roman" w:hAnsi="Times New Roman"/>
                      <w:color w:val="000000" w:themeColor="text1"/>
                      <w:szCs w:val="21"/>
                      <w:highlight w:val="none"/>
                      <w:lang w:val="en-US" w:eastAsia="zh-CN"/>
                      <w14:textFill>
                        <w14:solidFill>
                          <w14:schemeClr w14:val="tx1"/>
                        </w14:solidFill>
                      </w14:textFill>
                    </w:rPr>
                    <w:t>路面径流、过往车辆及行人丢弃的垃圾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41"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c>
                <w:tcPr>
                  <w:tcW w:w="417" w:type="pct"/>
                  <w:noWrap w:val="0"/>
                  <w:vAlign w:val="center"/>
                </w:tcPr>
                <w:p>
                  <w:pPr>
                    <w:pStyle w:val="105"/>
                    <w:keepNext w:val="0"/>
                    <w:keepLines w:val="0"/>
                    <w:suppressLineNumbers w:val="0"/>
                    <w:adjustRightInd w:val="0"/>
                    <w:snapToGrid w:val="0"/>
                    <w:spacing w:before="0" w:beforeAutospacing="0" w:after="0" w:afterAutospacing="0"/>
                    <w:ind w:left="0" w:right="0"/>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路基工程</w:t>
                  </w:r>
                </w:p>
              </w:tc>
              <w:tc>
                <w:tcPr>
                  <w:tcW w:w="3146" w:type="pct"/>
                  <w:gridSpan w:val="2"/>
                  <w:noWrap w:val="0"/>
                  <w:vAlign w:val="center"/>
                </w:tcPr>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优先选用级配好的砾类土、砂类土等粗粒土作填料</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，填石路堤顶部最后一层填石料的铺筑层厚不得大于0.4m，最大粒径不得大于150mm，其中小于5mm的细料含量不应小于30%，且铺筑层表面应无明显孔隙、空洞。填石路基顶面50cm采用碎石填筑。</w:t>
                  </w:r>
                </w:p>
              </w:tc>
              <w:tc>
                <w:tcPr>
                  <w:tcW w:w="570"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c>
                <w:tcPr>
                  <w:tcW w:w="525"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41"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c>
                <w:tcPr>
                  <w:tcW w:w="417" w:type="pct"/>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路面</w:t>
                  </w:r>
                </w:p>
                <w:p>
                  <w:pPr>
                    <w:pStyle w:val="105"/>
                    <w:keepNext w:val="0"/>
                    <w:keepLines w:val="0"/>
                    <w:suppressLineNumbers w:val="0"/>
                    <w:adjustRightInd w:val="0"/>
                    <w:snapToGrid w:val="0"/>
                    <w:spacing w:before="0" w:beforeAutospacing="0" w:after="0" w:afterAutospacing="0"/>
                    <w:ind w:left="0" w:right="0"/>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工程</w:t>
                  </w:r>
                </w:p>
              </w:tc>
              <w:tc>
                <w:tcPr>
                  <w:tcW w:w="3146" w:type="pct"/>
                  <w:gridSpan w:val="2"/>
                  <w:noWrap w:val="0"/>
                  <w:vAlign w:val="center"/>
                </w:tcPr>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both"/>
                    <w:textAlignment w:val="auto"/>
                    <w:rPr>
                      <w:rFonts w:hint="eastAsia" w:ascii="Times New Roman" w:hAnsi="Times New Roman" w:eastAsia="宋体" w:cs="Times New Roman"/>
                      <w:b/>
                      <w:bCs/>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b/>
                      <w:bCs/>
                      <w:color w:val="000000" w:themeColor="text1"/>
                      <w:szCs w:val="21"/>
                      <w:highlight w:val="none"/>
                      <w14:textFill>
                        <w14:solidFill>
                          <w14:schemeClr w14:val="tx1"/>
                        </w14:solidFill>
                      </w14:textFill>
                    </w:rPr>
                    <w:t>车行道路面结构</w:t>
                  </w:r>
                  <w:r>
                    <w:rPr>
                      <w:rFonts w:hint="eastAsia" w:ascii="Times New Roman" w:hAnsi="Times New Roman" w:eastAsia="宋体" w:cs="Times New Roman"/>
                      <w:b/>
                      <w:bCs/>
                      <w:color w:val="000000" w:themeColor="text1"/>
                      <w:szCs w:val="21"/>
                      <w:highlight w:val="none"/>
                      <w:lang w:eastAsia="zh-CN"/>
                      <w14:textFill>
                        <w14:solidFill>
                          <w14:schemeClr w14:val="tx1"/>
                        </w14:solidFill>
                      </w14:textFill>
                    </w:rPr>
                    <w:t>：</w:t>
                  </w:r>
                </w:p>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eastAsia"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14:textFill>
                        <w14:solidFill>
                          <w14:schemeClr w14:val="tx1"/>
                        </w14:solidFill>
                      </w14:textFill>
                    </w:rPr>
                    <w:t>沥青混凝土路面按重交通设计，设计使用年限15年，辅道、左右线路面结构为：</w:t>
                  </w:r>
                </w:p>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eastAsia"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14:textFill>
                        <w14:solidFill>
                          <w14:schemeClr w14:val="tx1"/>
                        </w14:solidFill>
                      </w14:textFill>
                    </w:rPr>
                    <w:t>上面层：4cm改性沥青玛蹄脂碎石(SMA-13)（添加玄武岩短切纤维）</w:t>
                  </w:r>
                </w:p>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eastAsia"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14:textFill>
                        <w14:solidFill>
                          <w14:schemeClr w14:val="tx1"/>
                        </w14:solidFill>
                      </w14:textFill>
                    </w:rPr>
                    <w:t>粘层：乳化沥青（PC-3）粘层油</w:t>
                  </w:r>
                </w:p>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eastAsia"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14:textFill>
                        <w14:solidFill>
                          <w14:schemeClr w14:val="tx1"/>
                        </w14:solidFill>
                      </w14:textFill>
                    </w:rPr>
                    <w:t>中面层：6cm中粒式沥青混凝土（AC-20C）</w:t>
                  </w:r>
                </w:p>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eastAsia"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14:textFill>
                        <w14:solidFill>
                          <w14:schemeClr w14:val="tx1"/>
                        </w14:solidFill>
                      </w14:textFill>
                    </w:rPr>
                    <w:t>粘层：乳化沥青（PC-3）粘层油</w:t>
                  </w:r>
                </w:p>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eastAsia"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14:textFill>
                        <w14:solidFill>
                          <w14:schemeClr w14:val="tx1"/>
                        </w14:solidFill>
                      </w14:textFill>
                    </w:rPr>
                    <w:t>下面层：8cm粗粒式沥青混凝土（AC-25C）</w:t>
                  </w:r>
                </w:p>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eastAsia"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14:textFill>
                        <w14:solidFill>
                          <w14:schemeClr w14:val="tx1"/>
                        </w14:solidFill>
                      </w14:textFill>
                    </w:rPr>
                    <w:t>下封层：0.7cmES-2乳化沥青稀浆封层</w:t>
                  </w:r>
                </w:p>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eastAsia"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14:textFill>
                        <w14:solidFill>
                          <w14:schemeClr w14:val="tx1"/>
                        </w14:solidFill>
                      </w14:textFill>
                    </w:rPr>
                    <w:t>透层：乳化沥青（PA-2）透层油</w:t>
                  </w:r>
                </w:p>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eastAsia"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14:textFill>
                        <w14:solidFill>
                          <w14:schemeClr w14:val="tx1"/>
                        </w14:solidFill>
                      </w14:textFill>
                    </w:rPr>
                    <w:t>基层：22cm厚5%水泥稳定碎石</w:t>
                  </w:r>
                </w:p>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eastAsia"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14:textFill>
                        <w14:solidFill>
                          <w14:schemeClr w14:val="tx1"/>
                        </w14:solidFill>
                      </w14:textFill>
                    </w:rPr>
                    <w:t>底基层：20cm厚4%水泥稳定碎石</w:t>
                  </w:r>
                </w:p>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eastAsia"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14:textFill>
                        <w14:solidFill>
                          <w14:schemeClr w14:val="tx1"/>
                        </w14:solidFill>
                      </w14:textFill>
                    </w:rPr>
                    <w:t>垫层：18cm厚级配碎石垫层</w:t>
                  </w:r>
                </w:p>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eastAsia"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14:textFill>
                        <w14:solidFill>
                          <w14:schemeClr w14:val="tx1"/>
                        </w14:solidFill>
                      </w14:textFill>
                    </w:rPr>
                    <w:t>土基回弹模量不小于40Mpa。</w:t>
                  </w:r>
                </w:p>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both"/>
                    <w:textAlignment w:val="auto"/>
                    <w:rPr>
                      <w:rFonts w:hint="eastAsia"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eastAsia="宋体" w:cs="Times New Roman"/>
                      <w:b/>
                      <w:bCs/>
                      <w:color w:val="000000" w:themeColor="text1"/>
                      <w:szCs w:val="21"/>
                      <w:highlight w:val="none"/>
                      <w14:textFill>
                        <w14:solidFill>
                          <w14:schemeClr w14:val="tx1"/>
                        </w14:solidFill>
                      </w14:textFill>
                    </w:rPr>
                    <w:t>人行道结构组合如下（从上至下）：</w:t>
                  </w:r>
                </w:p>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eastAsia"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14:textFill>
                        <w14:solidFill>
                          <w14:schemeClr w14:val="tx1"/>
                        </w14:solidFill>
                      </w14:textFill>
                    </w:rPr>
                    <w:t>面层：30×60×5cm花岗石面砖</w:t>
                  </w:r>
                </w:p>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eastAsia"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14:textFill>
                        <w14:solidFill>
                          <w14:schemeClr w14:val="tx1"/>
                        </w14:solidFill>
                      </w14:textFill>
                    </w:rPr>
                    <w:t>找平层：3cm厚M10水泥砂浆找平层</w:t>
                  </w:r>
                </w:p>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14:textFill>
                        <w14:solidFill>
                          <w14:schemeClr w14:val="tx1"/>
                        </w14:solidFill>
                      </w14:textFill>
                    </w:rPr>
                    <w:t>基层：20cm厚C20混凝土</w:t>
                  </w:r>
                </w:p>
              </w:tc>
              <w:tc>
                <w:tcPr>
                  <w:tcW w:w="570"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c>
                <w:tcPr>
                  <w:tcW w:w="525"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41"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c>
                <w:tcPr>
                  <w:tcW w:w="417" w:type="pct"/>
                  <w:noWrap w:val="0"/>
                  <w:vAlign w:val="center"/>
                </w:tcPr>
                <w:p>
                  <w:pPr>
                    <w:pStyle w:val="105"/>
                    <w:keepNext w:val="0"/>
                    <w:keepLines w:val="0"/>
                    <w:suppressLineNumbers w:val="0"/>
                    <w:adjustRightInd w:val="0"/>
                    <w:snapToGrid w:val="0"/>
                    <w:spacing w:before="0" w:beforeAutospacing="0" w:after="0" w:afterAutospacing="0"/>
                    <w:ind w:left="0" w:right="0"/>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桥梁工程</w:t>
                  </w:r>
                </w:p>
              </w:tc>
              <w:tc>
                <w:tcPr>
                  <w:tcW w:w="3146" w:type="pct"/>
                  <w:gridSpan w:val="2"/>
                  <w:noWrap w:val="0"/>
                  <w:vAlign w:val="center"/>
                </w:tcPr>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eastAsia" w:ascii="宋体" w:hAnsi="宋体"/>
                      <w:color w:val="000000" w:themeColor="text1"/>
                      <w:kern w:val="0"/>
                      <w:szCs w:val="21"/>
                      <w:highlight w:val="none"/>
                      <w:lang w:val="en-US" w:eastAsia="zh-CN"/>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金南大道主线桥</w:t>
                  </w:r>
                  <w:r>
                    <w:rPr>
                      <w:rFonts w:hint="eastAsia" w:ascii="宋体" w:hAnsi="宋体"/>
                      <w:color w:val="000000" w:themeColor="text1"/>
                      <w:kern w:val="0"/>
                      <w:szCs w:val="21"/>
                      <w:highlight w:val="none"/>
                      <w:lang w:val="en-US" w:eastAsia="zh-CN"/>
                      <w14:textFill>
                        <w14:solidFill>
                          <w14:schemeClr w14:val="tx1"/>
                        </w14:solidFill>
                      </w14:textFill>
                    </w:rPr>
                    <w:t>全长1318米（K0+268.803～K1+586.803），跨越26m已建环城路、2条规划道路以及规划外环快速。</w:t>
                  </w:r>
                </w:p>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eastAsia" w:ascii="宋体" w:hAnsi="宋体"/>
                      <w:color w:val="000000" w:themeColor="text1"/>
                      <w:kern w:val="0"/>
                      <w:szCs w:val="21"/>
                      <w:highlight w:val="none"/>
                      <w:lang w:val="en-US" w:eastAsia="zh-CN"/>
                      <w14:textFill>
                        <w14:solidFill>
                          <w14:schemeClr w14:val="tx1"/>
                        </w14:solidFill>
                      </w14:textFill>
                    </w:rPr>
                  </w:pPr>
                  <w:r>
                    <w:rPr>
                      <w:rFonts w:hint="default" w:ascii="宋体" w:hAnsi="宋体"/>
                      <w:color w:val="000000" w:themeColor="text1"/>
                      <w:kern w:val="0"/>
                      <w:szCs w:val="21"/>
                      <w:highlight w:val="none"/>
                      <w:lang w:val="en-US" w:eastAsia="zh-CN"/>
                      <w14:textFill>
                        <w14:solidFill>
                          <w14:schemeClr w14:val="tx1"/>
                        </w14:solidFill>
                      </w14:textFill>
                    </w:rPr>
                    <w:t>金南大道辅道桥</w:t>
                  </w:r>
                  <w:r>
                    <w:rPr>
                      <w:rFonts w:hint="eastAsia" w:ascii="宋体" w:hAnsi="宋体"/>
                      <w:color w:val="000000" w:themeColor="text1"/>
                      <w:kern w:val="0"/>
                      <w:szCs w:val="21"/>
                      <w:highlight w:val="none"/>
                      <w:lang w:val="en-US" w:eastAsia="zh-CN"/>
                      <w14:textFill>
                        <w14:solidFill>
                          <w14:schemeClr w14:val="tx1"/>
                        </w14:solidFill>
                      </w14:textFill>
                    </w:rPr>
                    <w:t>全长244米（K0+795.855～K1+039.855）。</w:t>
                  </w:r>
                </w:p>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eastAsia" w:ascii="宋体" w:hAnsi="宋体"/>
                      <w:color w:val="000000" w:themeColor="text1"/>
                      <w:kern w:val="0"/>
                      <w:szCs w:val="21"/>
                      <w:highlight w:val="none"/>
                      <w:lang w:val="en-US" w:eastAsia="zh-CN"/>
                      <w14:textFill>
                        <w14:solidFill>
                          <w14:schemeClr w14:val="tx1"/>
                        </w14:solidFill>
                      </w14:textFill>
                    </w:rPr>
                  </w:pPr>
                  <w:r>
                    <w:rPr>
                      <w:rFonts w:hint="eastAsia" w:ascii="宋体" w:hAnsi="宋体"/>
                      <w:color w:val="000000" w:themeColor="text1"/>
                      <w:kern w:val="0"/>
                      <w:szCs w:val="21"/>
                      <w:highlight w:val="none"/>
                      <w:lang w:val="en-US" w:eastAsia="zh-CN"/>
                      <w14:textFill>
                        <w14:solidFill>
                          <w14:schemeClr w14:val="tx1"/>
                        </w14:solidFill>
                      </w14:textFill>
                    </w:rPr>
                    <w:t>采用钢箱梁或混凝土现浇连续箱梁，桥墩采用30m预制预应力简支小箱梁（桥面连续）结构，下部结构桥墩采用大悬臂花瓶墩。</w:t>
                  </w:r>
                </w:p>
              </w:tc>
              <w:tc>
                <w:tcPr>
                  <w:tcW w:w="570"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c>
                <w:tcPr>
                  <w:tcW w:w="525"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41"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c>
                <w:tcPr>
                  <w:tcW w:w="417" w:type="pct"/>
                  <w:noWrap w:val="0"/>
                  <w:vAlign w:val="center"/>
                </w:tcPr>
                <w:p>
                  <w:pPr>
                    <w:pStyle w:val="105"/>
                    <w:keepNext w:val="0"/>
                    <w:keepLines w:val="0"/>
                    <w:suppressLineNumbers w:val="0"/>
                    <w:adjustRightInd w:val="0"/>
                    <w:snapToGrid w:val="0"/>
                    <w:spacing w:before="0" w:beforeAutospacing="0" w:after="0" w:afterAutospacing="0"/>
                    <w:ind w:left="0" w:right="0"/>
                    <w:rPr>
                      <w:rFonts w:hint="default" w:ascii="Times New Roman" w:hAnsi="Times New Roman"/>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护坡工程</w:t>
                  </w:r>
                </w:p>
              </w:tc>
              <w:tc>
                <w:tcPr>
                  <w:tcW w:w="3146" w:type="pct"/>
                  <w:gridSpan w:val="2"/>
                  <w:noWrap w:val="0"/>
                  <w:vAlign w:val="center"/>
                </w:tcPr>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eastAsia" w:ascii="宋体" w:hAnsi="宋体"/>
                      <w:color w:val="000000" w:themeColor="text1"/>
                      <w:kern w:val="0"/>
                      <w:szCs w:val="21"/>
                      <w:highlight w:val="none"/>
                      <w:lang w:val="en-US" w:eastAsia="zh-CN"/>
                      <w14:textFill>
                        <w14:solidFill>
                          <w14:schemeClr w14:val="tx1"/>
                        </w14:solidFill>
                      </w14:textFill>
                    </w:rPr>
                  </w:pPr>
                  <w:r>
                    <w:rPr>
                      <w:rFonts w:hint="eastAsia" w:ascii="宋体" w:hAnsi="宋体"/>
                      <w:color w:val="000000" w:themeColor="text1"/>
                      <w:kern w:val="0"/>
                      <w:szCs w:val="21"/>
                      <w:highlight w:val="none"/>
                      <w:lang w:val="en-US" w:eastAsia="zh-CN"/>
                      <w14:textFill>
                        <w14:solidFill>
                          <w14:schemeClr w14:val="tx1"/>
                        </w14:solidFill>
                      </w14:textFill>
                    </w:rPr>
                    <w:t>路基防护主要以植物防护为主，辅以少量工程防护。部分填方坡脚位于斜坡地段，为保证路基整体稳定，在部分斜坡填方地段设置C20砼衡重式挡墙。</w:t>
                  </w:r>
                </w:p>
              </w:tc>
              <w:tc>
                <w:tcPr>
                  <w:tcW w:w="570"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c>
                <w:tcPr>
                  <w:tcW w:w="525"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41"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c>
                <w:tcPr>
                  <w:tcW w:w="417" w:type="pct"/>
                  <w:noWrap w:val="0"/>
                  <w:vAlign w:val="center"/>
                </w:tcPr>
                <w:p>
                  <w:pPr>
                    <w:pStyle w:val="105"/>
                    <w:keepNext w:val="0"/>
                    <w:keepLines w:val="0"/>
                    <w:suppressLineNumbers w:val="0"/>
                    <w:adjustRightInd w:val="0"/>
                    <w:snapToGrid w:val="0"/>
                    <w:spacing w:before="0" w:beforeAutospacing="0" w:after="0" w:afterAutospacing="0"/>
                    <w:ind w:left="0" w:right="0"/>
                    <w:rPr>
                      <w:rFonts w:hint="default" w:ascii="Times New Roman" w:hAnsi="Times New Roman"/>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涵洞工程</w:t>
                  </w:r>
                </w:p>
              </w:tc>
              <w:tc>
                <w:tcPr>
                  <w:tcW w:w="3146" w:type="pct"/>
                  <w:gridSpan w:val="2"/>
                  <w:noWrap w:val="0"/>
                  <w:vAlign w:val="center"/>
                </w:tcPr>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default" w:ascii="宋体" w:hAnsi="宋体"/>
                      <w:color w:val="000000" w:themeColor="text1"/>
                      <w:kern w:val="0"/>
                      <w:szCs w:val="21"/>
                      <w:highlight w:val="none"/>
                      <w:lang w:val="en-US" w:eastAsia="zh-CN"/>
                      <w14:textFill>
                        <w14:solidFill>
                          <w14:schemeClr w14:val="tx1"/>
                        </w14:solidFill>
                      </w14:textFill>
                    </w:rPr>
                  </w:pPr>
                  <w:r>
                    <w:rPr>
                      <w:rFonts w:hint="default" w:ascii="宋体" w:hAnsi="宋体"/>
                      <w:color w:val="000000" w:themeColor="text1"/>
                      <w:kern w:val="0"/>
                      <w:szCs w:val="21"/>
                      <w:highlight w:val="none"/>
                      <w:lang w:val="en-US" w:eastAsia="zh-CN"/>
                      <w14:textFill>
                        <w14:solidFill>
                          <w14:schemeClr w14:val="tx1"/>
                        </w14:solidFill>
                      </w14:textFill>
                    </w:rPr>
                    <w:t>本项目金南大道共设置8道涵洞</w:t>
                  </w:r>
                  <w:r>
                    <w:rPr>
                      <w:rFonts w:hint="eastAsia" w:ascii="宋体" w:hAnsi="宋体"/>
                      <w:color w:val="000000" w:themeColor="text1"/>
                      <w:kern w:val="0"/>
                      <w:szCs w:val="21"/>
                      <w:highlight w:val="none"/>
                      <w:lang w:val="en-US" w:eastAsia="zh-CN"/>
                      <w14:textFill>
                        <w14:solidFill>
                          <w14:schemeClr w14:val="tx1"/>
                        </w14:solidFill>
                      </w14:textFill>
                    </w:rPr>
                    <w:t>（其中4处为临时涵洞）</w:t>
                  </w:r>
                  <w:r>
                    <w:rPr>
                      <w:rFonts w:hint="default" w:ascii="宋体" w:hAnsi="宋体"/>
                      <w:color w:val="000000" w:themeColor="text1"/>
                      <w:kern w:val="0"/>
                      <w:szCs w:val="21"/>
                      <w:highlight w:val="none"/>
                      <w:lang w:val="en-US" w:eastAsia="zh-CN"/>
                      <w14:textFill>
                        <w14:solidFill>
                          <w14:schemeClr w14:val="tx1"/>
                        </w14:solidFill>
                      </w14:textFill>
                    </w:rPr>
                    <w:t>，总涵长1147m。</w:t>
                  </w:r>
                  <w:r>
                    <w:rPr>
                      <w:rFonts w:hint="eastAsia" w:ascii="宋体" w:hAnsi="宋体"/>
                      <w:color w:val="000000" w:themeColor="text1"/>
                      <w:kern w:val="0"/>
                      <w:szCs w:val="21"/>
                      <w:highlight w:val="none"/>
                      <w:lang w:val="en-US" w:eastAsia="zh-CN"/>
                      <w14:textFill>
                        <w14:solidFill>
                          <w14:schemeClr w14:val="tx1"/>
                        </w14:solidFill>
                      </w14:textFill>
                    </w:rPr>
                    <w:t>采用</w:t>
                  </w:r>
                  <w:r>
                    <w:rPr>
                      <w:rFonts w:hint="eastAsia" w:ascii="宋体" w:hAnsi="宋体"/>
                      <w:color w:val="000000" w:themeColor="text1"/>
                      <w:szCs w:val="21"/>
                      <w:highlight w:val="none"/>
                      <w14:textFill>
                        <w14:solidFill>
                          <w14:schemeClr w14:val="tx1"/>
                        </w14:solidFill>
                      </w14:textFill>
                    </w:rPr>
                    <w:t>钢波纹管涵</w:t>
                  </w:r>
                  <w:r>
                    <w:rPr>
                      <w:rFonts w:hint="eastAsia" w:ascii="宋体" w:hAnsi="宋体"/>
                      <w:color w:val="000000" w:themeColor="text1"/>
                      <w:szCs w:val="21"/>
                      <w:highlight w:val="none"/>
                      <w:lang w:val="en-US" w:eastAsia="zh-CN"/>
                      <w14:textFill>
                        <w14:solidFill>
                          <w14:schemeClr w14:val="tx1"/>
                        </w14:solidFill>
                      </w14:textFill>
                    </w:rPr>
                    <w:t>或通道箱涵。</w:t>
                  </w:r>
                </w:p>
              </w:tc>
              <w:tc>
                <w:tcPr>
                  <w:tcW w:w="570"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c>
                <w:tcPr>
                  <w:tcW w:w="525"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41"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c>
                <w:tcPr>
                  <w:tcW w:w="417" w:type="pct"/>
                  <w:noWrap w:val="0"/>
                  <w:vAlign w:val="center"/>
                </w:tcPr>
                <w:p>
                  <w:pPr>
                    <w:pStyle w:val="105"/>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交叉工程</w:t>
                  </w:r>
                </w:p>
              </w:tc>
              <w:tc>
                <w:tcPr>
                  <w:tcW w:w="3146" w:type="pct"/>
                  <w:gridSpan w:val="2"/>
                  <w:noWrap w:val="0"/>
                  <w:vAlign w:val="center"/>
                </w:tcPr>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bCs/>
                      <w:color w:val="000000" w:themeColor="text1"/>
                      <w:szCs w:val="21"/>
                      <w:highlight w:val="none"/>
                      <w:lang w:val="en-US" w:eastAsia="zh-CN"/>
                      <w14:textFill>
                        <w14:solidFill>
                          <w14:schemeClr w14:val="tx1"/>
                        </w14:solidFill>
                      </w14:textFill>
                    </w:rPr>
                    <w:t>沿线</w:t>
                  </w:r>
                  <w:r>
                    <w:rPr>
                      <w:rFonts w:hint="eastAsia" w:ascii="Times New Roman" w:hAnsi="Times New Roman"/>
                      <w:bCs/>
                      <w:color w:val="000000" w:themeColor="text1"/>
                      <w:szCs w:val="21"/>
                      <w:highlight w:val="none"/>
                      <w14:textFill>
                        <w14:solidFill>
                          <w14:schemeClr w14:val="tx1"/>
                        </w14:solidFill>
                      </w14:textFill>
                    </w:rPr>
                    <w:t>存在</w:t>
                  </w:r>
                  <w:r>
                    <w:rPr>
                      <w:rFonts w:hint="eastAsia" w:ascii="Times New Roman" w:hAnsi="Times New Roman"/>
                      <w:bCs/>
                      <w:color w:val="000000" w:themeColor="text1"/>
                      <w:szCs w:val="21"/>
                      <w:highlight w:val="none"/>
                      <w:lang w:val="en-US" w:eastAsia="zh-CN"/>
                      <w14:textFill>
                        <w14:solidFill>
                          <w14:schemeClr w14:val="tx1"/>
                        </w14:solidFill>
                      </w14:textFill>
                    </w:rPr>
                    <w:t>4处</w:t>
                  </w:r>
                  <w:r>
                    <w:rPr>
                      <w:rFonts w:hint="eastAsia" w:ascii="Times New Roman" w:hAnsi="Times New Roman"/>
                      <w:bCs/>
                      <w:color w:val="000000" w:themeColor="text1"/>
                      <w:szCs w:val="21"/>
                      <w:highlight w:val="none"/>
                      <w14:textFill>
                        <w14:solidFill>
                          <w14:schemeClr w14:val="tx1"/>
                        </w14:solidFill>
                      </w14:textFill>
                    </w:rPr>
                    <w:t>交叉工程，</w:t>
                  </w:r>
                  <w:r>
                    <w:rPr>
                      <w:rFonts w:hint="eastAsia" w:ascii="Times New Roman" w:hAnsi="Times New Roman"/>
                      <w:bCs/>
                      <w:color w:val="000000" w:themeColor="text1"/>
                      <w:szCs w:val="21"/>
                      <w:highlight w:val="none"/>
                      <w:lang w:val="en-US" w:eastAsia="zh-CN"/>
                      <w14:textFill>
                        <w14:solidFill>
                          <w14:schemeClr w14:val="tx1"/>
                        </w14:solidFill>
                      </w14:textFill>
                    </w:rPr>
                    <w:t>主线为立体交叉，地面层为十字交叉</w:t>
                  </w:r>
                  <w:r>
                    <w:rPr>
                      <w:rFonts w:hint="eastAsia" w:ascii="Times New Roman" w:hAnsi="Times New Roman"/>
                      <w:bCs/>
                      <w:color w:val="000000" w:themeColor="text1"/>
                      <w:szCs w:val="21"/>
                      <w:highlight w:val="none"/>
                      <w14:textFill>
                        <w14:solidFill>
                          <w14:schemeClr w14:val="tx1"/>
                        </w14:solidFill>
                      </w14:textFill>
                    </w:rPr>
                    <w:t>。</w:t>
                  </w:r>
                </w:p>
              </w:tc>
              <w:tc>
                <w:tcPr>
                  <w:tcW w:w="570"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c>
                <w:tcPr>
                  <w:tcW w:w="525"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41" w:type="pct"/>
                  <w:vMerge w:val="restart"/>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附属</w:t>
                  </w:r>
                  <w:r>
                    <w:rPr>
                      <w:rFonts w:ascii="Times New Roman" w:hAnsi="Times New Roman"/>
                      <w:color w:val="000000" w:themeColor="text1"/>
                      <w:szCs w:val="21"/>
                      <w:highlight w:val="none"/>
                      <w14:textFill>
                        <w14:solidFill>
                          <w14:schemeClr w14:val="tx1"/>
                        </w14:solidFill>
                      </w14:textFill>
                    </w:rPr>
                    <w:t>工程</w:t>
                  </w:r>
                </w:p>
              </w:tc>
              <w:tc>
                <w:tcPr>
                  <w:tcW w:w="417" w:type="pct"/>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交安</w:t>
                  </w:r>
                </w:p>
                <w:p>
                  <w:pPr>
                    <w:pStyle w:val="105"/>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工程</w:t>
                  </w:r>
                </w:p>
              </w:tc>
              <w:tc>
                <w:tcPr>
                  <w:tcW w:w="3146" w:type="pct"/>
                  <w:gridSpan w:val="2"/>
                  <w:noWrap w:val="0"/>
                  <w:vAlign w:val="center"/>
                </w:tcPr>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项目全线交通工程主要包括交通标志、交通标线</w:t>
                  </w:r>
                  <w:r>
                    <w:rPr>
                      <w:rFonts w:hint="eastAsia" w:ascii="Times New Roman" w:hAnsi="Times New Roman"/>
                      <w:color w:val="000000" w:themeColor="text1"/>
                      <w:szCs w:val="21"/>
                      <w:highlight w:val="none"/>
                      <w:lang w:val="en-US" w:eastAsia="zh-CN"/>
                      <w14:textFill>
                        <w14:solidFill>
                          <w14:schemeClr w14:val="tx1"/>
                        </w14:solidFill>
                      </w14:textFill>
                    </w:rPr>
                    <w:t>和交通</w:t>
                  </w:r>
                  <w:r>
                    <w:rPr>
                      <w:rFonts w:ascii="Times New Roman" w:hAnsi="Times New Roman"/>
                      <w:color w:val="000000" w:themeColor="text1"/>
                      <w:szCs w:val="21"/>
                      <w:highlight w:val="none"/>
                      <w14:textFill>
                        <w14:solidFill>
                          <w14:schemeClr w14:val="tx1"/>
                        </w14:solidFill>
                      </w14:textFill>
                    </w:rPr>
                    <w:t>信号</w:t>
                  </w:r>
                  <w:r>
                    <w:rPr>
                      <w:rFonts w:hint="eastAsia" w:ascii="Times New Roman" w:hAnsi="Times New Roman"/>
                      <w:color w:val="000000" w:themeColor="text1"/>
                      <w:szCs w:val="21"/>
                      <w:highlight w:val="none"/>
                      <w:lang w:val="en-US" w:eastAsia="zh-CN"/>
                      <w14:textFill>
                        <w14:solidFill>
                          <w14:schemeClr w14:val="tx1"/>
                        </w14:solidFill>
                      </w14:textFill>
                    </w:rPr>
                    <w:t>灯</w:t>
                  </w:r>
                  <w:r>
                    <w:rPr>
                      <w:rFonts w:ascii="Times New Roman" w:hAnsi="Times New Roman"/>
                      <w:color w:val="000000" w:themeColor="text1"/>
                      <w:szCs w:val="21"/>
                      <w:highlight w:val="none"/>
                      <w14:textFill>
                        <w14:solidFill>
                          <w14:schemeClr w14:val="tx1"/>
                        </w14:solidFill>
                      </w14:textFill>
                    </w:rPr>
                    <w:t>。</w:t>
                  </w:r>
                </w:p>
              </w:tc>
              <w:tc>
                <w:tcPr>
                  <w:tcW w:w="570"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jc w:val="both"/>
                    <w:rPr>
                      <w:rFonts w:ascii="Times New Roman" w:hAnsi="Times New Roman"/>
                      <w:color w:val="000000" w:themeColor="text1"/>
                      <w:szCs w:val="21"/>
                      <w:highlight w:val="none"/>
                      <w14:textFill>
                        <w14:solidFill>
                          <w14:schemeClr w14:val="tx1"/>
                        </w14:solidFill>
                      </w14:textFill>
                    </w:rPr>
                  </w:pPr>
                </w:p>
              </w:tc>
              <w:tc>
                <w:tcPr>
                  <w:tcW w:w="525"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41"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c>
                <w:tcPr>
                  <w:tcW w:w="417" w:type="pct"/>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排水</w:t>
                  </w:r>
                </w:p>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工程</w:t>
                  </w:r>
                </w:p>
              </w:tc>
              <w:tc>
                <w:tcPr>
                  <w:tcW w:w="3146" w:type="pct"/>
                  <w:gridSpan w:val="2"/>
                  <w:noWrap w:val="0"/>
                  <w:vAlign w:val="center"/>
                </w:tcPr>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2" w:firstLineChars="200"/>
                    <w:jc w:val="both"/>
                    <w:textAlignment w:val="auto"/>
                    <w:rPr>
                      <w:rFonts w:hint="eastAsia" w:ascii="Times New Roman" w:hAnsi="Times New Roman" w:eastAsia="宋体"/>
                      <w:b/>
                      <w:bCs/>
                      <w:color w:val="000000" w:themeColor="text1"/>
                      <w:kern w:val="0"/>
                      <w:highlight w:val="none"/>
                      <w:lang w:eastAsia="zh-CN"/>
                      <w14:textFill>
                        <w14:solidFill>
                          <w14:schemeClr w14:val="tx1"/>
                        </w14:solidFill>
                      </w14:textFill>
                    </w:rPr>
                  </w:pPr>
                  <w:r>
                    <w:rPr>
                      <w:rFonts w:ascii="Times New Roman" w:hAnsi="Times New Roman"/>
                      <w:b/>
                      <w:bCs/>
                      <w:color w:val="000000" w:themeColor="text1"/>
                      <w:kern w:val="0"/>
                      <w:highlight w:val="none"/>
                      <w14:textFill>
                        <w14:solidFill>
                          <w14:schemeClr w14:val="tx1"/>
                        </w14:solidFill>
                      </w14:textFill>
                    </w:rPr>
                    <w:t>污水管道</w:t>
                  </w:r>
                  <w:r>
                    <w:rPr>
                      <w:rFonts w:hint="eastAsia" w:ascii="Times New Roman" w:hAnsi="Times New Roman"/>
                      <w:b/>
                      <w:bCs/>
                      <w:color w:val="000000" w:themeColor="text1"/>
                      <w:kern w:val="0"/>
                      <w:highlight w:val="none"/>
                      <w:lang w:eastAsia="zh-CN"/>
                      <w14:textFill>
                        <w14:solidFill>
                          <w14:schemeClr w14:val="tx1"/>
                        </w14:solidFill>
                      </w14:textFill>
                    </w:rPr>
                    <w:t>：</w:t>
                  </w:r>
                </w:p>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eastAsia" w:ascii="Times New Roman" w:hAnsi="Times New Roman" w:eastAsia="宋体"/>
                      <w:bCs/>
                      <w:color w:val="000000" w:themeColor="text1"/>
                      <w:szCs w:val="21"/>
                      <w:highlight w:val="none"/>
                      <w:lang w:eastAsia="zh-CN"/>
                      <w14:textFill>
                        <w14:solidFill>
                          <w14:schemeClr w14:val="tx1"/>
                        </w14:solidFill>
                      </w14:textFill>
                    </w:rPr>
                  </w:pPr>
                  <w:r>
                    <w:rPr>
                      <w:rFonts w:hint="eastAsia" w:ascii="Times New Roman" w:hAnsi="Times New Roman"/>
                      <w:bCs/>
                      <w:color w:val="000000" w:themeColor="text1"/>
                      <w:szCs w:val="21"/>
                      <w:highlight w:val="none"/>
                      <w14:textFill>
                        <w14:solidFill>
                          <w14:schemeClr w14:val="tx1"/>
                        </w14:solidFill>
                      </w14:textFill>
                    </w:rPr>
                    <w:t>污</w:t>
                  </w:r>
                  <w:r>
                    <w:rPr>
                      <w:rFonts w:hint="eastAsia" w:ascii="Times New Roman" w:hAnsi="Times New Roman" w:eastAsia="宋体" w:cs="Times New Roman"/>
                      <w:bCs/>
                      <w:color w:val="000000" w:themeColor="text1"/>
                      <w:szCs w:val="21"/>
                      <w:highlight w:val="none"/>
                      <w14:textFill>
                        <w14:solidFill>
                          <w14:schemeClr w14:val="tx1"/>
                        </w14:solidFill>
                      </w14:textFill>
                    </w:rPr>
                    <w:t>水</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干</w:t>
                  </w:r>
                  <w:r>
                    <w:rPr>
                      <w:rFonts w:hint="eastAsia" w:ascii="Times New Roman" w:hAnsi="Times New Roman" w:eastAsia="宋体" w:cs="Times New Roman"/>
                      <w:bCs/>
                      <w:color w:val="000000" w:themeColor="text1"/>
                      <w:szCs w:val="21"/>
                      <w:highlight w:val="none"/>
                      <w14:textFill>
                        <w14:solidFill>
                          <w14:schemeClr w14:val="tx1"/>
                        </w14:solidFill>
                      </w14:textFill>
                    </w:rPr>
                    <w:t>管</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沿线</w:t>
                  </w:r>
                  <w:r>
                    <w:rPr>
                      <w:rFonts w:hint="eastAsia" w:ascii="Times New Roman" w:hAnsi="Times New Roman" w:eastAsia="宋体" w:cs="Times New Roman"/>
                      <w:bCs/>
                      <w:color w:val="000000" w:themeColor="text1"/>
                      <w:szCs w:val="21"/>
                      <w:highlight w:val="none"/>
                      <w14:textFill>
                        <w14:solidFill>
                          <w14:schemeClr w14:val="tx1"/>
                        </w14:solidFill>
                      </w14:textFill>
                    </w:rPr>
                    <w:t>双侧布置，每隔120米左右设置支管，预埋支管伸至红线外2米处</w:t>
                  </w:r>
                  <w: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szCs w:val="21"/>
                      <w:highlight w:val="none"/>
                      <w14:textFill>
                        <w14:solidFill>
                          <w14:schemeClr w14:val="tx1"/>
                        </w14:solidFill>
                      </w14:textFill>
                    </w:rPr>
                    <w:t>污水干管管径为d500</w:t>
                  </w:r>
                  <w:r>
                    <w:rPr>
                      <w:rFonts w:hint="eastAsia" w:ascii="Times New Roman" w:hAnsi="Times New Roman"/>
                      <w:bCs/>
                      <w:color w:val="000000" w:themeColor="text1"/>
                      <w:szCs w:val="21"/>
                      <w:highlight w:val="none"/>
                      <w:lang w:eastAsia="zh-CN"/>
                      <w14:textFill>
                        <w14:solidFill>
                          <w14:schemeClr w14:val="tx1"/>
                        </w14:solidFill>
                      </w14:textFill>
                    </w:rPr>
                    <w:t>，</w:t>
                  </w:r>
                  <w:r>
                    <w:rPr>
                      <w:rFonts w:hint="eastAsia" w:ascii="Times New Roman" w:hAnsi="Times New Roman"/>
                      <w:bCs/>
                      <w:color w:val="000000" w:themeColor="text1"/>
                      <w:szCs w:val="21"/>
                      <w:highlight w:val="none"/>
                      <w14:textFill>
                        <w14:solidFill>
                          <w14:schemeClr w14:val="tx1"/>
                        </w14:solidFill>
                      </w14:textFill>
                    </w:rPr>
                    <w:t>管材采用MPVE双壁波纹管</w:t>
                  </w:r>
                  <w:r>
                    <w:rPr>
                      <w:rFonts w:hint="eastAsia" w:ascii="Times New Roman" w:hAnsi="Times New Roman" w:eastAsia="宋体" w:cs="Times New Roman"/>
                      <w:bCs/>
                      <w:color w:val="000000" w:themeColor="text1"/>
                      <w:szCs w:val="21"/>
                      <w:highlight w:val="none"/>
                      <w14:textFill>
                        <w14:solidFill>
                          <w14:schemeClr w14:val="tx1"/>
                        </w14:solidFill>
                      </w14:textFill>
                    </w:rPr>
                    <w:t>。污水管道污水管道排至环城路规划污水管道</w:t>
                  </w:r>
                  <w: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szCs w:val="21"/>
                      <w:highlight w:val="none"/>
                      <w14:textFill>
                        <w14:solidFill>
                          <w14:schemeClr w14:val="tx1"/>
                        </w14:solidFill>
                      </w14:textFill>
                    </w:rPr>
                    <w:t>现状环城路无污水管</w:t>
                  </w:r>
                  <w: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szCs w:val="21"/>
                      <w:highlight w:val="none"/>
                      <w14:textFill>
                        <w14:solidFill>
                          <w14:schemeClr w14:val="tx1"/>
                        </w14:solidFill>
                      </w14:textFill>
                    </w:rPr>
                    <w:t>，因此本次</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拟</w:t>
                  </w:r>
                  <w:r>
                    <w:rPr>
                      <w:rFonts w:hint="eastAsia" w:ascii="Times New Roman" w:hAnsi="Times New Roman" w:eastAsia="宋体" w:cs="Times New Roman"/>
                      <w:bCs/>
                      <w:color w:val="000000" w:themeColor="text1"/>
                      <w:szCs w:val="21"/>
                      <w:highlight w:val="none"/>
                      <w14:textFill>
                        <w14:solidFill>
                          <w14:schemeClr w14:val="tx1"/>
                        </w14:solidFill>
                      </w14:textFill>
                    </w:rPr>
                    <w:t>在道路终点处设置提升泵站</w:t>
                  </w:r>
                  <w: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t>（设一座一体化预制污水泵站，内设置潜污泵3台，2用1备）</w:t>
                  </w:r>
                  <w:r>
                    <w:rPr>
                      <w:rFonts w:hint="eastAsia" w:ascii="Times New Roman" w:hAnsi="Times New Roman" w:eastAsia="宋体" w:cs="Times New Roman"/>
                      <w:bCs/>
                      <w:color w:val="000000" w:themeColor="text1"/>
                      <w:szCs w:val="21"/>
                      <w:highlight w:val="none"/>
                      <w14:textFill>
                        <w14:solidFill>
                          <w14:schemeClr w14:val="tx1"/>
                        </w14:solidFill>
                      </w14:textFill>
                    </w:rPr>
                    <w:t>，将污水提升</w:t>
                  </w:r>
                  <w:r>
                    <w:rPr>
                      <w:rFonts w:hint="eastAsia" w:ascii="Times New Roman" w:hAnsi="Times New Roman"/>
                      <w:bCs/>
                      <w:color w:val="000000" w:themeColor="text1"/>
                      <w:szCs w:val="21"/>
                      <w:highlight w:val="none"/>
                      <w14:textFill>
                        <w14:solidFill>
                          <w14:schemeClr w14:val="tx1"/>
                        </w14:solidFill>
                      </w14:textFill>
                    </w:rPr>
                    <w:t>至金南大道三期污水管道</w:t>
                  </w:r>
                  <w:r>
                    <w:rPr>
                      <w:rFonts w:hint="eastAsia" w:ascii="Times New Roman" w:hAnsi="Times New Roman"/>
                      <w:bCs/>
                      <w:color w:val="000000" w:themeColor="text1"/>
                      <w:szCs w:val="21"/>
                      <w:highlight w:val="none"/>
                      <w:lang w:eastAsia="zh-CN"/>
                      <w14:textFill>
                        <w14:solidFill>
                          <w14:schemeClr w14:val="tx1"/>
                        </w14:solidFill>
                      </w14:textFill>
                    </w:rPr>
                    <w:t>。</w:t>
                  </w:r>
                </w:p>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2" w:firstLineChars="200"/>
                    <w:jc w:val="both"/>
                    <w:textAlignment w:val="auto"/>
                    <w:rPr>
                      <w:rFonts w:hint="eastAsia" w:ascii="Times New Roman" w:hAnsi="Times New Roman" w:eastAsia="宋体"/>
                      <w:b/>
                      <w:bCs/>
                      <w:color w:val="000000" w:themeColor="text1"/>
                      <w:kern w:val="0"/>
                      <w:highlight w:val="none"/>
                      <w:lang w:eastAsia="zh-CN"/>
                      <w14:textFill>
                        <w14:solidFill>
                          <w14:schemeClr w14:val="tx1"/>
                        </w14:solidFill>
                      </w14:textFill>
                    </w:rPr>
                  </w:pPr>
                  <w:r>
                    <w:rPr>
                      <w:rFonts w:ascii="Times New Roman" w:hAnsi="Times New Roman"/>
                      <w:b/>
                      <w:bCs/>
                      <w:color w:val="000000" w:themeColor="text1"/>
                      <w:kern w:val="0"/>
                      <w:highlight w:val="none"/>
                      <w14:textFill>
                        <w14:solidFill>
                          <w14:schemeClr w14:val="tx1"/>
                        </w14:solidFill>
                      </w14:textFill>
                    </w:rPr>
                    <w:t>雨水管道</w:t>
                  </w:r>
                  <w:r>
                    <w:rPr>
                      <w:rFonts w:hint="eastAsia" w:ascii="Times New Roman" w:hAnsi="Times New Roman"/>
                      <w:b/>
                      <w:bCs/>
                      <w:color w:val="000000" w:themeColor="text1"/>
                      <w:kern w:val="0"/>
                      <w:highlight w:val="none"/>
                      <w:lang w:eastAsia="zh-CN"/>
                      <w14:textFill>
                        <w14:solidFill>
                          <w14:schemeClr w14:val="tx1"/>
                        </w14:solidFill>
                      </w14:textFill>
                    </w:rPr>
                    <w:t>：</w:t>
                  </w:r>
                </w:p>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eastAsia" w:ascii="Times New Roman" w:hAnsi="Times New Roman"/>
                      <w:bCs/>
                      <w:color w:val="000000" w:themeColor="text1"/>
                      <w:szCs w:val="21"/>
                      <w:highlight w:val="none"/>
                      <w:lang w:eastAsia="zh-CN"/>
                      <w14:textFill>
                        <w14:solidFill>
                          <w14:schemeClr w14:val="tx1"/>
                        </w14:solidFill>
                      </w14:textFill>
                    </w:rPr>
                  </w:pPr>
                  <w:r>
                    <w:rPr>
                      <w:rFonts w:hint="eastAsia" w:ascii="Times New Roman" w:hAnsi="Times New Roman"/>
                      <w:bCs/>
                      <w:color w:val="000000" w:themeColor="text1"/>
                      <w:szCs w:val="21"/>
                      <w:highlight w:val="none"/>
                      <w14:textFill>
                        <w14:solidFill>
                          <w14:schemeClr w14:val="tx1"/>
                        </w14:solidFill>
                      </w14:textFill>
                    </w:rPr>
                    <w:t>雨水</w:t>
                  </w:r>
                  <w:r>
                    <w:rPr>
                      <w:rFonts w:hint="eastAsia" w:ascii="Times New Roman" w:hAnsi="Times New Roman"/>
                      <w:bCs/>
                      <w:color w:val="000000" w:themeColor="text1"/>
                      <w:szCs w:val="21"/>
                      <w:highlight w:val="none"/>
                      <w:lang w:val="en-US" w:eastAsia="zh-CN"/>
                      <w14:textFill>
                        <w14:solidFill>
                          <w14:schemeClr w14:val="tx1"/>
                        </w14:solidFill>
                      </w14:textFill>
                    </w:rPr>
                    <w:t>沿线</w:t>
                  </w:r>
                  <w:r>
                    <w:rPr>
                      <w:rFonts w:hint="eastAsia" w:ascii="Times New Roman" w:hAnsi="Times New Roman"/>
                      <w:bCs/>
                      <w:color w:val="000000" w:themeColor="text1"/>
                      <w:szCs w:val="21"/>
                      <w:highlight w:val="none"/>
                      <w14:textFill>
                        <w14:solidFill>
                          <w14:schemeClr w14:val="tx1"/>
                        </w14:solidFill>
                      </w14:textFill>
                    </w:rPr>
                    <w:t>管单侧布置，管径为d400</w:t>
                  </w:r>
                  <w:r>
                    <w:rPr>
                      <w:rFonts w:hint="eastAsia" w:ascii="Times New Roman" w:hAnsi="Times New Roman"/>
                      <w:bCs/>
                      <w:color w:val="000000" w:themeColor="text1"/>
                      <w:szCs w:val="21"/>
                      <w:highlight w:val="none"/>
                      <w:lang w:eastAsia="zh-CN"/>
                      <w14:textFill>
                        <w14:solidFill>
                          <w14:schemeClr w14:val="tx1"/>
                        </w14:solidFill>
                      </w14:textFill>
                    </w:rPr>
                    <w:t>，</w:t>
                  </w:r>
                  <w:r>
                    <w:rPr>
                      <w:rFonts w:hint="eastAsia" w:ascii="Times New Roman" w:hAnsi="Times New Roman"/>
                      <w:bCs/>
                      <w:color w:val="000000" w:themeColor="text1"/>
                      <w:szCs w:val="21"/>
                      <w:highlight w:val="none"/>
                      <w14:textFill>
                        <w14:solidFill>
                          <w14:schemeClr w14:val="tx1"/>
                        </w14:solidFill>
                      </w14:textFill>
                    </w:rPr>
                    <w:t>排至自然水系</w:t>
                  </w:r>
                  <w:r>
                    <w:rPr>
                      <w:rFonts w:hint="eastAsia" w:ascii="Times New Roman" w:hAnsi="Times New Roman"/>
                      <w:bCs/>
                      <w:color w:val="000000" w:themeColor="text1"/>
                      <w:szCs w:val="21"/>
                      <w:highlight w:val="none"/>
                      <w:lang w:eastAsia="zh-CN"/>
                      <w14:textFill>
                        <w14:solidFill>
                          <w14:schemeClr w14:val="tx1"/>
                        </w14:solidFill>
                      </w14:textFill>
                    </w:rPr>
                    <w:t>，管材采用MPVE双壁波纹管。</w:t>
                  </w:r>
                </w:p>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2" w:firstLineChars="200"/>
                    <w:jc w:val="both"/>
                    <w:textAlignment w:val="auto"/>
                    <w:rPr>
                      <w:rFonts w:hint="eastAsia" w:ascii="Times New Roman" w:hAnsi="Times New Roman"/>
                      <w:b/>
                      <w:bCs w:val="0"/>
                      <w:color w:val="000000" w:themeColor="text1"/>
                      <w:szCs w:val="21"/>
                      <w:highlight w:val="none"/>
                      <w:lang w:val="en-US" w:eastAsia="zh-CN"/>
                      <w14:textFill>
                        <w14:solidFill>
                          <w14:schemeClr w14:val="tx1"/>
                        </w14:solidFill>
                      </w14:textFill>
                    </w:rPr>
                  </w:pPr>
                  <w:r>
                    <w:rPr>
                      <w:rFonts w:hint="eastAsia" w:ascii="Times New Roman" w:hAnsi="Times New Roman"/>
                      <w:b/>
                      <w:bCs w:val="0"/>
                      <w:color w:val="000000" w:themeColor="text1"/>
                      <w:szCs w:val="21"/>
                      <w:highlight w:val="none"/>
                      <w:lang w:val="en-US" w:eastAsia="zh-CN"/>
                      <w14:textFill>
                        <w14:solidFill>
                          <w14:schemeClr w14:val="tx1"/>
                        </w14:solidFill>
                      </w14:textFill>
                    </w:rPr>
                    <w:t>路面排水：</w:t>
                  </w:r>
                </w:p>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eastAsia" w:ascii="Times New Roman" w:hAnsi="Times New Roman"/>
                      <w:bCs/>
                      <w:color w:val="000000" w:themeColor="text1"/>
                      <w:szCs w:val="21"/>
                      <w:highlight w:val="none"/>
                      <w:lang w:val="en-US" w:eastAsia="zh-CN"/>
                      <w14:textFill>
                        <w14:solidFill>
                          <w14:schemeClr w14:val="tx1"/>
                        </w14:solidFill>
                      </w14:textFill>
                    </w:rPr>
                  </w:pPr>
                  <w:r>
                    <w:rPr>
                      <w:rFonts w:hint="eastAsia" w:ascii="Times New Roman" w:hAnsi="Times New Roman"/>
                      <w:bCs/>
                      <w:color w:val="000000" w:themeColor="text1"/>
                      <w:szCs w:val="21"/>
                      <w:highlight w:val="none"/>
                      <w:lang w:val="en-US" w:eastAsia="zh-CN"/>
                      <w14:textFill>
                        <w14:solidFill>
                          <w14:schemeClr w14:val="tx1"/>
                        </w14:solidFill>
                      </w14:textFill>
                    </w:rPr>
                    <w:t>通过路面横坡排至雨水篦子，收集雨水至雨水管网。</w:t>
                  </w:r>
                </w:p>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2" w:firstLineChars="200"/>
                    <w:jc w:val="both"/>
                    <w:textAlignment w:val="auto"/>
                    <w:rPr>
                      <w:rFonts w:hint="eastAsia" w:ascii="Times New Roman" w:hAnsi="Times New Roman"/>
                      <w:b/>
                      <w:bCs w:val="0"/>
                      <w:color w:val="000000" w:themeColor="text1"/>
                      <w:szCs w:val="21"/>
                      <w:highlight w:val="none"/>
                      <w:lang w:val="en-US" w:eastAsia="zh-CN"/>
                      <w14:textFill>
                        <w14:solidFill>
                          <w14:schemeClr w14:val="tx1"/>
                        </w14:solidFill>
                      </w14:textFill>
                    </w:rPr>
                  </w:pPr>
                  <w:r>
                    <w:rPr>
                      <w:rFonts w:hint="eastAsia" w:ascii="Times New Roman" w:hAnsi="Times New Roman"/>
                      <w:b/>
                      <w:bCs w:val="0"/>
                      <w:color w:val="000000" w:themeColor="text1"/>
                      <w:szCs w:val="21"/>
                      <w:highlight w:val="none"/>
                      <w:lang w:val="en-US" w:eastAsia="zh-CN"/>
                      <w14:textFill>
                        <w14:solidFill>
                          <w14:schemeClr w14:val="tx1"/>
                        </w14:solidFill>
                      </w14:textFill>
                    </w:rPr>
                    <w:t>路基排水：</w:t>
                  </w:r>
                </w:p>
                <w:p>
                  <w:pPr>
                    <w:pStyle w:val="105"/>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both"/>
                    <w:textAlignment w:val="auto"/>
                    <w:rPr>
                      <w:rFonts w:hint="default" w:ascii="Times New Roman" w:hAnsi="Times New Roman"/>
                      <w:bCs/>
                      <w:color w:val="000000" w:themeColor="text1"/>
                      <w:szCs w:val="21"/>
                      <w:highlight w:val="none"/>
                      <w:lang w:val="en-US" w:eastAsia="zh-CN"/>
                      <w14:textFill>
                        <w14:solidFill>
                          <w14:schemeClr w14:val="tx1"/>
                        </w14:solidFill>
                      </w14:textFill>
                    </w:rPr>
                  </w:pPr>
                  <w:r>
                    <w:rPr>
                      <w:rFonts w:hint="eastAsia" w:ascii="Times New Roman" w:hAnsi="Times New Roman"/>
                      <w:bCs/>
                      <w:color w:val="000000" w:themeColor="text1"/>
                      <w:szCs w:val="21"/>
                      <w:highlight w:val="none"/>
                      <w:lang w:val="en-US" w:eastAsia="zh-CN"/>
                      <w14:textFill>
                        <w14:solidFill>
                          <w14:schemeClr w14:val="tx1"/>
                        </w14:solidFill>
                      </w14:textFill>
                    </w:rPr>
                    <w:t>根据不同路段的地形条件，路基两侧设置边沟、排水沟等措施，边沟形式为盖板矩形沟，断面尺寸60cm×60cm，壁厚30cm，采用C20混凝土浇筑，盖板厚度15cm，采用C30混凝土预制；路堤处设置排水沟，排水沟形式为梯形沟，壁厚30cm，采用C20混凝土浇筑。当挖方边坡上侧山坡汇水面积大时，应于坡口5m以外适当位置设置截水沟，截水沟为40cm×40cm梯形沟，壁厚25cm，采用C20混凝土浇筑。</w:t>
                  </w:r>
                </w:p>
              </w:tc>
              <w:tc>
                <w:tcPr>
                  <w:tcW w:w="570"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c>
                <w:tcPr>
                  <w:tcW w:w="525"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341"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c>
                <w:tcPr>
                  <w:tcW w:w="417" w:type="pct"/>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照明</w:t>
                  </w:r>
                </w:p>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工程</w:t>
                  </w:r>
                </w:p>
              </w:tc>
              <w:tc>
                <w:tcPr>
                  <w:tcW w:w="3146" w:type="pct"/>
                  <w:gridSpan w:val="2"/>
                  <w:noWrap w:val="0"/>
                  <w:vAlign w:val="center"/>
                </w:tcPr>
                <w:p>
                  <w:pPr>
                    <w:pStyle w:val="105"/>
                    <w:keepNext w:val="0"/>
                    <w:keepLines w:val="0"/>
                    <w:suppressLineNumbers w:val="0"/>
                    <w:adjustRightInd w:val="0"/>
                    <w:snapToGrid w:val="0"/>
                    <w:spacing w:before="0" w:beforeAutospacing="0" w:after="0" w:afterAutospacing="0"/>
                    <w:ind w:left="0" w:right="0" w:firstLine="420" w:firstLineChars="200"/>
                    <w:jc w:val="both"/>
                    <w:rPr>
                      <w:rFonts w:hint="eastAsia" w:ascii="Times New Roman" w:hAnsi="Times New Roman" w:eastAsia="宋体"/>
                      <w:color w:val="000000" w:themeColor="text1"/>
                      <w:szCs w:val="21"/>
                      <w:highlight w:val="none"/>
                      <w:lang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底层路段：</w:t>
                  </w:r>
                  <w:r>
                    <w:rPr>
                      <w:rFonts w:hint="eastAsia" w:ascii="Times New Roman" w:hAnsi="Times New Roman"/>
                      <w:color w:val="000000" w:themeColor="text1"/>
                      <w:szCs w:val="21"/>
                      <w:highlight w:val="none"/>
                      <w14:textFill>
                        <w14:solidFill>
                          <w14:schemeClr w14:val="tx1"/>
                        </w14:solidFill>
                      </w14:textFill>
                    </w:rPr>
                    <w:t>采用15m高玉兰灯，双侧对称布置，间距50米</w:t>
                  </w:r>
                  <w:r>
                    <w:rPr>
                      <w:rFonts w:hint="eastAsia" w:ascii="Times New Roman" w:hAnsi="Times New Roman"/>
                      <w:color w:val="000000" w:themeColor="text1"/>
                      <w:szCs w:val="21"/>
                      <w:highlight w:val="none"/>
                      <w:lang w:eastAsia="zh-CN"/>
                      <w14:textFill>
                        <w14:solidFill>
                          <w14:schemeClr w14:val="tx1"/>
                        </w14:solidFill>
                      </w14:textFill>
                    </w:rPr>
                    <w:t>。</w:t>
                  </w:r>
                </w:p>
                <w:p>
                  <w:pPr>
                    <w:pStyle w:val="105"/>
                    <w:keepNext w:val="0"/>
                    <w:keepLines w:val="0"/>
                    <w:suppressLineNumbers w:val="0"/>
                    <w:adjustRightInd w:val="0"/>
                    <w:snapToGrid w:val="0"/>
                    <w:spacing w:before="0" w:beforeAutospacing="0" w:after="0" w:afterAutospacing="0"/>
                    <w:ind w:left="0" w:right="0" w:firstLine="420" w:firstLineChars="200"/>
                    <w:jc w:val="both"/>
                    <w:rPr>
                      <w:rFonts w:hint="eastAsia" w:ascii="Times New Roman" w:hAnsi="Times New Roman" w:eastAsia="宋体"/>
                      <w:color w:val="000000" w:themeColor="text1"/>
                      <w:szCs w:val="21"/>
                      <w:highlight w:val="none"/>
                      <w:lang w:eastAsia="zh-CN"/>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高架桥段</w:t>
                  </w:r>
                  <w:r>
                    <w:rPr>
                      <w:rFonts w:hint="eastAsia" w:ascii="Times New Roman" w:hAnsi="Times New Roman"/>
                      <w:color w:val="000000" w:themeColor="text1"/>
                      <w:szCs w:val="21"/>
                      <w:highlight w:val="none"/>
                      <w:lang w:eastAsia="zh-CN"/>
                      <w14:textFill>
                        <w14:solidFill>
                          <w14:schemeClr w14:val="tx1"/>
                        </w14:solidFill>
                      </w14:textFill>
                    </w:rPr>
                    <w:t>：</w:t>
                  </w:r>
                  <w:r>
                    <w:rPr>
                      <w:rFonts w:hint="eastAsia" w:ascii="Times New Roman" w:hAnsi="Times New Roman"/>
                      <w:color w:val="000000" w:themeColor="text1"/>
                      <w:szCs w:val="21"/>
                      <w:highlight w:val="none"/>
                      <w14:textFill>
                        <w14:solidFill>
                          <w14:schemeClr w14:val="tx1"/>
                        </w14:solidFill>
                      </w14:textFill>
                    </w:rPr>
                    <w:t>桥梁上采用16m高单杆单挑LED灯，功率为360W，双侧对称布置，间距50米</w:t>
                  </w:r>
                  <w:r>
                    <w:rPr>
                      <w:rFonts w:hint="eastAsia" w:ascii="Times New Roman" w:hAnsi="Times New Roman"/>
                      <w:color w:val="000000" w:themeColor="text1"/>
                      <w:szCs w:val="21"/>
                      <w:highlight w:val="none"/>
                      <w:lang w:eastAsia="zh-CN"/>
                      <w14:textFill>
                        <w14:solidFill>
                          <w14:schemeClr w14:val="tx1"/>
                        </w14:solidFill>
                      </w14:textFill>
                    </w:rPr>
                    <w:t>。</w:t>
                  </w:r>
                </w:p>
                <w:p>
                  <w:pPr>
                    <w:pStyle w:val="105"/>
                    <w:keepNext w:val="0"/>
                    <w:keepLines w:val="0"/>
                    <w:suppressLineNumbers w:val="0"/>
                    <w:adjustRightInd w:val="0"/>
                    <w:snapToGrid w:val="0"/>
                    <w:spacing w:before="0" w:beforeAutospacing="0" w:after="0" w:afterAutospacing="0"/>
                    <w:ind w:left="0" w:right="0" w:firstLine="420" w:firstLineChars="200"/>
                    <w:jc w:val="both"/>
                    <w:rPr>
                      <w:rFonts w:hint="eastAsia" w:ascii="Times New Roman" w:hAnsi="Times New Roman" w:eastAsia="宋体"/>
                      <w:color w:val="000000" w:themeColor="text1"/>
                      <w:szCs w:val="21"/>
                      <w:highlight w:val="none"/>
                      <w:lang w:eastAsia="zh-CN"/>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匝道</w:t>
                  </w:r>
                  <w:r>
                    <w:rPr>
                      <w:rFonts w:hint="eastAsia" w:ascii="Times New Roman" w:hAnsi="Times New Roman"/>
                      <w:color w:val="000000" w:themeColor="text1"/>
                      <w:szCs w:val="21"/>
                      <w:highlight w:val="none"/>
                      <w:lang w:eastAsia="zh-CN"/>
                      <w14:textFill>
                        <w14:solidFill>
                          <w14:schemeClr w14:val="tx1"/>
                        </w14:solidFill>
                      </w14:textFill>
                    </w:rPr>
                    <w:t>：</w:t>
                  </w:r>
                  <w:r>
                    <w:rPr>
                      <w:rFonts w:hint="eastAsia" w:ascii="Times New Roman" w:hAnsi="Times New Roman"/>
                      <w:color w:val="000000" w:themeColor="text1"/>
                      <w:szCs w:val="21"/>
                      <w:highlight w:val="none"/>
                      <w14:textFill>
                        <w14:solidFill>
                          <w14:schemeClr w14:val="tx1"/>
                        </w14:solidFill>
                      </w14:textFill>
                    </w:rPr>
                    <w:t>采用8m高单杆单挑LED灯，功率为200W，单侧布置，间距30米</w:t>
                  </w:r>
                  <w:r>
                    <w:rPr>
                      <w:rFonts w:hint="eastAsia" w:ascii="Times New Roman" w:hAnsi="Times New Roman"/>
                      <w:color w:val="000000" w:themeColor="text1"/>
                      <w:szCs w:val="21"/>
                      <w:highlight w:val="none"/>
                      <w:lang w:eastAsia="zh-CN"/>
                      <w14:textFill>
                        <w14:solidFill>
                          <w14:schemeClr w14:val="tx1"/>
                        </w14:solidFill>
                      </w14:textFill>
                    </w:rPr>
                    <w:t>。</w:t>
                  </w:r>
                </w:p>
                <w:p>
                  <w:pPr>
                    <w:pStyle w:val="105"/>
                    <w:keepNext w:val="0"/>
                    <w:keepLines w:val="0"/>
                    <w:suppressLineNumbers w:val="0"/>
                    <w:adjustRightInd w:val="0"/>
                    <w:snapToGrid w:val="0"/>
                    <w:spacing w:before="0" w:beforeAutospacing="0" w:after="0" w:afterAutospacing="0"/>
                    <w:ind w:left="0" w:right="0" w:firstLine="420" w:firstLineChars="200"/>
                    <w:jc w:val="both"/>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高架桥下层</w:t>
                  </w:r>
                  <w:r>
                    <w:rPr>
                      <w:rFonts w:hint="eastAsia" w:ascii="Times New Roman" w:hAnsi="Times New Roman"/>
                      <w:color w:val="000000" w:themeColor="text1"/>
                      <w:szCs w:val="21"/>
                      <w:highlight w:val="none"/>
                      <w:lang w:eastAsia="zh-CN"/>
                      <w14:textFill>
                        <w14:solidFill>
                          <w14:schemeClr w14:val="tx1"/>
                        </w14:solidFill>
                      </w14:textFill>
                    </w:rPr>
                    <w:t>：</w:t>
                  </w:r>
                  <w:r>
                    <w:rPr>
                      <w:rFonts w:hint="eastAsia" w:ascii="Times New Roman" w:hAnsi="Times New Roman"/>
                      <w:color w:val="000000" w:themeColor="text1"/>
                      <w:szCs w:val="21"/>
                      <w:highlight w:val="none"/>
                      <w14:textFill>
                        <w14:solidFill>
                          <w14:schemeClr w14:val="tx1"/>
                        </w14:solidFill>
                      </w14:textFill>
                    </w:rPr>
                    <w:t>采用吸顶灯，功率为70W，间距15米</w:t>
                  </w:r>
                  <w:r>
                    <w:rPr>
                      <w:rFonts w:hint="eastAsia" w:ascii="Times New Roman" w:hAnsi="Times New Roman"/>
                      <w:color w:val="000000" w:themeColor="text1"/>
                      <w:szCs w:val="21"/>
                      <w:highlight w:val="none"/>
                      <w:lang w:eastAsia="zh-CN"/>
                      <w14:textFill>
                        <w14:solidFill>
                          <w14:schemeClr w14:val="tx1"/>
                        </w14:solidFill>
                      </w14:textFill>
                    </w:rPr>
                    <w:t>。</w:t>
                  </w:r>
                </w:p>
              </w:tc>
              <w:tc>
                <w:tcPr>
                  <w:tcW w:w="570"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c>
                <w:tcPr>
                  <w:tcW w:w="525"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1"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c>
                <w:tcPr>
                  <w:tcW w:w="417" w:type="pct"/>
                  <w:noWrap w:val="0"/>
                  <w:vAlign w:val="center"/>
                </w:tcPr>
                <w:p>
                  <w:pPr>
                    <w:pStyle w:val="105"/>
                    <w:keepNext w:val="0"/>
                    <w:keepLines w:val="0"/>
                    <w:suppressLineNumbers w:val="0"/>
                    <w:adjustRightInd w:val="0"/>
                    <w:snapToGrid w:val="0"/>
                    <w:spacing w:before="0" w:beforeAutospacing="0" w:after="0" w:afterAutospacing="0"/>
                    <w:ind w:left="0" w:right="0"/>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电力工程</w:t>
                  </w:r>
                </w:p>
              </w:tc>
              <w:tc>
                <w:tcPr>
                  <w:tcW w:w="3146" w:type="pct"/>
                  <w:gridSpan w:val="2"/>
                  <w:noWrap w:val="0"/>
                  <w:vAlign w:val="center"/>
                </w:tcPr>
                <w:p>
                  <w:pPr>
                    <w:pStyle w:val="105"/>
                    <w:keepNext w:val="0"/>
                    <w:keepLines w:val="0"/>
                    <w:suppressLineNumbers w:val="0"/>
                    <w:adjustRightInd w:val="0"/>
                    <w:snapToGrid w:val="0"/>
                    <w:spacing w:before="0" w:beforeAutospacing="0" w:after="0" w:afterAutospacing="0"/>
                    <w:ind w:left="0" w:right="0" w:firstLine="420" w:firstLineChars="200"/>
                    <w:jc w:val="both"/>
                    <w:rPr>
                      <w:rFonts w:hint="eastAsia" w:ascii="Times New Roman" w:hAnsi="Times New Roman" w:eastAsia="宋体"/>
                      <w:color w:val="000000" w:themeColor="text1"/>
                      <w:szCs w:val="21"/>
                      <w:highlight w:val="none"/>
                      <w:lang w:eastAsia="zh-CN"/>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人行道上或绿化带上敷设时，采用混凝土包封；车行道上敷设时，采用钢筋混凝土包封</w:t>
                  </w:r>
                  <w:r>
                    <w:rPr>
                      <w:rFonts w:hint="eastAsia" w:ascii="Times New Roman" w:hAnsi="Times New Roman"/>
                      <w:color w:val="000000" w:themeColor="text1"/>
                      <w:szCs w:val="21"/>
                      <w:highlight w:val="none"/>
                      <w:lang w:eastAsia="zh-CN"/>
                      <w14:textFill>
                        <w14:solidFill>
                          <w14:schemeClr w14:val="tx1"/>
                        </w14:solidFill>
                      </w14:textFill>
                    </w:rPr>
                    <w:t>，每隔约40m~60m设一电缆井，车行道</w:t>
                  </w:r>
                  <w:r>
                    <w:rPr>
                      <w:rFonts w:hint="eastAsia" w:ascii="Times New Roman" w:hAnsi="Times New Roman"/>
                      <w:color w:val="000000" w:themeColor="text1"/>
                      <w:szCs w:val="21"/>
                      <w:highlight w:val="none"/>
                      <w:lang w:val="en-US" w:eastAsia="zh-CN"/>
                      <w14:textFill>
                        <w14:solidFill>
                          <w14:schemeClr w14:val="tx1"/>
                        </w14:solidFill>
                      </w14:textFill>
                    </w:rPr>
                    <w:t>上</w:t>
                  </w:r>
                  <w:r>
                    <w:rPr>
                      <w:rFonts w:hint="eastAsia" w:ascii="Times New Roman" w:hAnsi="Times New Roman"/>
                      <w:color w:val="000000" w:themeColor="text1"/>
                      <w:szCs w:val="21"/>
                      <w:highlight w:val="none"/>
                      <w:lang w:eastAsia="zh-CN"/>
                      <w14:textFill>
                        <w14:solidFill>
                          <w14:schemeClr w14:val="tx1"/>
                        </w14:solidFill>
                      </w14:textFill>
                    </w:rPr>
                    <w:t>井盖采用D400，其他</w:t>
                  </w:r>
                  <w:r>
                    <w:rPr>
                      <w:rFonts w:hint="eastAsia" w:ascii="Times New Roman" w:hAnsi="Times New Roman"/>
                      <w:color w:val="000000" w:themeColor="text1"/>
                      <w:szCs w:val="21"/>
                      <w:highlight w:val="none"/>
                      <w:lang w:val="en-US" w:eastAsia="zh-CN"/>
                      <w14:textFill>
                        <w14:solidFill>
                          <w14:schemeClr w14:val="tx1"/>
                        </w14:solidFill>
                      </w14:textFill>
                    </w:rPr>
                    <w:t>井盖</w:t>
                  </w:r>
                  <w:r>
                    <w:rPr>
                      <w:rFonts w:hint="eastAsia" w:ascii="Times New Roman" w:hAnsi="Times New Roman"/>
                      <w:color w:val="000000" w:themeColor="text1"/>
                      <w:szCs w:val="21"/>
                      <w:highlight w:val="none"/>
                      <w:lang w:eastAsia="zh-CN"/>
                      <w14:textFill>
                        <w14:solidFill>
                          <w14:schemeClr w14:val="tx1"/>
                        </w14:solidFill>
                      </w14:textFill>
                    </w:rPr>
                    <w:t>采用C250。（</w:t>
                  </w:r>
                  <w:r>
                    <w:rPr>
                      <w:rFonts w:hint="eastAsia" w:ascii="Times New Roman" w:hAnsi="Times New Roman"/>
                      <w:color w:val="000000" w:themeColor="text1"/>
                      <w:szCs w:val="21"/>
                      <w:highlight w:val="none"/>
                      <w:lang w:val="en-US" w:eastAsia="zh-CN"/>
                      <w14:textFill>
                        <w14:solidFill>
                          <w14:schemeClr w14:val="tx1"/>
                        </w14:solidFill>
                      </w14:textFill>
                    </w:rPr>
                    <w:t>电力线路敷设不在本次评价范围内</w:t>
                  </w:r>
                  <w:r>
                    <w:rPr>
                      <w:rFonts w:hint="eastAsia" w:ascii="Times New Roman" w:hAnsi="Times New Roman"/>
                      <w:color w:val="000000" w:themeColor="text1"/>
                      <w:szCs w:val="21"/>
                      <w:highlight w:val="none"/>
                      <w:lang w:eastAsia="zh-CN"/>
                      <w14:textFill>
                        <w14:solidFill>
                          <w14:schemeClr w14:val="tx1"/>
                        </w14:solidFill>
                      </w14:textFill>
                    </w:rPr>
                    <w:t>）</w:t>
                  </w:r>
                </w:p>
              </w:tc>
              <w:tc>
                <w:tcPr>
                  <w:tcW w:w="570"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c>
                <w:tcPr>
                  <w:tcW w:w="525"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341"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c>
                <w:tcPr>
                  <w:tcW w:w="417" w:type="pct"/>
                  <w:noWrap w:val="0"/>
                  <w:vAlign w:val="center"/>
                </w:tcPr>
                <w:p>
                  <w:pPr>
                    <w:pStyle w:val="105"/>
                    <w:keepNext w:val="0"/>
                    <w:keepLines w:val="0"/>
                    <w:suppressLineNumbers w:val="0"/>
                    <w:adjustRightInd w:val="0"/>
                    <w:snapToGrid w:val="0"/>
                    <w:spacing w:before="0" w:beforeAutospacing="0" w:after="0" w:afterAutospacing="0"/>
                    <w:ind w:left="0" w:right="0"/>
                    <w:rPr>
                      <w:rFonts w:hint="default" w:ascii="Times New Roman" w:hAnsi="Times New Roman"/>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通信工程</w:t>
                  </w:r>
                </w:p>
              </w:tc>
              <w:tc>
                <w:tcPr>
                  <w:tcW w:w="3146" w:type="pct"/>
                  <w:gridSpan w:val="2"/>
                  <w:noWrap w:val="0"/>
                  <w:vAlign w:val="center"/>
                </w:tcPr>
                <w:p>
                  <w:pPr>
                    <w:pStyle w:val="105"/>
                    <w:keepNext w:val="0"/>
                    <w:keepLines w:val="0"/>
                    <w:suppressLineNumbers w:val="0"/>
                    <w:adjustRightInd w:val="0"/>
                    <w:snapToGrid w:val="0"/>
                    <w:spacing w:before="0" w:beforeAutospacing="0" w:after="0" w:afterAutospacing="0"/>
                    <w:ind w:left="0" w:right="0" w:firstLine="420" w:firstLineChars="200"/>
                    <w:jc w:val="both"/>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通信主干管束为12孔，采用10孔φ110双壁波纹式塑料管(PVC-U)＋2孔SVFY32x7蜂窝管(PVC-U)组成</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，每隔约60m～80m设一拉线人孔井，车行道</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上</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井盖采用D400，其他</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井盖</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采用C250。</w:t>
                  </w:r>
                </w:p>
              </w:tc>
              <w:tc>
                <w:tcPr>
                  <w:tcW w:w="570"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c>
                <w:tcPr>
                  <w:tcW w:w="525"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1"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c>
                <w:tcPr>
                  <w:tcW w:w="417" w:type="pct"/>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绿化</w:t>
                  </w:r>
                </w:p>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工程</w:t>
                  </w:r>
                </w:p>
              </w:tc>
              <w:tc>
                <w:tcPr>
                  <w:tcW w:w="3146" w:type="pct"/>
                  <w:gridSpan w:val="2"/>
                  <w:noWrap w:val="0"/>
                  <w:vAlign w:val="center"/>
                </w:tcPr>
                <w:p>
                  <w:pPr>
                    <w:pStyle w:val="105"/>
                    <w:keepNext w:val="0"/>
                    <w:keepLines w:val="0"/>
                    <w:suppressLineNumbers w:val="0"/>
                    <w:adjustRightInd w:val="0"/>
                    <w:snapToGrid w:val="0"/>
                    <w:spacing w:before="0" w:beforeAutospacing="0" w:after="0" w:afterAutospacing="0"/>
                    <w:ind w:left="0" w:right="0" w:firstLine="420" w:firstLineChars="200"/>
                    <w:jc w:val="both"/>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包括4m宽人行道铺装设计和33米及10.5米中央绿化带。中央绿化带在高架桥下，植物选择上应选择耐阴的植被，麦冬、木春菊、海桐等距离整形搭配。行道树采用1.5</w:t>
                  </w: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14:textFill>
                        <w14:solidFill>
                          <w14:schemeClr w14:val="tx1"/>
                        </w14:solidFill>
                      </w14:textFill>
                    </w:rPr>
                    <w:t>1.5米花岗石树池，内植常绿乔木香樟及麦冬，树池间距8.1米。人行道面层延续三期道路标准样式，采用50厚花岗石烧面。</w:t>
                  </w:r>
                </w:p>
              </w:tc>
              <w:tc>
                <w:tcPr>
                  <w:tcW w:w="570"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c>
                <w:tcPr>
                  <w:tcW w:w="525"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341" w:type="pct"/>
                  <w:vMerge w:val="restart"/>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临时工程</w:t>
                  </w:r>
                </w:p>
              </w:tc>
              <w:tc>
                <w:tcPr>
                  <w:tcW w:w="417" w:type="pct"/>
                  <w:noWrap w:val="0"/>
                  <w:vAlign w:val="center"/>
                </w:tcPr>
                <w:p>
                  <w:pPr>
                    <w:pStyle w:val="105"/>
                    <w:keepNext w:val="0"/>
                    <w:keepLines w:val="0"/>
                    <w:suppressLineNumbers w:val="0"/>
                    <w:adjustRightInd w:val="0"/>
                    <w:snapToGrid w:val="0"/>
                    <w:spacing w:before="0" w:beforeAutospacing="0" w:after="0" w:afterAutospacing="0"/>
                    <w:ind w:left="0" w:leftChars="0" w:right="0" w:rightChars="0"/>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临时施工</w:t>
                  </w:r>
                  <w:r>
                    <w:rPr>
                      <w:rFonts w:ascii="Times New Roman" w:hAnsi="Times New Roman"/>
                      <w:color w:val="000000" w:themeColor="text1"/>
                      <w:szCs w:val="21"/>
                      <w:highlight w:val="none"/>
                      <w14:textFill>
                        <w14:solidFill>
                          <w14:schemeClr w14:val="tx1"/>
                        </w14:solidFill>
                      </w14:textFill>
                    </w:rPr>
                    <w:t>便道</w:t>
                  </w:r>
                </w:p>
              </w:tc>
              <w:tc>
                <w:tcPr>
                  <w:tcW w:w="3146" w:type="pct"/>
                  <w:gridSpan w:val="2"/>
                  <w:noWrap w:val="0"/>
                  <w:vAlign w:val="center"/>
                </w:tcPr>
                <w:p>
                  <w:pPr>
                    <w:pStyle w:val="105"/>
                    <w:keepNext w:val="0"/>
                    <w:keepLines w:val="0"/>
                    <w:suppressLineNumbers w:val="0"/>
                    <w:adjustRightInd w:val="0"/>
                    <w:snapToGrid w:val="0"/>
                    <w:spacing w:before="0" w:beforeAutospacing="0" w:after="0" w:afterAutospacing="0"/>
                    <w:ind w:left="0" w:leftChars="0" w:right="0" w:rightChars="0" w:firstLine="420" w:firstLineChars="200"/>
                    <w:jc w:val="both"/>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项目</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拟</w:t>
                  </w:r>
                  <w:r>
                    <w:rPr>
                      <w:rFonts w:hint="eastAsia" w:ascii="Times New Roman" w:hAnsi="Times New Roman" w:eastAsia="宋体" w:cs="Times New Roman"/>
                      <w:color w:val="000000" w:themeColor="text1"/>
                      <w:szCs w:val="21"/>
                      <w:highlight w:val="none"/>
                      <w14:textFill>
                        <w14:solidFill>
                          <w14:schemeClr w14:val="tx1"/>
                        </w14:solidFill>
                      </w14:textFill>
                    </w:rPr>
                    <w:t>设置</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临时</w:t>
                  </w:r>
                  <w:r>
                    <w:rPr>
                      <w:rFonts w:hint="eastAsia" w:ascii="Times New Roman" w:hAnsi="Times New Roman" w:eastAsia="宋体" w:cs="Times New Roman"/>
                      <w:color w:val="000000" w:themeColor="text1"/>
                      <w:szCs w:val="21"/>
                      <w:highlight w:val="none"/>
                      <w14:textFill>
                        <w14:solidFill>
                          <w14:schemeClr w14:val="tx1"/>
                        </w14:solidFill>
                      </w14:textFill>
                    </w:rPr>
                    <w:t>施工便道</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1条</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以碎石铺设，主要沿本项目规划线路修建，位于项目红线范围内，不新增占地</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p>
              </w:tc>
              <w:tc>
                <w:tcPr>
                  <w:tcW w:w="570" w:type="pct"/>
                  <w:noWrap w:val="0"/>
                  <w:vAlign w:val="center"/>
                </w:tcPr>
                <w:p>
                  <w:pPr>
                    <w:pStyle w:val="105"/>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交通</w:t>
                  </w:r>
                  <w:r>
                    <w:rPr>
                      <w:rFonts w:ascii="Times New Roman" w:hAnsi="Times New Roman"/>
                      <w:color w:val="000000" w:themeColor="text1"/>
                      <w:szCs w:val="21"/>
                      <w:highlight w:val="none"/>
                      <w14:textFill>
                        <w14:solidFill>
                          <w14:schemeClr w14:val="tx1"/>
                        </w14:solidFill>
                      </w14:textFill>
                    </w:rPr>
                    <w:t>噪声、扬尘</w:t>
                  </w:r>
                </w:p>
              </w:tc>
              <w:tc>
                <w:tcPr>
                  <w:tcW w:w="525" w:type="pct"/>
                  <w:vMerge w:val="restart"/>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341"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c>
                <w:tcPr>
                  <w:tcW w:w="417" w:type="pct"/>
                  <w:noWrap w:val="0"/>
                  <w:vAlign w:val="center"/>
                </w:tcPr>
                <w:p>
                  <w:pPr>
                    <w:pStyle w:val="105"/>
                    <w:keepNext w:val="0"/>
                    <w:keepLines w:val="0"/>
                    <w:suppressLineNumbers w:val="0"/>
                    <w:adjustRightInd w:val="0"/>
                    <w:snapToGrid w:val="0"/>
                    <w:spacing w:before="0" w:beforeAutospacing="0" w:after="0" w:afterAutospacing="0"/>
                    <w:ind w:left="0" w:leftChars="0" w:right="0" w:rightChars="0"/>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临时施工营地</w:t>
                  </w:r>
                </w:p>
              </w:tc>
              <w:tc>
                <w:tcPr>
                  <w:tcW w:w="3146" w:type="pct"/>
                  <w:gridSpan w:val="2"/>
                  <w:noWrap w:val="0"/>
                  <w:vAlign w:val="center"/>
                </w:tcPr>
                <w:p>
                  <w:pPr>
                    <w:pStyle w:val="105"/>
                    <w:keepNext w:val="0"/>
                    <w:keepLines w:val="0"/>
                    <w:suppressLineNumbers w:val="0"/>
                    <w:adjustRightInd w:val="0"/>
                    <w:snapToGrid w:val="0"/>
                    <w:spacing w:before="0" w:beforeAutospacing="0" w:after="0" w:afterAutospacing="0"/>
                    <w:ind w:left="0" w:leftChars="0" w:right="0" w:rightChars="0" w:firstLine="420" w:firstLineChars="200"/>
                    <w:jc w:val="both"/>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项目不设临时施工营地，</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通过</w:t>
                  </w:r>
                  <w:r>
                    <w:rPr>
                      <w:rFonts w:hint="eastAsia" w:ascii="Times New Roman" w:hAnsi="Times New Roman" w:eastAsia="宋体" w:cs="Times New Roman"/>
                      <w:color w:val="000000" w:themeColor="text1"/>
                      <w:szCs w:val="21"/>
                      <w:highlight w:val="none"/>
                      <w14:textFill>
                        <w14:solidFill>
                          <w14:schemeClr w14:val="tx1"/>
                        </w14:solidFill>
                      </w14:textFill>
                    </w:rPr>
                    <w:t>租用附近民房</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解决</w:t>
                  </w:r>
                  <w:r>
                    <w:rPr>
                      <w:rFonts w:hint="eastAsia" w:ascii="Times New Roman" w:hAnsi="Times New Roman" w:eastAsia="宋体" w:cs="Times New Roman"/>
                      <w:color w:val="000000" w:themeColor="text1"/>
                      <w:szCs w:val="21"/>
                      <w:highlight w:val="none"/>
                      <w14:textFill>
                        <w14:solidFill>
                          <w14:schemeClr w14:val="tx1"/>
                        </w14:solidFill>
                      </w14:textFill>
                    </w:rPr>
                    <w:t>施工人员食宿</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问题</w:t>
                  </w:r>
                  <w:r>
                    <w:rPr>
                      <w:rFonts w:hint="eastAsia" w:ascii="Times New Roman" w:hAnsi="Times New Roman" w:cs="Times New Roman"/>
                      <w:color w:val="000000" w:themeColor="text1"/>
                      <w:szCs w:val="21"/>
                      <w:highlight w:val="none"/>
                      <w:lang w:val="en-US" w:eastAsia="zh-CN"/>
                      <w14:textFill>
                        <w14:solidFill>
                          <w14:schemeClr w14:val="tx1"/>
                        </w14:solidFill>
                      </w14:textFill>
                    </w:rPr>
                    <w:t>。</w:t>
                  </w:r>
                </w:p>
              </w:tc>
              <w:tc>
                <w:tcPr>
                  <w:tcW w:w="570" w:type="pct"/>
                  <w:noWrap w:val="0"/>
                  <w:vAlign w:val="center"/>
                </w:tcPr>
                <w:p>
                  <w:pPr>
                    <w:pStyle w:val="105"/>
                    <w:keepNext w:val="0"/>
                    <w:keepLines w:val="0"/>
                    <w:suppressLineNumbers w:val="0"/>
                    <w:adjustRightInd w:val="0"/>
                    <w:snapToGrid w:val="0"/>
                    <w:spacing w:before="0" w:beforeAutospacing="0" w:after="0" w:afterAutospacing="0"/>
                    <w:ind w:left="0" w:right="0"/>
                    <w:jc w:val="both"/>
                    <w:rPr>
                      <w:rFonts w:hint="default" w:ascii="Times New Roman" w:hAnsi="Times New Roman"/>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w:t>
                  </w:r>
                </w:p>
              </w:tc>
              <w:tc>
                <w:tcPr>
                  <w:tcW w:w="525"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341"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c>
                <w:tcPr>
                  <w:tcW w:w="417" w:type="pct"/>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临时</w:t>
                  </w:r>
                  <w:r>
                    <w:rPr>
                      <w:rFonts w:hint="eastAsia" w:ascii="Times New Roman" w:hAnsi="Times New Roman"/>
                      <w:color w:val="000000" w:themeColor="text1"/>
                      <w:szCs w:val="21"/>
                      <w:highlight w:val="none"/>
                      <w:lang w:val="en-US" w:eastAsia="zh-CN"/>
                      <w14:textFill>
                        <w14:solidFill>
                          <w14:schemeClr w14:val="tx1"/>
                        </w14:solidFill>
                      </w14:textFill>
                    </w:rPr>
                    <w:t>施工场地</w:t>
                  </w:r>
                </w:p>
              </w:tc>
              <w:tc>
                <w:tcPr>
                  <w:tcW w:w="3146" w:type="pct"/>
                  <w:gridSpan w:val="2"/>
                  <w:noWrap w:val="0"/>
                  <w:vAlign w:val="center"/>
                </w:tcPr>
                <w:p>
                  <w:pPr>
                    <w:pStyle w:val="105"/>
                    <w:keepNext w:val="0"/>
                    <w:keepLines w:val="0"/>
                    <w:suppressLineNumbers w:val="0"/>
                    <w:adjustRightInd w:val="0"/>
                    <w:snapToGrid w:val="0"/>
                    <w:spacing w:before="0" w:beforeAutospacing="0" w:after="0" w:afterAutospacing="0"/>
                    <w:ind w:left="0" w:right="0" w:firstLine="420" w:firstLineChars="200"/>
                    <w:jc w:val="both"/>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集中分布共用，设置1处，</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拟选址规划外环快速路与本项目相汇处东南侧</w:t>
                  </w:r>
                  <w:r>
                    <w:rPr>
                      <w:rFonts w:hint="eastAsia" w:ascii="Times New Roman" w:hAnsi="Times New Roman" w:eastAsia="宋体" w:cs="Times New Roman"/>
                      <w:color w:val="000000" w:themeColor="text1"/>
                      <w:szCs w:val="21"/>
                      <w:highlight w:val="none"/>
                      <w14:textFill>
                        <w14:solidFill>
                          <w14:schemeClr w14:val="tx1"/>
                        </w14:solidFill>
                      </w14:textFill>
                    </w:rPr>
                    <w:t>，占地面积约1</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Cs w:val="21"/>
                      <w:highlight w:val="none"/>
                      <w14:textFill>
                        <w14:solidFill>
                          <w14:schemeClr w14:val="tx1"/>
                        </w14:solidFill>
                      </w14:textFill>
                    </w:rPr>
                    <w:t>00</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平方米</w:t>
                  </w:r>
                  <w:r>
                    <w:rPr>
                      <w:rFonts w:hint="eastAsia" w:ascii="Times New Roman" w:hAnsi="Times New Roman" w:eastAsia="宋体" w:cs="Times New Roman"/>
                      <w:color w:val="000000" w:themeColor="text1"/>
                      <w:szCs w:val="21"/>
                      <w:highlight w:val="none"/>
                      <w14:textFill>
                        <w14:solidFill>
                          <w14:schemeClr w14:val="tx1"/>
                        </w14:solidFill>
                      </w14:textFill>
                    </w:rPr>
                    <w:t>，主要功能为施工机械临时停放点、拌合站、钢筋笼预制（不涉及桥涵预制）、施工物料临时堆场和材料预加工场等。</w:t>
                  </w:r>
                </w:p>
              </w:tc>
              <w:tc>
                <w:tcPr>
                  <w:tcW w:w="570" w:type="pct"/>
                  <w:noWrap w:val="0"/>
                  <w:vAlign w:val="center"/>
                </w:tcPr>
                <w:p>
                  <w:pPr>
                    <w:pStyle w:val="105"/>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b/>
                      <w:bCs/>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扬尘、噪声、水土流失</w:t>
                  </w:r>
                </w:p>
              </w:tc>
              <w:tc>
                <w:tcPr>
                  <w:tcW w:w="525"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341"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c>
                <w:tcPr>
                  <w:tcW w:w="417" w:type="pct"/>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临时堆</w:t>
                  </w:r>
                  <w:r>
                    <w:rPr>
                      <w:rFonts w:hint="eastAsia" w:ascii="Times New Roman" w:hAnsi="Times New Roman"/>
                      <w:color w:val="000000" w:themeColor="text1"/>
                      <w:szCs w:val="21"/>
                      <w:highlight w:val="none"/>
                      <w:lang w:val="en-US" w:eastAsia="zh-CN"/>
                      <w14:textFill>
                        <w14:solidFill>
                          <w14:schemeClr w14:val="tx1"/>
                        </w14:solidFill>
                      </w14:textFill>
                    </w:rPr>
                    <w:t>土</w:t>
                  </w:r>
                  <w:r>
                    <w:rPr>
                      <w:rFonts w:ascii="Times New Roman" w:hAnsi="Times New Roman"/>
                      <w:color w:val="000000" w:themeColor="text1"/>
                      <w:szCs w:val="21"/>
                      <w:highlight w:val="none"/>
                      <w14:textFill>
                        <w14:solidFill>
                          <w14:schemeClr w14:val="tx1"/>
                        </w14:solidFill>
                      </w14:textFill>
                    </w:rPr>
                    <w:t>场</w:t>
                  </w:r>
                </w:p>
              </w:tc>
              <w:tc>
                <w:tcPr>
                  <w:tcW w:w="3146" w:type="pct"/>
                  <w:gridSpan w:val="2"/>
                  <w:noWrap w:val="0"/>
                  <w:vAlign w:val="center"/>
                </w:tcPr>
                <w:p>
                  <w:pPr>
                    <w:pStyle w:val="105"/>
                    <w:keepNext w:val="0"/>
                    <w:keepLines w:val="0"/>
                    <w:suppressLineNumbers w:val="0"/>
                    <w:adjustRightInd w:val="0"/>
                    <w:snapToGrid w:val="0"/>
                    <w:spacing w:before="0" w:beforeAutospacing="0" w:after="0" w:afterAutospacing="0"/>
                    <w:ind w:left="0" w:right="0" w:firstLine="420" w:firstLineChars="200"/>
                    <w:jc w:val="both"/>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集中分布共用，设置1处，紧邻临时施工场地西侧，占地面积约</w:t>
                  </w:r>
                  <w:r>
                    <w:rPr>
                      <w:rFonts w:hint="eastAsia" w:ascii="Times New Roman" w:hAnsi="Times New Roman" w:cs="Times New Roman"/>
                      <w:color w:val="000000" w:themeColor="text1"/>
                      <w:szCs w:val="2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00平方米。主要包括环形排水沟</w:t>
                  </w:r>
                  <w:r>
                    <w:rPr>
                      <w:rFonts w:hint="eastAsia" w:ascii="Times New Roman" w:hAnsi="Times New Roman" w:cs="Times New Roman"/>
                      <w:color w:val="000000" w:themeColor="text1"/>
                      <w:szCs w:val="2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00m，沉砂池1个1</w:t>
                  </w:r>
                  <w:r>
                    <w:rPr>
                      <w:rFonts w:hint="eastAsia" w:ascii="Times New Roman" w:hAnsi="Times New Roman" w:cs="Times New Roman"/>
                      <w:color w:val="000000" w:themeColor="text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平方米，土袋拦挡</w:t>
                  </w:r>
                  <w:r>
                    <w:rPr>
                      <w:rFonts w:hint="eastAsia" w:ascii="Times New Roman" w:hAnsi="Times New Roman" w:cs="Times New Roman"/>
                      <w:color w:val="000000" w:themeColor="text1"/>
                      <w:szCs w:val="21"/>
                      <w:highlight w:val="none"/>
                      <w:lang w:val="en-US" w:eastAsia="zh-CN"/>
                      <w14:textFill>
                        <w14:solidFill>
                          <w14:schemeClr w14:val="tx1"/>
                        </w14:solidFill>
                      </w14:textFill>
                    </w:rPr>
                    <w:t>50</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m，主要功能为道路开挖土石方的暂存。</w:t>
                  </w:r>
                </w:p>
              </w:tc>
              <w:tc>
                <w:tcPr>
                  <w:tcW w:w="570" w:type="pct"/>
                  <w:noWrap w:val="0"/>
                  <w:vAlign w:val="center"/>
                </w:tcPr>
                <w:p>
                  <w:pPr>
                    <w:pStyle w:val="105"/>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扬尘、水土流失</w:t>
                  </w:r>
                </w:p>
              </w:tc>
              <w:tc>
                <w:tcPr>
                  <w:tcW w:w="525"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341"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c>
                <w:tcPr>
                  <w:tcW w:w="417" w:type="pct"/>
                  <w:noWrap w:val="0"/>
                  <w:vAlign w:val="center"/>
                </w:tcPr>
                <w:p>
                  <w:pPr>
                    <w:pStyle w:val="105"/>
                    <w:keepNext w:val="0"/>
                    <w:keepLines w:val="0"/>
                    <w:suppressLineNumbers w:val="0"/>
                    <w:adjustRightInd w:val="0"/>
                    <w:snapToGrid w:val="0"/>
                    <w:spacing w:before="0" w:beforeAutospacing="0" w:after="0" w:afterAutospacing="0"/>
                    <w:ind w:left="0" w:right="0"/>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临时表土堆场</w:t>
                  </w:r>
                </w:p>
              </w:tc>
              <w:tc>
                <w:tcPr>
                  <w:tcW w:w="3146" w:type="pct"/>
                  <w:gridSpan w:val="2"/>
                  <w:noWrap w:val="0"/>
                  <w:vAlign w:val="center"/>
                </w:tcPr>
                <w:p>
                  <w:pPr>
                    <w:pStyle w:val="105"/>
                    <w:keepNext w:val="0"/>
                    <w:keepLines w:val="0"/>
                    <w:suppressLineNumbers w:val="0"/>
                    <w:adjustRightInd w:val="0"/>
                    <w:snapToGrid w:val="0"/>
                    <w:spacing w:before="0" w:beforeAutospacing="0" w:after="0" w:afterAutospacing="0"/>
                    <w:ind w:left="0" w:right="0" w:firstLine="420" w:firstLineChars="200"/>
                    <w:jc w:val="both"/>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集中分布共用，设置1处，紧邻临时堆土场南侧，占地面积约</w:t>
                  </w:r>
                  <w:r>
                    <w:rPr>
                      <w:rFonts w:hint="eastAsia" w:ascii="Times New Roman" w:hAnsi="Times New Roman" w:cs="Times New Roman"/>
                      <w:color w:val="000000" w:themeColor="text1"/>
                      <w:szCs w:val="2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00平方米。主要包括环形排水沟</w:t>
                  </w:r>
                  <w:r>
                    <w:rPr>
                      <w:rFonts w:hint="eastAsia" w:ascii="Times New Roman" w:hAnsi="Times New Roman" w:cs="Times New Roman"/>
                      <w:color w:val="000000" w:themeColor="text1"/>
                      <w:szCs w:val="21"/>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0m，沉砂池1个5平方米，土袋拦挡</w:t>
                  </w:r>
                  <w:r>
                    <w:rPr>
                      <w:rFonts w:hint="eastAsia" w:ascii="Times New Roman" w:hAnsi="Times New Roman" w:cs="Times New Roman"/>
                      <w:color w:val="000000" w:themeColor="text1"/>
                      <w:szCs w:val="2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0m，主要功能为表土的暂存，后期回用于绿化工程。</w:t>
                  </w:r>
                </w:p>
              </w:tc>
              <w:tc>
                <w:tcPr>
                  <w:tcW w:w="570" w:type="pct"/>
                  <w:noWrap w:val="0"/>
                  <w:vAlign w:val="center"/>
                </w:tcPr>
                <w:p>
                  <w:pPr>
                    <w:pStyle w:val="105"/>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扬尘、水土流失</w:t>
                  </w:r>
                </w:p>
              </w:tc>
              <w:tc>
                <w:tcPr>
                  <w:tcW w:w="525"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341"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c>
                <w:tcPr>
                  <w:tcW w:w="417" w:type="pct"/>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弃渣场</w:t>
                  </w:r>
                </w:p>
              </w:tc>
              <w:tc>
                <w:tcPr>
                  <w:tcW w:w="3146" w:type="pct"/>
                  <w:gridSpan w:val="2"/>
                  <w:noWrap w:val="0"/>
                  <w:vAlign w:val="center"/>
                </w:tcPr>
                <w:p>
                  <w:pPr>
                    <w:pStyle w:val="105"/>
                    <w:keepNext w:val="0"/>
                    <w:keepLines w:val="0"/>
                    <w:suppressLineNumbers w:val="0"/>
                    <w:adjustRightInd w:val="0"/>
                    <w:snapToGrid w:val="0"/>
                    <w:spacing w:before="0" w:beforeAutospacing="0" w:after="0" w:afterAutospacing="0"/>
                    <w:ind w:left="0" w:right="0" w:firstLine="420" w:firstLineChars="200"/>
                    <w:jc w:val="both"/>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本项目不设弃渣场，弃方均外运至</w:t>
                  </w:r>
                  <w:r>
                    <w:rPr>
                      <w:rFonts w:hint="eastAsia" w:ascii="Times New Roman" w:hAnsi="Times New Roman" w:cs="Times New Roman"/>
                      <w:color w:val="000000" w:themeColor="text1"/>
                      <w:szCs w:val="21"/>
                      <w:highlight w:val="none"/>
                      <w:lang w:val="en-US" w:eastAsia="zh-CN"/>
                      <w14:textFill>
                        <w14:solidFill>
                          <w14:schemeClr w14:val="tx1"/>
                        </w14:solidFill>
                      </w14:textFill>
                    </w:rPr>
                    <w:t>政府指定弃渣场</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p>
              </w:tc>
              <w:tc>
                <w:tcPr>
                  <w:tcW w:w="570" w:type="pct"/>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交通</w:t>
                  </w:r>
                  <w:r>
                    <w:rPr>
                      <w:rFonts w:ascii="Times New Roman" w:hAnsi="Times New Roman"/>
                      <w:color w:val="000000" w:themeColor="text1"/>
                      <w:szCs w:val="21"/>
                      <w:highlight w:val="none"/>
                      <w14:textFill>
                        <w14:solidFill>
                          <w14:schemeClr w14:val="tx1"/>
                        </w14:solidFill>
                      </w14:textFill>
                    </w:rPr>
                    <w:t>噪声、扬尘</w:t>
                  </w:r>
                </w:p>
              </w:tc>
              <w:tc>
                <w:tcPr>
                  <w:tcW w:w="525"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41"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c>
                <w:tcPr>
                  <w:tcW w:w="417" w:type="pct"/>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料场</w:t>
                  </w:r>
                </w:p>
              </w:tc>
              <w:tc>
                <w:tcPr>
                  <w:tcW w:w="3146" w:type="pct"/>
                  <w:gridSpan w:val="2"/>
                  <w:noWrap w:val="0"/>
                  <w:vAlign w:val="center"/>
                </w:tcPr>
                <w:p>
                  <w:pPr>
                    <w:pStyle w:val="105"/>
                    <w:keepNext w:val="0"/>
                    <w:keepLines w:val="0"/>
                    <w:suppressLineNumbers w:val="0"/>
                    <w:adjustRightInd w:val="0"/>
                    <w:snapToGrid w:val="0"/>
                    <w:spacing w:before="0" w:beforeAutospacing="0" w:after="0" w:afterAutospacing="0"/>
                    <w:ind w:left="0" w:right="0" w:firstLine="420" w:firstLineChars="200"/>
                    <w:jc w:val="both"/>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不设料场，所需材料均外购</w:t>
                  </w:r>
                </w:p>
              </w:tc>
              <w:tc>
                <w:tcPr>
                  <w:tcW w:w="570" w:type="pct"/>
                  <w:noWrap w:val="0"/>
                  <w:vAlign w:val="center"/>
                </w:tcPr>
                <w:p>
                  <w:pPr>
                    <w:pStyle w:val="105"/>
                    <w:keepNext w:val="0"/>
                    <w:keepLines w:val="0"/>
                    <w:suppressLineNumbers w:val="0"/>
                    <w:adjustRightInd w:val="0"/>
                    <w:snapToGrid w:val="0"/>
                    <w:spacing w:before="0" w:beforeAutospacing="0" w:after="0" w:afterAutospacing="0"/>
                    <w:ind w:left="0" w:right="0"/>
                    <w:rPr>
                      <w:rFonts w:hint="eastAsia" w:ascii="Times New Roman" w:hAnsi="Times New Roman" w:eastAsia="宋体"/>
                      <w:color w:val="000000" w:themeColor="text1"/>
                      <w:szCs w:val="21"/>
                      <w:highlight w:val="none"/>
                      <w:lang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w:t>
                  </w:r>
                </w:p>
              </w:tc>
              <w:tc>
                <w:tcPr>
                  <w:tcW w:w="525"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341" w:type="pct"/>
                  <w:vMerge w:val="restart"/>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环保工程</w:t>
                  </w:r>
                </w:p>
              </w:tc>
              <w:tc>
                <w:tcPr>
                  <w:tcW w:w="417" w:type="pct"/>
                  <w:vMerge w:val="restart"/>
                  <w:noWrap w:val="0"/>
                  <w:vAlign w:val="center"/>
                </w:tcPr>
                <w:p>
                  <w:pPr>
                    <w:keepNext w:val="0"/>
                    <w:keepLines w:val="0"/>
                    <w:suppressLineNumbers w:val="0"/>
                    <w:snapToGrid w:val="0"/>
                    <w:spacing w:before="0" w:beforeAutospacing="0" w:after="0" w:afterAutospacing="0"/>
                    <w:ind w:left="0" w:right="0"/>
                    <w:rPr>
                      <w:rFonts w:hint="eastAsia" w:ascii="Times New Roman" w:hAnsi="Times New Roman" w:eastAsia="宋体"/>
                      <w:color w:val="000000" w:themeColor="text1"/>
                      <w:szCs w:val="21"/>
                      <w:highlight w:val="none"/>
                      <w:lang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施工期</w:t>
                  </w:r>
                </w:p>
              </w:tc>
              <w:tc>
                <w:tcPr>
                  <w:tcW w:w="525" w:type="pct"/>
                  <w:noWrap w:val="0"/>
                  <w:vAlign w:val="center"/>
                </w:tcPr>
                <w:p>
                  <w:pPr>
                    <w:keepNext w:val="0"/>
                    <w:keepLines w:val="0"/>
                    <w:suppressLineNumbers w:val="0"/>
                    <w:snapToGrid w:val="0"/>
                    <w:spacing w:before="0" w:beforeAutospacing="0" w:after="0" w:afterAutospacing="0"/>
                    <w:ind w:left="0" w:right="0"/>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废气</w:t>
                  </w:r>
                </w:p>
              </w:tc>
              <w:tc>
                <w:tcPr>
                  <w:tcW w:w="2621" w:type="pct"/>
                  <w:noWrap w:val="0"/>
                  <w:vAlign w:val="center"/>
                </w:tcPr>
                <w:p>
                  <w:pPr>
                    <w:pStyle w:val="105"/>
                    <w:keepNext w:val="0"/>
                    <w:keepLines w:val="0"/>
                    <w:suppressLineNumbers w:val="0"/>
                    <w:adjustRightInd w:val="0"/>
                    <w:snapToGrid w:val="0"/>
                    <w:spacing w:before="0" w:beforeAutospacing="0" w:after="0" w:afterAutospacing="0"/>
                    <w:ind w:left="0" w:right="0" w:firstLine="420" w:firstLineChars="200"/>
                    <w:jc w:val="both"/>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施工区域采用硬质围挡，高度不低于2m，配套喷雾系统，施工路段及临时施工场地安排专人洒水；物料堆苫布遮盖；运输车辆篷布遮盖等；碎石料拌合站设置于当地居民点下风向，进料区设置喷淋设施；</w:t>
                  </w:r>
                </w:p>
                <w:p>
                  <w:pPr>
                    <w:pStyle w:val="105"/>
                    <w:keepNext w:val="0"/>
                    <w:keepLines w:val="0"/>
                    <w:suppressLineNumbers w:val="0"/>
                    <w:adjustRightInd w:val="0"/>
                    <w:snapToGrid w:val="0"/>
                    <w:spacing w:before="0" w:beforeAutospacing="0" w:after="0" w:afterAutospacing="0"/>
                    <w:ind w:left="0" w:right="0" w:firstLine="420" w:firstLineChars="200"/>
                    <w:jc w:val="both"/>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施工场地出入口设置车辆冲洗平台，配套建设10</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立方米，</w:t>
                  </w:r>
                  <w:r>
                    <w:rPr>
                      <w:rFonts w:hint="eastAsia" w:ascii="Times New Roman" w:hAnsi="Times New Roman" w:eastAsia="宋体" w:cs="Times New Roman"/>
                      <w:color w:val="000000" w:themeColor="text1"/>
                      <w:szCs w:val="21"/>
                      <w:highlight w:val="none"/>
                      <w14:textFill>
                        <w14:solidFill>
                          <w14:schemeClr w14:val="tx1"/>
                        </w14:solidFill>
                      </w14:textFill>
                    </w:rPr>
                    <w:t>沉淀循环水池，出场车辆必须冲洗。</w:t>
                  </w:r>
                </w:p>
              </w:tc>
              <w:tc>
                <w:tcPr>
                  <w:tcW w:w="570" w:type="pct"/>
                  <w:noWrap w:val="0"/>
                  <w:vAlign w:val="center"/>
                </w:tcPr>
                <w:p>
                  <w:pPr>
                    <w:pStyle w:val="105"/>
                    <w:keepNext w:val="0"/>
                    <w:keepLines w:val="0"/>
                    <w:suppressLineNumbers w:val="0"/>
                    <w:adjustRightInd w:val="0"/>
                    <w:snapToGrid w:val="0"/>
                    <w:spacing w:before="0" w:beforeAutospacing="0" w:after="0" w:afterAutospacing="0"/>
                    <w:ind w:left="0" w:right="0"/>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w:t>
                  </w:r>
                </w:p>
              </w:tc>
              <w:tc>
                <w:tcPr>
                  <w:tcW w:w="525" w:type="pct"/>
                  <w:vMerge w:val="restart"/>
                  <w:noWrap w:val="0"/>
                  <w:vAlign w:val="center"/>
                </w:tcPr>
                <w:p>
                  <w:pPr>
                    <w:pStyle w:val="105"/>
                    <w:keepNext w:val="0"/>
                    <w:keepLines w:val="0"/>
                    <w:suppressLineNumbers w:val="0"/>
                    <w:adjustRightInd w:val="0"/>
                    <w:snapToGrid w:val="0"/>
                    <w:spacing w:before="0" w:beforeAutospacing="0" w:after="0" w:afterAutospacing="0"/>
                    <w:ind w:left="0" w:right="0"/>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341"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jc w:val="left"/>
                    <w:rPr>
                      <w:rFonts w:ascii="Times New Roman" w:hAnsi="Times New Roman"/>
                      <w:color w:val="000000" w:themeColor="text1"/>
                      <w:highlight w:val="none"/>
                      <w14:textFill>
                        <w14:solidFill>
                          <w14:schemeClr w14:val="tx1"/>
                        </w14:solidFill>
                      </w14:textFill>
                    </w:rPr>
                  </w:pPr>
                </w:p>
              </w:tc>
              <w:tc>
                <w:tcPr>
                  <w:tcW w:w="417" w:type="pct"/>
                  <w:vMerge w:val="continue"/>
                  <w:noWrap w:val="0"/>
                  <w:vAlign w:val="center"/>
                </w:tcPr>
                <w:p>
                  <w:pPr>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p>
              </w:tc>
              <w:tc>
                <w:tcPr>
                  <w:tcW w:w="525" w:type="pct"/>
                  <w:noWrap w:val="0"/>
                  <w:vAlign w:val="center"/>
                </w:tcPr>
                <w:p>
                  <w:pPr>
                    <w:keepNext w:val="0"/>
                    <w:keepLines w:val="0"/>
                    <w:suppressLineNumbers w:val="0"/>
                    <w:snapToGrid w:val="0"/>
                    <w:spacing w:before="0" w:beforeAutospacing="0" w:after="0" w:afterAutospacing="0"/>
                    <w:ind w:left="0" w:right="0"/>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废水</w:t>
                  </w:r>
                </w:p>
              </w:tc>
              <w:tc>
                <w:tcPr>
                  <w:tcW w:w="2621" w:type="pct"/>
                  <w:noWrap w:val="0"/>
                  <w:vAlign w:val="center"/>
                </w:tcPr>
                <w:p>
                  <w:pPr>
                    <w:pStyle w:val="105"/>
                    <w:keepNext w:val="0"/>
                    <w:keepLines w:val="0"/>
                    <w:suppressLineNumbers w:val="0"/>
                    <w:adjustRightInd w:val="0"/>
                    <w:snapToGrid w:val="0"/>
                    <w:spacing w:before="0" w:beforeAutospacing="0" w:after="0" w:afterAutospacing="0"/>
                    <w:ind w:left="0" w:right="0" w:firstLine="420" w:firstLineChars="200"/>
                    <w:jc w:val="both"/>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本项目在</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临时堆土场和临时表土堆场</w:t>
                  </w:r>
                  <w:r>
                    <w:rPr>
                      <w:rFonts w:hint="eastAsia" w:ascii="Times New Roman" w:hAnsi="Times New Roman" w:eastAsia="宋体" w:cs="Times New Roman"/>
                      <w:color w:val="000000" w:themeColor="text1"/>
                      <w:szCs w:val="21"/>
                      <w:highlight w:val="none"/>
                      <w14:textFill>
                        <w14:solidFill>
                          <w14:schemeClr w14:val="tx1"/>
                        </w14:solidFill>
                      </w14:textFill>
                    </w:rPr>
                    <w:t>各设置</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1个沉砂池</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均</w:t>
                  </w:r>
                  <w:r>
                    <w:rPr>
                      <w:rFonts w:hint="eastAsia" w:ascii="Times New Roman" w:hAnsi="Times New Roman" w:eastAsia="宋体" w:cs="Times New Roman"/>
                      <w:color w:val="000000" w:themeColor="text1"/>
                      <w:szCs w:val="21"/>
                      <w:highlight w:val="none"/>
                      <w14:textFill>
                        <w14:solidFill>
                          <w14:schemeClr w14:val="tx1"/>
                        </w14:solidFill>
                      </w14:textFill>
                    </w:rPr>
                    <w:t>15</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立方米</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临时施工场地内设置1个隔油池（1m</w:t>
                  </w:r>
                  <w:r>
                    <w:rPr>
                      <w:rFonts w:hint="eastAsia"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）和1个沉淀池（10m</w:t>
                  </w:r>
                  <w:r>
                    <w:rPr>
                      <w:rFonts w:hint="eastAsia"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Cs w:val="21"/>
                      <w:highlight w:val="none"/>
                      <w14:textFill>
                        <w14:solidFill>
                          <w14:schemeClr w14:val="tx1"/>
                        </w14:solidFill>
                      </w14:textFill>
                    </w:rPr>
                    <w:t>施工废水经临时隔油池和临时沉淀池处理后用于工地降尘不外排；</w:t>
                  </w:r>
                </w:p>
                <w:p>
                  <w:pPr>
                    <w:pStyle w:val="105"/>
                    <w:keepNext w:val="0"/>
                    <w:keepLines w:val="0"/>
                    <w:suppressLineNumbers w:val="0"/>
                    <w:adjustRightInd w:val="0"/>
                    <w:snapToGrid w:val="0"/>
                    <w:spacing w:before="0" w:beforeAutospacing="0" w:after="0" w:afterAutospacing="0"/>
                    <w:ind w:left="0" w:right="0" w:firstLine="420" w:firstLineChars="200"/>
                    <w:jc w:val="both"/>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施工场地出入口设置</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1个</w:t>
                  </w:r>
                  <w:r>
                    <w:rPr>
                      <w:rFonts w:hint="eastAsia" w:ascii="Times New Roman" w:hAnsi="Times New Roman" w:eastAsia="宋体" w:cs="Times New Roman"/>
                      <w:color w:val="000000" w:themeColor="text1"/>
                      <w:szCs w:val="21"/>
                      <w:highlight w:val="none"/>
                      <w14:textFill>
                        <w14:solidFill>
                          <w14:schemeClr w14:val="tx1"/>
                        </w14:solidFill>
                      </w14:textFill>
                    </w:rPr>
                    <w:t>车辆冲洗平台，配套建设10</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立方米沉淀池，洗车废水经沉淀后用于场地降尘；</w:t>
                  </w:r>
                </w:p>
                <w:p>
                  <w:pPr>
                    <w:pStyle w:val="105"/>
                    <w:keepNext w:val="0"/>
                    <w:keepLines w:val="0"/>
                    <w:suppressLineNumbers w:val="0"/>
                    <w:adjustRightInd w:val="0"/>
                    <w:snapToGrid w:val="0"/>
                    <w:spacing w:before="0" w:beforeAutospacing="0" w:after="0" w:afterAutospacing="0"/>
                    <w:ind w:left="0" w:right="0" w:firstLine="420" w:firstLineChars="200"/>
                    <w:jc w:val="both"/>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生活污水依托租用住房已有污水处理设施处理后入市政污水管网</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p>
              </w:tc>
              <w:tc>
                <w:tcPr>
                  <w:tcW w:w="570" w:type="pct"/>
                  <w:noWrap w:val="0"/>
                  <w:vAlign w:val="center"/>
                </w:tcPr>
                <w:p>
                  <w:pPr>
                    <w:pStyle w:val="105"/>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olor w:val="000000" w:themeColor="text1"/>
                      <w:szCs w:val="21"/>
                      <w:highlight w:val="none"/>
                      <w:lang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w:t>
                  </w:r>
                </w:p>
              </w:tc>
              <w:tc>
                <w:tcPr>
                  <w:tcW w:w="525"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jc w:val="left"/>
                    <w:rPr>
                      <w:rFonts w:ascii="Times New Roman" w:hAnsi="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341"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jc w:val="left"/>
                    <w:rPr>
                      <w:rFonts w:ascii="Times New Roman" w:hAnsi="Times New Roman"/>
                      <w:color w:val="000000" w:themeColor="text1"/>
                      <w:highlight w:val="none"/>
                      <w14:textFill>
                        <w14:solidFill>
                          <w14:schemeClr w14:val="tx1"/>
                        </w14:solidFill>
                      </w14:textFill>
                    </w:rPr>
                  </w:pPr>
                </w:p>
              </w:tc>
              <w:tc>
                <w:tcPr>
                  <w:tcW w:w="417" w:type="pct"/>
                  <w:vMerge w:val="continue"/>
                  <w:noWrap w:val="0"/>
                  <w:vAlign w:val="center"/>
                </w:tcPr>
                <w:p>
                  <w:pPr>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p>
              </w:tc>
              <w:tc>
                <w:tcPr>
                  <w:tcW w:w="525" w:type="pct"/>
                  <w:noWrap w:val="0"/>
                  <w:vAlign w:val="center"/>
                </w:tcPr>
                <w:p>
                  <w:pPr>
                    <w:keepNext w:val="0"/>
                    <w:keepLines w:val="0"/>
                    <w:suppressLineNumbers w:val="0"/>
                    <w:snapToGrid w:val="0"/>
                    <w:spacing w:before="0" w:beforeAutospacing="0" w:after="0" w:afterAutospacing="0"/>
                    <w:ind w:left="0" w:right="0"/>
                    <w:rPr>
                      <w:rFonts w:hint="default" w:ascii="Times New Roman" w:hAnsi="Times New Roman"/>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噪声</w:t>
                  </w:r>
                </w:p>
              </w:tc>
              <w:tc>
                <w:tcPr>
                  <w:tcW w:w="2621" w:type="pct"/>
                  <w:noWrap w:val="0"/>
                  <w:vAlign w:val="center"/>
                </w:tcPr>
                <w:p>
                  <w:pPr>
                    <w:pStyle w:val="105"/>
                    <w:keepNext w:val="0"/>
                    <w:keepLines w:val="0"/>
                    <w:suppressLineNumbers w:val="0"/>
                    <w:adjustRightInd w:val="0"/>
                    <w:snapToGrid w:val="0"/>
                    <w:spacing w:before="0" w:beforeAutospacing="0" w:after="0" w:afterAutospacing="0"/>
                    <w:ind w:left="0" w:right="0" w:firstLine="420" w:firstLineChars="200"/>
                    <w:jc w:val="both"/>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合理安排施工时间，避免高噪声设备同时施工，加强设备维护，施工场地打围施工</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Cs w:val="21"/>
                      <w:highlight w:val="none"/>
                      <w14:textFill>
                        <w14:solidFill>
                          <w14:schemeClr w14:val="tx1"/>
                        </w14:solidFill>
                      </w14:textFill>
                    </w:rPr>
                    <w:t>加强施工管理等</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p>
              </w:tc>
              <w:tc>
                <w:tcPr>
                  <w:tcW w:w="570" w:type="pct"/>
                  <w:noWrap w:val="0"/>
                  <w:vAlign w:val="center"/>
                </w:tcPr>
                <w:p>
                  <w:pPr>
                    <w:pStyle w:val="105"/>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w:t>
                  </w:r>
                </w:p>
              </w:tc>
              <w:tc>
                <w:tcPr>
                  <w:tcW w:w="525"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jc w:val="left"/>
                    <w:rPr>
                      <w:rFonts w:ascii="Times New Roman" w:hAnsi="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341"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jc w:val="left"/>
                    <w:rPr>
                      <w:rFonts w:ascii="Times New Roman" w:hAnsi="Times New Roman"/>
                      <w:color w:val="000000" w:themeColor="text1"/>
                      <w:highlight w:val="none"/>
                      <w14:textFill>
                        <w14:solidFill>
                          <w14:schemeClr w14:val="tx1"/>
                        </w14:solidFill>
                      </w14:textFill>
                    </w:rPr>
                  </w:pPr>
                </w:p>
              </w:tc>
              <w:tc>
                <w:tcPr>
                  <w:tcW w:w="417" w:type="pct"/>
                  <w:vMerge w:val="continue"/>
                  <w:noWrap w:val="0"/>
                  <w:vAlign w:val="center"/>
                </w:tcPr>
                <w:p>
                  <w:pPr>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p>
              </w:tc>
              <w:tc>
                <w:tcPr>
                  <w:tcW w:w="525" w:type="pct"/>
                  <w:noWrap w:val="0"/>
                  <w:vAlign w:val="center"/>
                </w:tcPr>
                <w:p>
                  <w:pPr>
                    <w:keepNext w:val="0"/>
                    <w:keepLines w:val="0"/>
                    <w:suppressLineNumbers w:val="0"/>
                    <w:snapToGrid w:val="0"/>
                    <w:spacing w:before="0" w:beforeAutospacing="0" w:after="0" w:afterAutospacing="0"/>
                    <w:ind w:left="0" w:right="0"/>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固废</w:t>
                  </w:r>
                </w:p>
              </w:tc>
              <w:tc>
                <w:tcPr>
                  <w:tcW w:w="2621" w:type="pct"/>
                  <w:noWrap w:val="0"/>
                  <w:vAlign w:val="center"/>
                </w:tcPr>
                <w:p>
                  <w:pPr>
                    <w:pStyle w:val="105"/>
                    <w:keepNext w:val="0"/>
                    <w:keepLines w:val="0"/>
                    <w:suppressLineNumbers w:val="0"/>
                    <w:adjustRightInd w:val="0"/>
                    <w:snapToGrid w:val="0"/>
                    <w:spacing w:before="0" w:beforeAutospacing="0" w:after="0" w:afterAutospacing="0"/>
                    <w:ind w:left="0" w:right="0" w:firstLine="420" w:firstLineChars="200"/>
                    <w:jc w:val="both"/>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建筑垃圾</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能回用的回用，能外售的外售，其余</w:t>
                  </w:r>
                  <w:r>
                    <w:rPr>
                      <w:rFonts w:hint="eastAsia" w:ascii="Times New Roman" w:hAnsi="Times New Roman" w:eastAsia="宋体" w:cs="Times New Roman"/>
                      <w:color w:val="000000" w:themeColor="text1"/>
                      <w:szCs w:val="21"/>
                      <w:highlight w:val="none"/>
                      <w14:textFill>
                        <w14:solidFill>
                          <w14:schemeClr w14:val="tx1"/>
                        </w14:solidFill>
                      </w14:textFill>
                    </w:rPr>
                    <w:t>运至</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政府</w:t>
                  </w:r>
                  <w:r>
                    <w:rPr>
                      <w:rFonts w:hint="eastAsia" w:ascii="Times New Roman" w:hAnsi="Times New Roman" w:eastAsia="宋体" w:cs="Times New Roman"/>
                      <w:color w:val="000000" w:themeColor="text1"/>
                      <w:szCs w:val="21"/>
                      <w:highlight w:val="none"/>
                      <w14:textFill>
                        <w14:solidFill>
                          <w14:schemeClr w14:val="tx1"/>
                        </w14:solidFill>
                      </w14:textFill>
                    </w:rPr>
                    <w:t>指定</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的建渣堆放场；废弃土石方</w:t>
                  </w:r>
                  <w:r>
                    <w:rPr>
                      <w:rFonts w:hint="eastAsia" w:ascii="Times New Roman" w:hAnsi="Times New Roman" w:eastAsia="宋体" w:cs="Times New Roman"/>
                      <w:color w:val="000000" w:themeColor="text1"/>
                      <w:szCs w:val="21"/>
                      <w:highlight w:val="none"/>
                      <w14:textFill>
                        <w14:solidFill>
                          <w14:schemeClr w14:val="tx1"/>
                        </w14:solidFill>
                      </w14:textFill>
                    </w:rPr>
                    <w:t>均外运至</w:t>
                  </w:r>
                  <w:r>
                    <w:rPr>
                      <w:rFonts w:hint="eastAsia" w:ascii="Times New Roman" w:hAnsi="Times New Roman" w:cs="Times New Roman"/>
                      <w:color w:val="000000" w:themeColor="text1"/>
                      <w:szCs w:val="21"/>
                      <w:highlight w:val="none"/>
                      <w:lang w:val="en-US" w:eastAsia="zh-CN"/>
                      <w14:textFill>
                        <w14:solidFill>
                          <w14:schemeClr w14:val="tx1"/>
                        </w14:solidFill>
                      </w14:textFill>
                    </w:rPr>
                    <w:t>政府指定弃渣场</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生活垃圾袋装收集后每日交环卫部门处理</w:t>
                  </w:r>
                  <w:r>
                    <w:rPr>
                      <w:rFonts w:hint="eastAsia" w:ascii="Times New Roman" w:hAnsi="Times New Roman" w:eastAsia="宋体" w:cs="Times New Roman"/>
                      <w:color w:val="000000" w:themeColor="text1"/>
                      <w:szCs w:val="21"/>
                      <w:highlight w:val="none"/>
                      <w14:textFill>
                        <w14:solidFill>
                          <w14:schemeClr w14:val="tx1"/>
                        </w14:solidFill>
                      </w14:textFill>
                    </w:rPr>
                    <w:t>。</w:t>
                  </w:r>
                </w:p>
              </w:tc>
              <w:tc>
                <w:tcPr>
                  <w:tcW w:w="570" w:type="pct"/>
                  <w:noWrap w:val="0"/>
                  <w:vAlign w:val="center"/>
                </w:tcPr>
                <w:p>
                  <w:pPr>
                    <w:pStyle w:val="105"/>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w:t>
                  </w:r>
                </w:p>
              </w:tc>
              <w:tc>
                <w:tcPr>
                  <w:tcW w:w="525"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jc w:val="left"/>
                    <w:rPr>
                      <w:rFonts w:ascii="Times New Roman" w:hAnsi="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341"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jc w:val="left"/>
                    <w:rPr>
                      <w:rFonts w:ascii="Times New Roman" w:hAnsi="Times New Roman"/>
                      <w:color w:val="000000" w:themeColor="text1"/>
                      <w:highlight w:val="none"/>
                      <w14:textFill>
                        <w14:solidFill>
                          <w14:schemeClr w14:val="tx1"/>
                        </w14:solidFill>
                      </w14:textFill>
                    </w:rPr>
                  </w:pPr>
                </w:p>
              </w:tc>
              <w:tc>
                <w:tcPr>
                  <w:tcW w:w="417" w:type="pct"/>
                  <w:vMerge w:val="restart"/>
                  <w:noWrap w:val="0"/>
                  <w:vAlign w:val="center"/>
                </w:tcPr>
                <w:p>
                  <w:pPr>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营运期</w:t>
                  </w:r>
                </w:p>
              </w:tc>
              <w:tc>
                <w:tcPr>
                  <w:tcW w:w="525" w:type="pct"/>
                  <w:noWrap w:val="0"/>
                  <w:vAlign w:val="center"/>
                </w:tcPr>
                <w:p>
                  <w:pPr>
                    <w:keepNext w:val="0"/>
                    <w:keepLines w:val="0"/>
                    <w:suppressLineNumbers w:val="0"/>
                    <w:snapToGrid w:val="0"/>
                    <w:spacing w:before="0" w:beforeAutospacing="0" w:after="0" w:afterAutospacing="0"/>
                    <w:ind w:left="0" w:right="0"/>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废气</w:t>
                  </w:r>
                </w:p>
              </w:tc>
              <w:tc>
                <w:tcPr>
                  <w:tcW w:w="2621" w:type="pct"/>
                  <w:noWrap w:val="0"/>
                  <w:vAlign w:val="center"/>
                </w:tcPr>
                <w:p>
                  <w:pPr>
                    <w:pStyle w:val="105"/>
                    <w:keepNext w:val="0"/>
                    <w:keepLines w:val="0"/>
                    <w:suppressLineNumbers w:val="0"/>
                    <w:adjustRightInd w:val="0"/>
                    <w:snapToGrid w:val="0"/>
                    <w:spacing w:before="0" w:beforeAutospacing="0" w:after="0" w:afterAutospacing="0"/>
                    <w:ind w:left="0" w:right="0" w:firstLine="420" w:firstLineChars="200"/>
                    <w:jc w:val="both"/>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主要为道路扬尘及汽车尾气，通过设置绿化带，降低废气对周边环境的影响。</w:t>
                  </w:r>
                </w:p>
              </w:tc>
              <w:tc>
                <w:tcPr>
                  <w:tcW w:w="570" w:type="pct"/>
                  <w:noWrap w:val="0"/>
                  <w:vAlign w:val="center"/>
                </w:tcPr>
                <w:p>
                  <w:pPr>
                    <w:pStyle w:val="105"/>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w:t>
                  </w:r>
                </w:p>
              </w:tc>
              <w:tc>
                <w:tcPr>
                  <w:tcW w:w="525"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jc w:val="left"/>
                    <w:rPr>
                      <w:rFonts w:ascii="Times New Roman" w:hAnsi="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341"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jc w:val="left"/>
                    <w:rPr>
                      <w:rFonts w:ascii="Times New Roman" w:hAnsi="Times New Roman"/>
                      <w:color w:val="000000" w:themeColor="text1"/>
                      <w:highlight w:val="none"/>
                      <w14:textFill>
                        <w14:solidFill>
                          <w14:schemeClr w14:val="tx1"/>
                        </w14:solidFill>
                      </w14:textFill>
                    </w:rPr>
                  </w:pPr>
                </w:p>
              </w:tc>
              <w:tc>
                <w:tcPr>
                  <w:tcW w:w="417" w:type="pct"/>
                  <w:vMerge w:val="continue"/>
                  <w:noWrap w:val="0"/>
                  <w:vAlign w:val="center"/>
                </w:tcPr>
                <w:p>
                  <w:pPr>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p>
              </w:tc>
              <w:tc>
                <w:tcPr>
                  <w:tcW w:w="525" w:type="pct"/>
                  <w:noWrap w:val="0"/>
                  <w:vAlign w:val="center"/>
                </w:tcPr>
                <w:p>
                  <w:pPr>
                    <w:keepNext w:val="0"/>
                    <w:keepLines w:val="0"/>
                    <w:suppressLineNumbers w:val="0"/>
                    <w:snapToGrid w:val="0"/>
                    <w:spacing w:before="0" w:beforeAutospacing="0" w:after="0" w:afterAutospacing="0"/>
                    <w:ind w:left="0" w:right="0"/>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噪声</w:t>
                  </w:r>
                </w:p>
              </w:tc>
              <w:tc>
                <w:tcPr>
                  <w:tcW w:w="2621" w:type="pct"/>
                  <w:noWrap w:val="0"/>
                  <w:vAlign w:val="center"/>
                </w:tcPr>
                <w:p>
                  <w:pPr>
                    <w:pStyle w:val="105"/>
                    <w:keepNext w:val="0"/>
                    <w:keepLines w:val="0"/>
                    <w:suppressLineNumbers w:val="0"/>
                    <w:adjustRightInd w:val="0"/>
                    <w:snapToGrid w:val="0"/>
                    <w:spacing w:before="0" w:beforeAutospacing="0" w:after="0" w:afterAutospacing="0"/>
                    <w:ind w:left="0" w:right="0" w:firstLine="420" w:firstLineChars="200"/>
                    <w:jc w:val="both"/>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采</w:t>
                  </w:r>
                  <w:r>
                    <w:rPr>
                      <w:rFonts w:hint="eastAsia" w:ascii="Times New Roman" w:hAnsi="Times New Roman" w:eastAsia="宋体" w:cs="Times New Roman"/>
                      <w:color w:val="000000" w:themeColor="text1"/>
                      <w:szCs w:val="21"/>
                      <w:highlight w:val="none"/>
                      <w14:textFill>
                        <w14:solidFill>
                          <w14:schemeClr w14:val="tx1"/>
                        </w14:solidFill>
                      </w14:textFill>
                    </w:rPr>
                    <w:t>用SMA沥青砼低噪声路面、限速禁鸣、</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设置绿化带</w:t>
                  </w:r>
                  <w:r>
                    <w:rPr>
                      <w:rFonts w:hint="eastAsia" w:ascii="Times New Roman" w:hAnsi="Times New Roman" w:eastAsia="宋体" w:cs="Times New Roman"/>
                      <w:color w:val="000000" w:themeColor="text1"/>
                      <w:szCs w:val="21"/>
                      <w:highlight w:val="none"/>
                      <w14:textFill>
                        <w14:solidFill>
                          <w14:schemeClr w14:val="tx1"/>
                        </w14:solidFill>
                      </w14:textFill>
                    </w:rPr>
                    <w:t>等降噪措施</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。主路右侧设置4m高声屏障，起于K0+480终于K0+740</w:t>
                  </w:r>
                  <w:r>
                    <w:rPr>
                      <w:rFonts w:hint="eastAsia" w:ascii="Times New Roman" w:hAnsi="Times New Roman" w:cs="Times New Roman"/>
                      <w:color w:val="000000" w:themeColor="text1"/>
                      <w:szCs w:val="21"/>
                      <w:highlight w:val="none"/>
                      <w:lang w:eastAsia="zh-CN"/>
                      <w14:textFill>
                        <w14:solidFill>
                          <w14:schemeClr w14:val="tx1"/>
                        </w14:solidFill>
                      </w14:textFill>
                    </w:rPr>
                    <w:t>，</w:t>
                  </w:r>
                  <w:r>
                    <w:rPr>
                      <w:rFonts w:hint="eastAsia" w:ascii="Times New Roman" w:hAnsi="Times New Roman" w:cs="Times New Roman"/>
                      <w:color w:val="000000" w:themeColor="text1"/>
                      <w:szCs w:val="21"/>
                      <w:highlight w:val="none"/>
                      <w:lang w:val="en-US" w:eastAsia="zh-CN"/>
                      <w14:textFill>
                        <w14:solidFill>
                          <w14:schemeClr w14:val="tx1"/>
                        </w14:solidFill>
                      </w14:textFill>
                    </w:rPr>
                    <w:t>合计长度260m</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；主路及匝道左侧侧设置4m高声屏障，起于K0+740终于K1+040</w:t>
                  </w:r>
                  <w:r>
                    <w:rPr>
                      <w:rFonts w:hint="eastAsia" w:ascii="Times New Roman" w:hAnsi="Times New Roman" w:cs="Times New Roman"/>
                      <w:color w:val="000000" w:themeColor="text1"/>
                      <w:szCs w:val="21"/>
                      <w:highlight w:val="none"/>
                      <w:lang w:eastAsia="zh-CN"/>
                      <w14:textFill>
                        <w14:solidFill>
                          <w14:schemeClr w14:val="tx1"/>
                        </w14:solidFill>
                      </w14:textFill>
                    </w:rPr>
                    <w:t>，</w:t>
                  </w:r>
                  <w:r>
                    <w:rPr>
                      <w:rFonts w:hint="eastAsia" w:ascii="Times New Roman" w:hAnsi="Times New Roman" w:cs="Times New Roman"/>
                      <w:color w:val="000000" w:themeColor="text1"/>
                      <w:szCs w:val="21"/>
                      <w:highlight w:val="none"/>
                      <w:lang w:val="en-US" w:eastAsia="zh-CN"/>
                      <w14:textFill>
                        <w14:solidFill>
                          <w14:schemeClr w14:val="tx1"/>
                        </w14:solidFill>
                      </w14:textFill>
                    </w:rPr>
                    <w:t>合计长度600m</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hint="eastAsia" w:ascii="Times New Roman" w:hAnsi="Times New Roman" w:cs="Times New Roman"/>
                      <w:color w:val="000000" w:themeColor="text1"/>
                      <w:szCs w:val="21"/>
                      <w:highlight w:val="none"/>
                      <w:lang w:val="en-US" w:eastAsia="zh-CN"/>
                      <w14:textFill>
                        <w14:solidFill>
                          <w14:schemeClr w14:val="tx1"/>
                        </w14:solidFill>
                      </w14:textFill>
                    </w:rPr>
                    <w:t>预留后期</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分离路路左及路右设置4m高声屏障</w:t>
                  </w:r>
                  <w:r>
                    <w:rPr>
                      <w:rFonts w:hint="eastAsia" w:ascii="Times New Roman" w:hAnsi="Times New Roman" w:cs="Times New Roman"/>
                      <w:color w:val="000000" w:themeColor="text1"/>
                      <w:szCs w:val="21"/>
                      <w:highlight w:val="none"/>
                      <w:lang w:val="en-US" w:eastAsia="zh-CN"/>
                      <w14:textFill>
                        <w14:solidFill>
                          <w14:schemeClr w14:val="tx1"/>
                        </w14:solidFill>
                      </w14:textFill>
                    </w:rPr>
                    <w:t>的条件</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，起于K1+960终于K2+060，合计长度为</w:t>
                  </w:r>
                  <w:r>
                    <w:rPr>
                      <w:rFonts w:hint="eastAsia" w:ascii="Times New Roman" w:hAnsi="Times New Roman" w:cs="Times New Roman"/>
                      <w:color w:val="000000" w:themeColor="text1"/>
                      <w:szCs w:val="21"/>
                      <w:highlight w:val="none"/>
                      <w:lang w:val="en-US" w:eastAsia="zh-CN"/>
                      <w14:textFill>
                        <w14:solidFill>
                          <w14:schemeClr w14:val="tx1"/>
                        </w14:solidFill>
                      </w14:textFill>
                    </w:rPr>
                    <w:t>20</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0m</w:t>
                  </w:r>
                  <w:r>
                    <w:rPr>
                      <w:rFonts w:hint="eastAsia" w:ascii="Times New Roman" w:hAnsi="Times New Roman" w:cs="Times New Roman"/>
                      <w:color w:val="000000" w:themeColor="text1"/>
                      <w:szCs w:val="21"/>
                      <w:highlight w:val="none"/>
                      <w:lang w:eastAsia="zh-CN"/>
                      <w14:textFill>
                        <w14:solidFill>
                          <w14:schemeClr w14:val="tx1"/>
                        </w14:solidFill>
                      </w14:textFill>
                    </w:rPr>
                    <w:t>。</w:t>
                  </w:r>
                </w:p>
              </w:tc>
              <w:tc>
                <w:tcPr>
                  <w:tcW w:w="570" w:type="pct"/>
                  <w:noWrap w:val="0"/>
                  <w:vAlign w:val="center"/>
                </w:tcPr>
                <w:p>
                  <w:pPr>
                    <w:pStyle w:val="105"/>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w:t>
                  </w:r>
                </w:p>
              </w:tc>
              <w:tc>
                <w:tcPr>
                  <w:tcW w:w="525"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jc w:val="left"/>
                    <w:rPr>
                      <w:rFonts w:ascii="Times New Roman" w:hAnsi="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341"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jc w:val="left"/>
                    <w:rPr>
                      <w:rFonts w:ascii="Times New Roman" w:hAnsi="Times New Roman"/>
                      <w:color w:val="000000" w:themeColor="text1"/>
                      <w:highlight w:val="none"/>
                      <w14:textFill>
                        <w14:solidFill>
                          <w14:schemeClr w14:val="tx1"/>
                        </w14:solidFill>
                      </w14:textFill>
                    </w:rPr>
                  </w:pPr>
                </w:p>
              </w:tc>
              <w:tc>
                <w:tcPr>
                  <w:tcW w:w="417" w:type="pct"/>
                  <w:vMerge w:val="continue"/>
                  <w:noWrap w:val="0"/>
                  <w:vAlign w:val="center"/>
                </w:tcPr>
                <w:p>
                  <w:pPr>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p>
              </w:tc>
              <w:tc>
                <w:tcPr>
                  <w:tcW w:w="525" w:type="pct"/>
                  <w:noWrap w:val="0"/>
                  <w:vAlign w:val="center"/>
                </w:tcPr>
                <w:p>
                  <w:pPr>
                    <w:keepNext w:val="0"/>
                    <w:keepLines w:val="0"/>
                    <w:suppressLineNumbers w:val="0"/>
                    <w:snapToGrid w:val="0"/>
                    <w:spacing w:before="0" w:beforeAutospacing="0" w:after="0" w:afterAutospacing="0"/>
                    <w:ind w:left="0" w:right="0"/>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废水</w:t>
                  </w:r>
                </w:p>
              </w:tc>
              <w:tc>
                <w:tcPr>
                  <w:tcW w:w="2621" w:type="pct"/>
                  <w:noWrap w:val="0"/>
                  <w:vAlign w:val="center"/>
                </w:tcPr>
                <w:p>
                  <w:pPr>
                    <w:pStyle w:val="105"/>
                    <w:keepNext w:val="0"/>
                    <w:keepLines w:val="0"/>
                    <w:suppressLineNumbers w:val="0"/>
                    <w:adjustRightInd w:val="0"/>
                    <w:snapToGrid w:val="0"/>
                    <w:spacing w:before="0" w:beforeAutospacing="0" w:after="0" w:afterAutospacing="0"/>
                    <w:ind w:left="0" w:right="0" w:firstLine="420" w:firstLineChars="200"/>
                    <w:jc w:val="both"/>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来自地面径流雨水，路面两侧设置了雨水管网及雨水篦子，收集雨水排入周边沟渠。</w:t>
                  </w:r>
                </w:p>
              </w:tc>
              <w:tc>
                <w:tcPr>
                  <w:tcW w:w="570" w:type="pct"/>
                  <w:noWrap w:val="0"/>
                  <w:vAlign w:val="center"/>
                </w:tcPr>
                <w:p>
                  <w:pPr>
                    <w:pStyle w:val="105"/>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w:t>
                  </w:r>
                </w:p>
              </w:tc>
              <w:tc>
                <w:tcPr>
                  <w:tcW w:w="525"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jc w:val="left"/>
                    <w:rPr>
                      <w:rFonts w:ascii="Times New Roman" w:hAnsi="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341"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jc w:val="left"/>
                    <w:rPr>
                      <w:rFonts w:ascii="Times New Roman" w:hAnsi="Times New Roman"/>
                      <w:color w:val="000000" w:themeColor="text1"/>
                      <w:highlight w:val="none"/>
                      <w14:textFill>
                        <w14:solidFill>
                          <w14:schemeClr w14:val="tx1"/>
                        </w14:solidFill>
                      </w14:textFill>
                    </w:rPr>
                  </w:pPr>
                </w:p>
              </w:tc>
              <w:tc>
                <w:tcPr>
                  <w:tcW w:w="417" w:type="pct"/>
                  <w:vMerge w:val="continue"/>
                  <w:noWrap w:val="0"/>
                  <w:vAlign w:val="center"/>
                </w:tcPr>
                <w:p>
                  <w:pPr>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p>
              </w:tc>
              <w:tc>
                <w:tcPr>
                  <w:tcW w:w="525" w:type="pct"/>
                  <w:noWrap w:val="0"/>
                  <w:vAlign w:val="center"/>
                </w:tcPr>
                <w:p>
                  <w:pPr>
                    <w:keepNext w:val="0"/>
                    <w:keepLines w:val="0"/>
                    <w:suppressLineNumbers w:val="0"/>
                    <w:snapToGrid w:val="0"/>
                    <w:spacing w:before="0" w:beforeAutospacing="0" w:after="0" w:afterAutospacing="0"/>
                    <w:ind w:left="0" w:right="0"/>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固废</w:t>
                  </w:r>
                </w:p>
              </w:tc>
              <w:tc>
                <w:tcPr>
                  <w:tcW w:w="2621" w:type="pct"/>
                  <w:noWrap w:val="0"/>
                  <w:vAlign w:val="center"/>
                </w:tcPr>
                <w:p>
                  <w:pPr>
                    <w:pStyle w:val="105"/>
                    <w:keepNext w:val="0"/>
                    <w:keepLines w:val="0"/>
                    <w:suppressLineNumbers w:val="0"/>
                    <w:adjustRightInd w:val="0"/>
                    <w:snapToGrid w:val="0"/>
                    <w:spacing w:before="0" w:beforeAutospacing="0" w:after="0" w:afterAutospacing="0"/>
                    <w:ind w:left="0" w:right="0" w:firstLine="420" w:firstLineChars="200"/>
                    <w:jc w:val="both"/>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来自</w:t>
                  </w:r>
                  <w:r>
                    <w:rPr>
                      <w:rFonts w:hint="eastAsia" w:ascii="Times New Roman" w:hAnsi="Times New Roman" w:eastAsia="宋体" w:cs="Times New Roman"/>
                      <w:color w:val="000000" w:themeColor="text1"/>
                      <w:szCs w:val="21"/>
                      <w:highlight w:val="none"/>
                      <w14:textFill>
                        <w14:solidFill>
                          <w14:schemeClr w14:val="tx1"/>
                        </w14:solidFill>
                      </w14:textFill>
                    </w:rPr>
                    <w:t>过往车辆</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及行人</w:t>
                  </w:r>
                  <w:r>
                    <w:rPr>
                      <w:rFonts w:hint="eastAsia" w:ascii="Times New Roman" w:hAnsi="Times New Roman" w:eastAsia="宋体" w:cs="Times New Roman"/>
                      <w:color w:val="000000" w:themeColor="text1"/>
                      <w:szCs w:val="21"/>
                      <w:highlight w:val="none"/>
                      <w14:textFill>
                        <w14:solidFill>
                          <w14:schemeClr w14:val="tx1"/>
                        </w14:solidFill>
                      </w14:textFill>
                    </w:rPr>
                    <w:t>丢弃垃圾，</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由环卫工人清捡后，</w:t>
                  </w:r>
                  <w:r>
                    <w:rPr>
                      <w:rFonts w:hint="eastAsia" w:ascii="Times New Roman" w:hAnsi="Times New Roman" w:eastAsia="宋体" w:cs="Times New Roman"/>
                      <w:color w:val="000000" w:themeColor="text1"/>
                      <w:szCs w:val="21"/>
                      <w:highlight w:val="none"/>
                      <w14:textFill>
                        <w14:solidFill>
                          <w14:schemeClr w14:val="tx1"/>
                        </w14:solidFill>
                      </w14:textFill>
                    </w:rPr>
                    <w:t>交由环卫部门处置</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同时沿线设置小型垃圾箱。</w:t>
                  </w:r>
                </w:p>
              </w:tc>
              <w:tc>
                <w:tcPr>
                  <w:tcW w:w="570" w:type="pct"/>
                  <w:noWrap w:val="0"/>
                  <w:vAlign w:val="center"/>
                </w:tcPr>
                <w:p>
                  <w:pPr>
                    <w:pStyle w:val="105"/>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w:t>
                  </w:r>
                </w:p>
              </w:tc>
              <w:tc>
                <w:tcPr>
                  <w:tcW w:w="525" w:type="pct"/>
                  <w:vMerge w:val="continue"/>
                  <w:noWrap w:val="0"/>
                  <w:vAlign w:val="center"/>
                </w:tcPr>
                <w:p>
                  <w:pPr>
                    <w:pStyle w:val="105"/>
                    <w:keepNext w:val="0"/>
                    <w:keepLines w:val="0"/>
                    <w:suppressLineNumbers w:val="0"/>
                    <w:adjustRightInd w:val="0"/>
                    <w:snapToGrid w:val="0"/>
                    <w:spacing w:before="0" w:beforeAutospacing="0" w:after="0" w:afterAutospacing="0"/>
                    <w:ind w:left="0" w:right="0"/>
                    <w:jc w:val="left"/>
                    <w:rPr>
                      <w:rFonts w:ascii="Times New Roman" w:hAnsi="Times New Roman"/>
                      <w:color w:val="000000" w:themeColor="text1"/>
                      <w:szCs w:val="21"/>
                      <w:highlight w:val="none"/>
                      <w14:textFill>
                        <w14:solidFill>
                          <w14:schemeClr w14:val="tx1"/>
                        </w14:solidFill>
                      </w14:textFill>
                    </w:rPr>
                  </w:pPr>
                </w:p>
              </w:tc>
            </w:tr>
          </w:tbl>
          <w:p>
            <w:pPr>
              <w:keepNext w:val="0"/>
              <w:keepLines w:val="0"/>
              <w:suppressLineNumbers w:val="0"/>
              <w:autoSpaceDE w:val="0"/>
              <w:autoSpaceDN w:val="0"/>
              <w:spacing w:before="0" w:beforeAutospacing="0" w:after="0" w:afterAutospacing="0"/>
              <w:ind w:left="0" w:right="0"/>
              <w:jc w:val="center"/>
              <w:rPr>
                <w:b/>
                <w:color w:val="000000" w:themeColor="text1"/>
                <w:szCs w:val="21"/>
                <w:highlight w:val="none"/>
                <w14:textFill>
                  <w14:solidFill>
                    <w14:schemeClr w14:val="tx1"/>
                  </w14:solidFill>
                </w14:textFill>
              </w:rPr>
            </w:pPr>
          </w:p>
          <w:p>
            <w:pPr>
              <w:keepNext w:val="0"/>
              <w:keepLines w:val="0"/>
              <w:widowControl/>
              <w:suppressLineNumbers w:val="0"/>
              <w:spacing w:before="0" w:beforeAutospacing="0" w:after="0" w:afterAutospacing="0" w:line="360" w:lineRule="auto"/>
              <w:ind w:left="0" w:right="0"/>
              <w:rPr>
                <w:b/>
                <w:bCs/>
                <w:color w:val="000000" w:themeColor="text1"/>
                <w:sz w:val="24"/>
                <w:highlight w:val="none"/>
                <w14:textFill>
                  <w14:solidFill>
                    <w14:schemeClr w14:val="tx1"/>
                  </w14:solidFill>
                </w14:textFill>
              </w:rPr>
            </w:pPr>
            <w:r>
              <w:rPr>
                <w:b/>
                <w:color w:val="000000" w:themeColor="text1"/>
                <w:sz w:val="24"/>
                <w:szCs w:val="22"/>
                <w:highlight w:val="none"/>
                <w14:textFill>
                  <w14:solidFill>
                    <w14:schemeClr w14:val="tx1"/>
                  </w14:solidFill>
                </w14:textFill>
              </w:rPr>
              <w:t>（</w:t>
            </w:r>
            <w:r>
              <w:rPr>
                <w:rFonts w:hint="eastAsia"/>
                <w:b/>
                <w:color w:val="000000" w:themeColor="text1"/>
                <w:sz w:val="24"/>
                <w:szCs w:val="22"/>
                <w:highlight w:val="none"/>
                <w14:textFill>
                  <w14:solidFill>
                    <w14:schemeClr w14:val="tx1"/>
                  </w14:solidFill>
                </w14:textFill>
              </w:rPr>
              <w:t>五</w:t>
            </w:r>
            <w:r>
              <w:rPr>
                <w:b/>
                <w:color w:val="000000" w:themeColor="text1"/>
                <w:sz w:val="24"/>
                <w:szCs w:val="22"/>
                <w:highlight w:val="none"/>
                <w14:textFill>
                  <w14:solidFill>
                    <w14:schemeClr w14:val="tx1"/>
                  </w14:solidFill>
                </w14:textFill>
              </w:rPr>
              <w:t>）</w:t>
            </w:r>
            <w:r>
              <w:rPr>
                <w:rFonts w:hint="eastAsia"/>
                <w:b/>
                <w:bCs/>
                <w:color w:val="000000" w:themeColor="text1"/>
                <w:sz w:val="24"/>
                <w:highlight w:val="none"/>
                <w14:textFill>
                  <w14:solidFill>
                    <w14:schemeClr w14:val="tx1"/>
                  </w14:solidFill>
                </w14:textFill>
              </w:rPr>
              <w:t>工程设计方案</w:t>
            </w:r>
          </w:p>
          <w:p>
            <w:pPr>
              <w:pStyle w:val="83"/>
              <w:widowControl/>
              <w:spacing w:line="360" w:lineRule="auto"/>
              <w:ind w:left="0" w:firstLine="48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本项目</w:t>
            </w:r>
            <w:r>
              <w:rPr>
                <w:rFonts w:hint="eastAsia" w:ascii="宋体" w:hAnsi="宋体" w:cs="宋体"/>
                <w:color w:val="000000" w:themeColor="text1"/>
                <w:sz w:val="24"/>
                <w:szCs w:val="24"/>
                <w:highlight w:val="none"/>
                <w:lang w:val="en-US" w:eastAsia="zh-CN"/>
                <w14:textFill>
                  <w14:solidFill>
                    <w14:schemeClr w14:val="tx1"/>
                  </w14:solidFill>
                </w14:textFill>
              </w:rPr>
              <w:t>为新建城市主干道项目，</w:t>
            </w:r>
            <w:r>
              <w:rPr>
                <w:rFonts w:hint="eastAsia" w:ascii="宋体" w:hAnsi="宋体" w:eastAsia="宋体" w:cs="宋体"/>
                <w:color w:val="000000" w:themeColor="text1"/>
                <w:sz w:val="24"/>
                <w:szCs w:val="24"/>
                <w:highlight w:val="none"/>
                <w:lang w:eastAsia="zh-CN"/>
                <w14:textFill>
                  <w14:solidFill>
                    <w14:schemeClr w14:val="tx1"/>
                  </w14:solidFill>
                </w14:textFill>
              </w:rPr>
              <w:t>主要</w:t>
            </w:r>
            <w:r>
              <w:rPr>
                <w:rFonts w:hint="eastAsia" w:ascii="宋体" w:hAnsi="宋体" w:cs="宋体"/>
                <w:color w:val="000000" w:themeColor="text1"/>
                <w:sz w:val="24"/>
                <w:szCs w:val="24"/>
                <w:highlight w:val="none"/>
                <w:lang w:val="en-US" w:eastAsia="zh-CN"/>
                <w14:textFill>
                  <w14:solidFill>
                    <w14:schemeClr w14:val="tx1"/>
                  </w14:solidFill>
                </w14:textFill>
              </w:rPr>
              <w:t>建设内容包括</w:t>
            </w:r>
            <w:r>
              <w:rPr>
                <w:rFonts w:hint="eastAsia" w:ascii="宋体" w:hAnsi="宋体" w:eastAsia="宋体" w:cs="宋体"/>
                <w:color w:val="000000" w:themeColor="text1"/>
                <w:sz w:val="24"/>
                <w:szCs w:val="24"/>
                <w:highlight w:val="none"/>
                <w:lang w:eastAsia="zh-CN"/>
                <w14:textFill>
                  <w14:solidFill>
                    <w14:schemeClr w14:val="tx1"/>
                  </w14:solidFill>
                </w14:textFill>
              </w:rPr>
              <w:t>道路工程、</w:t>
            </w:r>
            <w:r>
              <w:rPr>
                <w:rFonts w:hint="eastAsia" w:ascii="宋体" w:hAnsi="宋体" w:cs="宋体"/>
                <w:color w:val="000000" w:themeColor="text1"/>
                <w:sz w:val="24"/>
                <w:szCs w:val="24"/>
                <w:highlight w:val="none"/>
                <w:lang w:val="en-US" w:eastAsia="zh-CN"/>
                <w14:textFill>
                  <w14:solidFill>
                    <w14:schemeClr w14:val="tx1"/>
                  </w14:solidFill>
                </w14:textFill>
              </w:rPr>
              <w:t>交安工程、</w:t>
            </w:r>
            <w:r>
              <w:rPr>
                <w:rFonts w:hint="eastAsia" w:ascii="宋体" w:hAnsi="宋体" w:eastAsia="宋体" w:cs="宋体"/>
                <w:color w:val="000000" w:themeColor="text1"/>
                <w:sz w:val="24"/>
                <w:szCs w:val="24"/>
                <w:highlight w:val="none"/>
                <w:lang w:eastAsia="zh-CN"/>
                <w14:textFill>
                  <w14:solidFill>
                    <w14:schemeClr w14:val="tx1"/>
                  </w14:solidFill>
                </w14:textFill>
              </w:rPr>
              <w:t>桥梁工程、</w:t>
            </w:r>
            <w:r>
              <w:rPr>
                <w:rFonts w:hint="eastAsia" w:ascii="宋体" w:hAnsi="宋体" w:cs="宋体"/>
                <w:color w:val="000000" w:themeColor="text1"/>
                <w:sz w:val="24"/>
                <w:szCs w:val="24"/>
                <w:highlight w:val="none"/>
                <w:lang w:val="en-US" w:eastAsia="zh-CN"/>
                <w14:textFill>
                  <w14:solidFill>
                    <w14:schemeClr w14:val="tx1"/>
                  </w14:solidFill>
                </w14:textFill>
              </w:rPr>
              <w:t>涵洞工程、排水工程、照明工程和道路绿化工程</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83"/>
              <w:widowControl/>
              <w:spacing w:line="360" w:lineRule="auto"/>
              <w:ind w:firstLineChars="0"/>
              <w:jc w:val="left"/>
              <w:rPr>
                <w:rFonts w:hint="default"/>
                <w:b/>
                <w:bCs/>
                <w:color w:val="000000" w:themeColor="text1"/>
                <w:sz w:val="24"/>
                <w:szCs w:val="24"/>
                <w:highlight w:val="none"/>
                <w:lang w:val="en-US"/>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一</w:t>
            </w:r>
            <w:r>
              <w:rPr>
                <w:rFonts w:hint="eastAsia" w:ascii="Times New Roman" w:hAnsi="Times New Roman" w:eastAsia="宋体" w:cs="宋体"/>
                <w:b/>
                <w:bCs/>
                <w:color w:val="000000" w:themeColor="text1"/>
                <w:sz w:val="24"/>
                <w:szCs w:val="24"/>
                <w:highlight w:val="none"/>
                <w:lang w:eastAsia="zh-CN"/>
                <w14:textFill>
                  <w14:solidFill>
                    <w14:schemeClr w14:val="tx1"/>
                  </w14:solidFill>
                </w14:textFill>
              </w:rPr>
              <w:t>、</w:t>
            </w:r>
            <w:r>
              <w:rPr>
                <w:rFonts w:hint="eastAsia" w:cs="宋体"/>
                <w:b/>
                <w:bCs/>
                <w:color w:val="000000" w:themeColor="text1"/>
                <w:sz w:val="24"/>
                <w:szCs w:val="24"/>
                <w:highlight w:val="none"/>
                <w:lang w:val="en-US" w:eastAsia="zh-CN"/>
                <w14:textFill>
                  <w14:solidFill>
                    <w14:schemeClr w14:val="tx1"/>
                  </w14:solidFill>
                </w14:textFill>
              </w:rPr>
              <w:t>道路设计</w:t>
            </w:r>
          </w:p>
          <w:p>
            <w:pPr>
              <w:pStyle w:val="83"/>
              <w:widowControl/>
              <w:spacing w:line="360" w:lineRule="auto"/>
              <w:ind w:left="0" w:firstLine="480"/>
              <w:jc w:val="left"/>
              <w:rPr>
                <w:rFonts w:hint="default"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1、平面设计</w:t>
            </w:r>
          </w:p>
          <w:p>
            <w:pPr>
              <w:pStyle w:val="83"/>
              <w:widowControl/>
              <w:spacing w:line="360" w:lineRule="auto"/>
              <w:ind w:left="0" w:firstLine="48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道路定位于主干路，设计速度主线60km/h，底平层设计速度50km/h，匝道设计速度40km/h。本次设计范围内道路长度左线2119.535m（K0+144.5～K2+264.036)，右线2113.955m（K0+144.5～K2+258.456)；底平层1294.936m（K0+044.501～K1+339.437)；匝道桥2座，匝道桩号为:AK0+736.39～AK1+042.103；BK0+736.39～BK1+042.103。其中主线为双向6车道（宽度25.5m），匝道为2车道（宽度9m），底层辅道在K0+499.853～K0+736.39范围内为双向8车道，K0+736.39～K1+339.437范围内为双向4车道，分离式路基段为单向3车道（宽度13m）。</w:t>
            </w:r>
          </w:p>
          <w:p>
            <w:pPr>
              <w:pStyle w:val="83"/>
              <w:widowControl/>
              <w:spacing w:line="360" w:lineRule="auto"/>
              <w:ind w:left="0" w:firstLine="48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本项目地平层共设置1处平曲线，半径300m。</w:t>
            </w:r>
          </w:p>
          <w:p>
            <w:pPr>
              <w:pStyle w:val="83"/>
              <w:widowControl/>
              <w:spacing w:line="360" w:lineRule="auto"/>
              <w:ind w:left="0" w:firstLine="48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本项目主线共设置2处平曲线，半径300m、1825m。</w:t>
            </w:r>
          </w:p>
          <w:p>
            <w:pPr>
              <w:pStyle w:val="83"/>
              <w:widowControl/>
              <w:spacing w:line="360" w:lineRule="auto"/>
              <w:ind w:left="0" w:firstLine="48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道路</w:t>
            </w:r>
            <w:r>
              <w:rPr>
                <w:rFonts w:hint="eastAsia" w:ascii="宋体" w:hAnsi="宋体" w:eastAsia="宋体" w:cs="宋体"/>
                <w:color w:val="000000" w:themeColor="text1"/>
                <w:sz w:val="24"/>
                <w:szCs w:val="24"/>
                <w:highlight w:val="none"/>
                <w:lang w:eastAsia="zh-CN"/>
                <w14:textFill>
                  <w14:solidFill>
                    <w14:schemeClr w14:val="tx1"/>
                  </w14:solidFill>
                </w14:textFill>
              </w:rPr>
              <w:t>平面图如下图。</w:t>
            </w:r>
          </w:p>
          <w:p>
            <w:pPr>
              <w:keepNext w:val="0"/>
              <w:keepLines w:val="0"/>
              <w:widowControl/>
              <w:suppressLineNumbers w:val="0"/>
              <w:spacing w:before="0" w:beforeAutospacing="0" w:after="0" w:afterAutospacing="0"/>
              <w:ind w:left="0" w:right="0"/>
              <w:jc w:val="center"/>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drawing>
                <wp:inline distT="0" distB="0" distL="114300" distR="114300">
                  <wp:extent cx="5308600" cy="2165350"/>
                  <wp:effectExtent l="0" t="0" r="10160" b="13970"/>
                  <wp:docPr id="25" name="图片 25" descr="56bd352c8e78e5757c105d22169c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6bd352c8e78e5757c105d22169c21a"/>
                          <pic:cNvPicPr>
                            <a:picLocks noChangeAspect="1"/>
                          </pic:cNvPicPr>
                        </pic:nvPicPr>
                        <pic:blipFill>
                          <a:blip r:embed="rId16"/>
                          <a:stretch>
                            <a:fillRect/>
                          </a:stretch>
                        </pic:blipFill>
                        <pic:spPr>
                          <a:xfrm>
                            <a:off x="0" y="0"/>
                            <a:ext cx="5308600" cy="2165350"/>
                          </a:xfrm>
                          <a:prstGeom prst="rect">
                            <a:avLst/>
                          </a:prstGeom>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图2-3  项目道路走线位置关系图</w:t>
            </w:r>
          </w:p>
          <w:p>
            <w:pPr>
              <w:pStyle w:val="83"/>
              <w:widowControl/>
              <w:spacing w:line="360" w:lineRule="auto"/>
              <w:ind w:left="0" w:firstLine="482"/>
              <w:jc w:val="left"/>
              <w:rPr>
                <w:rFonts w:hint="eastAsia" w:ascii="Times New Roman" w:hAnsi="Times New Roman" w:eastAsia="宋体" w:cs="宋体"/>
                <w:b/>
                <w:bCs/>
                <w:color w:val="000000" w:themeColor="text1"/>
                <w:sz w:val="24"/>
                <w:szCs w:val="24"/>
                <w:highlight w:val="none"/>
                <w:lang w:eastAsia="zh-CN"/>
                <w14:textFill>
                  <w14:solidFill>
                    <w14:schemeClr w14:val="tx1"/>
                  </w14:solidFill>
                </w14:textFill>
              </w:rPr>
            </w:pPr>
          </w:p>
          <w:p>
            <w:pPr>
              <w:pStyle w:val="83"/>
              <w:widowControl/>
              <w:spacing w:line="360" w:lineRule="auto"/>
              <w:ind w:left="0" w:firstLine="480"/>
              <w:jc w:val="left"/>
              <w:rPr>
                <w:rFonts w:hint="default"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2、纵断面设计</w:t>
            </w:r>
          </w:p>
          <w:p>
            <w:pPr>
              <w:pStyle w:val="83"/>
              <w:widowControl/>
              <w:spacing w:line="360" w:lineRule="auto"/>
              <w:ind w:left="0" w:firstLine="482"/>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本次纵断面设计以现有路网竖向规划为依据，同时本项目受绕城高速连接线隧道控制高程影响(本项目主线</w:t>
            </w:r>
            <w:r>
              <w:rPr>
                <w:rFonts w:ascii="宋体" w:hAnsi="宋体"/>
                <w:color w:val="000000" w:themeColor="text1"/>
                <w:sz w:val="24"/>
                <w:highlight w:val="none"/>
                <w14:textFill>
                  <w14:solidFill>
                    <w14:schemeClr w14:val="tx1"/>
                  </w14:solidFill>
                </w14:textFill>
              </w:rPr>
              <w:t>以</w:t>
            </w:r>
            <w:r>
              <w:rPr>
                <w:rFonts w:hint="eastAsia" w:ascii="宋体" w:hAnsi="宋体"/>
                <w:color w:val="000000" w:themeColor="text1"/>
                <w:sz w:val="24"/>
                <w:highlight w:val="none"/>
                <w14:textFill>
                  <w14:solidFill>
                    <w14:schemeClr w14:val="tx1"/>
                  </w14:solidFill>
                </w14:textFill>
              </w:rPr>
              <w:t>2.</w:t>
            </w:r>
            <w:r>
              <w:rPr>
                <w:rFonts w:hint="eastAsia" w:ascii="宋体" w:hAnsi="宋体"/>
                <w:color w:val="000000" w:themeColor="text1"/>
                <w:sz w:val="24"/>
                <w:highlight w:val="none"/>
                <w:lang w:val="en-US" w:eastAsia="zh-CN"/>
                <w14:textFill>
                  <w14:solidFill>
                    <w14:schemeClr w14:val="tx1"/>
                  </w14:solidFill>
                </w14:textFill>
              </w:rPr>
              <w:t>0</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纵坡</w:t>
            </w:r>
            <w:r>
              <w:rPr>
                <w:rFonts w:ascii="宋体" w:hAnsi="宋体"/>
                <w:color w:val="000000" w:themeColor="text1"/>
                <w:sz w:val="24"/>
                <w:highlight w:val="none"/>
                <w14:textFill>
                  <w14:solidFill>
                    <w14:schemeClr w14:val="tx1"/>
                  </w14:solidFill>
                </w14:textFill>
              </w:rPr>
              <w:t>顺接</w:t>
            </w:r>
            <w:r>
              <w:rPr>
                <w:rFonts w:hint="eastAsia" w:ascii="宋体" w:hAnsi="宋体"/>
                <w:color w:val="000000" w:themeColor="text1"/>
                <w:sz w:val="24"/>
                <w:highlight w:val="none"/>
                <w:lang w:val="en-US" w:eastAsia="zh-CN"/>
                <w14:textFill>
                  <w14:solidFill>
                    <w14:schemeClr w14:val="tx1"/>
                  </w14:solidFill>
                </w14:textFill>
              </w:rPr>
              <w:t>绕西连接线</w:t>
            </w:r>
            <w:r>
              <w:rPr>
                <w:rFonts w:hint="eastAsia" w:ascii="宋体" w:hAnsi="宋体"/>
                <w:color w:val="000000" w:themeColor="text1"/>
                <w:sz w:val="24"/>
                <w:highlight w:val="none"/>
                <w14:textFill>
                  <w14:solidFill>
                    <w14:schemeClr w14:val="tx1"/>
                  </w14:solidFill>
                </w14:textFill>
              </w:rPr>
              <w:t>)，K0+</w:t>
            </w:r>
            <w:r>
              <w:rPr>
                <w:rFonts w:hint="eastAsia" w:ascii="宋体" w:hAnsi="宋体"/>
                <w:color w:val="000000" w:themeColor="text1"/>
                <w:sz w:val="24"/>
                <w:highlight w:val="none"/>
                <w:lang w:val="en-US" w:eastAsia="zh-CN"/>
                <w14:textFill>
                  <w14:solidFill>
                    <w14:schemeClr w14:val="tx1"/>
                  </w14:solidFill>
                </w14:textFill>
              </w:rPr>
              <w:t>144.501</w:t>
            </w:r>
            <w:r>
              <w:rPr>
                <w:rFonts w:hint="eastAsia" w:ascii="宋体" w:hAnsi="宋体"/>
                <w:color w:val="000000" w:themeColor="text1"/>
                <w:sz w:val="24"/>
                <w:highlight w:val="none"/>
                <w14:textFill>
                  <w14:solidFill>
                    <w14:schemeClr w14:val="tx1"/>
                  </w14:solidFill>
                </w14:textFill>
              </w:rPr>
              <w:t>～K0+</w:t>
            </w:r>
            <w:r>
              <w:rPr>
                <w:rFonts w:hint="eastAsia" w:ascii="宋体" w:hAnsi="宋体"/>
                <w:color w:val="000000" w:themeColor="text1"/>
                <w:sz w:val="24"/>
                <w:highlight w:val="none"/>
                <w:lang w:val="en-US" w:eastAsia="zh-CN"/>
                <w14:textFill>
                  <w14:solidFill>
                    <w14:schemeClr w14:val="tx1"/>
                  </w14:solidFill>
                </w14:textFill>
              </w:rPr>
              <w:t>476.488</w:t>
            </w:r>
            <w:r>
              <w:rPr>
                <w:rFonts w:hint="eastAsia" w:ascii="宋体" w:hAnsi="宋体"/>
                <w:color w:val="000000" w:themeColor="text1"/>
                <w:sz w:val="24"/>
                <w:highlight w:val="none"/>
                <w14:textFill>
                  <w14:solidFill>
                    <w14:schemeClr w14:val="tx1"/>
                  </w14:solidFill>
                </w14:textFill>
              </w:rPr>
              <w:t>段</w:t>
            </w:r>
            <w:r>
              <w:rPr>
                <w:rFonts w:hint="eastAsia" w:ascii="宋体" w:hAnsi="宋体"/>
                <w:color w:val="000000" w:themeColor="text1"/>
                <w:sz w:val="24"/>
                <w:highlight w:val="none"/>
                <w:lang w:eastAsia="zh-CN"/>
                <w14:textFill>
                  <w14:solidFill>
                    <w14:schemeClr w14:val="tx1"/>
                  </w14:solidFill>
                </w14:textFill>
              </w:rPr>
              <w:t>主线纵断面在三期预留范围内进行设计</w:t>
            </w:r>
            <w:r>
              <w:rPr>
                <w:rFonts w:hint="eastAsia"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lang w:eastAsia="zh-CN"/>
                <w14:textFill>
                  <w14:solidFill>
                    <w14:schemeClr w14:val="tx1"/>
                  </w14:solidFill>
                </w14:textFill>
              </w:rPr>
              <w:t>环城路以西主线</w:t>
            </w:r>
            <w:r>
              <w:rPr>
                <w:rFonts w:hint="eastAsia" w:ascii="宋体" w:hAnsi="宋体"/>
                <w:color w:val="000000" w:themeColor="text1"/>
                <w:sz w:val="24"/>
                <w:highlight w:val="none"/>
                <w14:textFill>
                  <w14:solidFill>
                    <w14:schemeClr w14:val="tx1"/>
                  </w14:solidFill>
                </w14:textFill>
              </w:rPr>
              <w:t>纵断面根据相关控制点进行调整。</w:t>
            </w:r>
            <w:r>
              <w:rPr>
                <w:rFonts w:hint="eastAsia" w:ascii="宋体" w:hAnsi="宋体"/>
                <w:color w:val="000000" w:themeColor="text1"/>
                <w:sz w:val="24"/>
                <w:highlight w:val="none"/>
                <w:lang w:eastAsia="zh-CN"/>
                <w14:textFill>
                  <w14:solidFill>
                    <w14:schemeClr w14:val="tx1"/>
                  </w14:solidFill>
                </w14:textFill>
              </w:rPr>
              <w:t>底</w:t>
            </w:r>
            <w:r>
              <w:rPr>
                <w:rFonts w:hint="eastAsia" w:ascii="宋体" w:hAnsi="宋体"/>
                <w:color w:val="000000" w:themeColor="text1"/>
                <w:sz w:val="24"/>
                <w:highlight w:val="none"/>
                <w14:textFill>
                  <w14:solidFill>
                    <w14:schemeClr w14:val="tx1"/>
                  </w14:solidFill>
                </w14:textFill>
              </w:rPr>
              <w:t>平层</w:t>
            </w:r>
            <w:r>
              <w:rPr>
                <w:rFonts w:hint="eastAsia" w:ascii="宋体" w:hAnsi="宋体"/>
                <w:color w:val="000000" w:themeColor="text1"/>
                <w:sz w:val="24"/>
                <w:highlight w:val="none"/>
                <w:lang w:eastAsia="zh-CN"/>
                <w14:textFill>
                  <w14:solidFill>
                    <w14:schemeClr w14:val="tx1"/>
                  </w14:solidFill>
                </w14:textFill>
              </w:rPr>
              <w:t>纵断面从环城路以西根据规划布设，底平层位于三期范围内部分纵断面与现状</w:t>
            </w:r>
            <w:r>
              <w:rPr>
                <w:rFonts w:hint="eastAsia" w:ascii="宋体" w:hAnsi="宋体"/>
                <w:color w:val="000000" w:themeColor="text1"/>
                <w:sz w:val="24"/>
                <w:highlight w:val="none"/>
                <w14:textFill>
                  <w14:solidFill>
                    <w14:schemeClr w14:val="tx1"/>
                  </w14:solidFill>
                </w14:textFill>
              </w:rPr>
              <w:t>三期道路纵断面</w:t>
            </w:r>
            <w:r>
              <w:rPr>
                <w:rFonts w:hint="eastAsia" w:ascii="宋体" w:hAnsi="宋体"/>
                <w:color w:val="000000" w:themeColor="text1"/>
                <w:sz w:val="24"/>
                <w:highlight w:val="none"/>
                <w:lang w:eastAsia="zh-CN"/>
                <w14:textFill>
                  <w14:solidFill>
                    <w14:schemeClr w14:val="tx1"/>
                  </w14:solidFill>
                </w14:textFill>
              </w:rPr>
              <w:t>保持</w:t>
            </w:r>
            <w:r>
              <w:rPr>
                <w:rFonts w:hint="eastAsia" w:ascii="宋体" w:hAnsi="宋体"/>
                <w:color w:val="000000" w:themeColor="text1"/>
                <w:sz w:val="24"/>
                <w:highlight w:val="none"/>
                <w14:textFill>
                  <w14:solidFill>
                    <w14:schemeClr w14:val="tx1"/>
                  </w14:solidFill>
                </w14:textFill>
              </w:rPr>
              <w:t>一致，纵断面设计高程为路面设计高程，采用车行道</w:t>
            </w:r>
            <w:r>
              <w:rPr>
                <w:rFonts w:hint="eastAsia" w:ascii="宋体" w:hAnsi="宋体"/>
                <w:color w:val="000000" w:themeColor="text1"/>
                <w:sz w:val="24"/>
                <w:highlight w:val="none"/>
                <w:lang w:eastAsia="zh-CN"/>
                <w14:textFill>
                  <w14:solidFill>
                    <w14:schemeClr w14:val="tx1"/>
                  </w14:solidFill>
                </w14:textFill>
              </w:rPr>
              <w:t>中心线</w:t>
            </w:r>
            <w:r>
              <w:rPr>
                <w:rFonts w:hint="eastAsia" w:ascii="宋体" w:hAnsi="宋体"/>
                <w:color w:val="000000" w:themeColor="text1"/>
                <w:sz w:val="24"/>
                <w:highlight w:val="none"/>
                <w14:textFill>
                  <w14:solidFill>
                    <w14:schemeClr w14:val="tx1"/>
                  </w14:solidFill>
                </w14:textFill>
              </w:rPr>
              <w:t>路面高程为设计标高。</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表2-5  纵断面交叉口控制标高调整一览表</w:t>
            </w:r>
          </w:p>
          <w:tbl>
            <w:tblPr>
              <w:tblStyle w:val="24"/>
              <w:tblW w:w="0" w:type="auto"/>
              <w:jc w:val="center"/>
              <w:tblLayout w:type="autofit"/>
              <w:tblCellMar>
                <w:top w:w="0" w:type="dxa"/>
                <w:left w:w="108" w:type="dxa"/>
                <w:bottom w:w="0" w:type="dxa"/>
                <w:right w:w="108" w:type="dxa"/>
              </w:tblCellMar>
            </w:tblPr>
            <w:tblGrid>
              <w:gridCol w:w="570"/>
              <w:gridCol w:w="1330"/>
              <w:gridCol w:w="1152"/>
              <w:gridCol w:w="1803"/>
              <w:gridCol w:w="1149"/>
              <w:gridCol w:w="1139"/>
              <w:gridCol w:w="1233"/>
            </w:tblGrid>
            <w:tr>
              <w:tblPrEx>
                <w:tblCellMar>
                  <w:top w:w="0" w:type="dxa"/>
                  <w:left w:w="108" w:type="dxa"/>
                  <w:bottom w:w="0" w:type="dxa"/>
                  <w:right w:w="108" w:type="dxa"/>
                </w:tblCellMar>
              </w:tblPrEx>
              <w:trPr>
                <w:trHeight w:val="499" w:hRule="atLeast"/>
                <w:jc w:val="center"/>
              </w:trPr>
              <w:tc>
                <w:tcPr>
                  <w:tcW w:w="5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序号</w:t>
                  </w:r>
                </w:p>
              </w:tc>
              <w:tc>
                <w:tcPr>
                  <w:tcW w:w="1330"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交叉口里程</w:t>
                  </w:r>
                </w:p>
              </w:tc>
              <w:tc>
                <w:tcPr>
                  <w:tcW w:w="1152"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相交道路名</w:t>
                  </w:r>
                </w:p>
              </w:tc>
              <w:tc>
                <w:tcPr>
                  <w:tcW w:w="180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规划标高</w:t>
                  </w:r>
                  <w:r>
                    <w:rPr>
                      <w:rFonts w:hint="eastAsia"/>
                      <w:color w:val="000000" w:themeColor="text1"/>
                      <w:kern w:val="0"/>
                      <w:sz w:val="21"/>
                      <w:szCs w:val="21"/>
                      <w:highlight w:val="none"/>
                      <w14:textFill>
                        <w14:solidFill>
                          <w14:schemeClr w14:val="tx1"/>
                        </w14:solidFill>
                      </w14:textFill>
                    </w:rPr>
                    <w:t>(m)</w:t>
                  </w:r>
                </w:p>
              </w:tc>
              <w:tc>
                <w:tcPr>
                  <w:tcW w:w="1149"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设计标高</w:t>
                  </w:r>
                  <w:r>
                    <w:rPr>
                      <w:rFonts w:hint="eastAsia"/>
                      <w:color w:val="000000" w:themeColor="text1"/>
                      <w:kern w:val="0"/>
                      <w:sz w:val="21"/>
                      <w:szCs w:val="21"/>
                      <w:highlight w:val="none"/>
                      <w14:textFill>
                        <w14:solidFill>
                          <w14:schemeClr w14:val="tx1"/>
                        </w14:solidFill>
                      </w14:textFill>
                    </w:rPr>
                    <w:t>(m)</w:t>
                  </w:r>
                </w:p>
              </w:tc>
              <w:tc>
                <w:tcPr>
                  <w:tcW w:w="1139"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实施情况</w:t>
                  </w:r>
                </w:p>
              </w:tc>
              <w:tc>
                <w:tcPr>
                  <w:tcW w:w="123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交叉形式</w:t>
                  </w:r>
                </w:p>
              </w:tc>
            </w:tr>
            <w:tr>
              <w:tblPrEx>
                <w:tblCellMar>
                  <w:top w:w="0" w:type="dxa"/>
                  <w:left w:w="108" w:type="dxa"/>
                  <w:bottom w:w="0" w:type="dxa"/>
                  <w:right w:w="108" w:type="dxa"/>
                </w:tblCellMar>
              </w:tblPrEx>
              <w:trPr>
                <w:trHeight w:val="451" w:hRule="atLeast"/>
                <w:jc w:val="center"/>
              </w:trPr>
              <w:tc>
                <w:tcPr>
                  <w:tcW w:w="57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1</w:t>
                  </w:r>
                </w:p>
              </w:tc>
              <w:tc>
                <w:tcPr>
                  <w:tcW w:w="1330" w:type="dxa"/>
                  <w:vMerge w:val="restar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eastAsia="宋体"/>
                      <w:color w:val="000000" w:themeColor="text1"/>
                      <w:kern w:val="0"/>
                      <w:sz w:val="21"/>
                      <w:szCs w:val="21"/>
                      <w:highlight w:val="none"/>
                      <w:lang w:val="en-US" w:eastAsia="zh-CN"/>
                      <w14:textFill>
                        <w14:solidFill>
                          <w14:schemeClr w14:val="tx1"/>
                        </w14:solidFill>
                      </w14:textFill>
                    </w:rPr>
                  </w:pPr>
                  <w:r>
                    <w:rPr>
                      <w:rFonts w:ascii="宋体" w:hAnsi="宋体" w:cs="宋体"/>
                      <w:color w:val="000000" w:themeColor="text1"/>
                      <w:sz w:val="21"/>
                      <w:szCs w:val="21"/>
                      <w:highlight w:val="none"/>
                      <w14:textFill>
                        <w14:solidFill>
                          <w14:schemeClr w14:val="tx1"/>
                        </w14:solidFill>
                      </w14:textFill>
                    </w:rPr>
                    <w:t>K0+</w:t>
                  </w:r>
                  <w:r>
                    <w:rPr>
                      <w:rFonts w:hint="eastAsia" w:ascii="宋体" w:hAnsi="宋体" w:cs="宋体"/>
                      <w:color w:val="000000" w:themeColor="text1"/>
                      <w:sz w:val="21"/>
                      <w:szCs w:val="21"/>
                      <w:highlight w:val="none"/>
                      <w:lang w:val="en-US" w:eastAsia="zh-CN"/>
                      <w14:textFill>
                        <w14:solidFill>
                          <w14:schemeClr w14:val="tx1"/>
                        </w14:solidFill>
                      </w14:textFill>
                    </w:rPr>
                    <w:t>476.488</w:t>
                  </w:r>
                </w:p>
              </w:tc>
              <w:tc>
                <w:tcPr>
                  <w:tcW w:w="1152" w:type="dxa"/>
                  <w:vMerge w:val="restar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firstLine="210" w:firstLineChars="100"/>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环城路</w:t>
                  </w:r>
                </w:p>
              </w:tc>
              <w:tc>
                <w:tcPr>
                  <w:tcW w:w="180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eastAsia="宋体"/>
                      <w:color w:val="000000" w:themeColor="text1"/>
                      <w:kern w:val="0"/>
                      <w:sz w:val="21"/>
                      <w:szCs w:val="21"/>
                      <w:highlight w:val="none"/>
                      <w:lang w:eastAsia="zh-CN"/>
                      <w14:textFill>
                        <w14:solidFill>
                          <w14:schemeClr w14:val="tx1"/>
                        </w14:solidFill>
                      </w14:textFill>
                    </w:rPr>
                  </w:pPr>
                  <w:r>
                    <w:rPr>
                      <w:color w:val="000000" w:themeColor="text1"/>
                      <w:kern w:val="0"/>
                      <w:sz w:val="21"/>
                      <w:szCs w:val="21"/>
                      <w:highlight w:val="none"/>
                      <w14:textFill>
                        <w14:solidFill>
                          <w14:schemeClr w14:val="tx1"/>
                        </w14:solidFill>
                      </w14:textFill>
                    </w:rPr>
                    <w:t>33</w:t>
                  </w:r>
                  <w:r>
                    <w:rPr>
                      <w:rFonts w:hint="eastAsia"/>
                      <w:color w:val="000000" w:themeColor="text1"/>
                      <w:kern w:val="0"/>
                      <w:sz w:val="21"/>
                      <w:szCs w:val="21"/>
                      <w:highlight w:val="none"/>
                      <w:lang w:val="en-US" w:eastAsia="zh-CN"/>
                      <w14:textFill>
                        <w14:solidFill>
                          <w14:schemeClr w14:val="tx1"/>
                        </w14:solidFill>
                      </w14:textFill>
                    </w:rPr>
                    <w:t>6.99</w:t>
                  </w:r>
                  <w:r>
                    <w:rPr>
                      <w:rFonts w:hint="eastAsia"/>
                      <w:color w:val="000000" w:themeColor="text1"/>
                      <w:kern w:val="0"/>
                      <w:sz w:val="21"/>
                      <w:szCs w:val="21"/>
                      <w:highlight w:val="none"/>
                      <w14:textFill>
                        <w14:solidFill>
                          <w14:schemeClr w14:val="tx1"/>
                        </w14:solidFill>
                      </w14:textFill>
                    </w:rPr>
                    <w:t>（平层）</w:t>
                  </w:r>
                </w:p>
              </w:tc>
              <w:tc>
                <w:tcPr>
                  <w:tcW w:w="1149"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33</w:t>
                  </w:r>
                  <w:r>
                    <w:rPr>
                      <w:rFonts w:hint="eastAsia"/>
                      <w:color w:val="000000" w:themeColor="text1"/>
                      <w:kern w:val="0"/>
                      <w:sz w:val="21"/>
                      <w:szCs w:val="21"/>
                      <w:highlight w:val="none"/>
                      <w:lang w:val="en-US" w:eastAsia="zh-CN"/>
                      <w14:textFill>
                        <w14:solidFill>
                          <w14:schemeClr w14:val="tx1"/>
                        </w14:solidFill>
                      </w14:textFill>
                    </w:rPr>
                    <w:t>7</w:t>
                  </w:r>
                  <w:r>
                    <w:rPr>
                      <w:color w:val="000000" w:themeColor="text1"/>
                      <w:kern w:val="0"/>
                      <w:sz w:val="21"/>
                      <w:szCs w:val="21"/>
                      <w:highlight w:val="none"/>
                      <w14:textFill>
                        <w14:solidFill>
                          <w14:schemeClr w14:val="tx1"/>
                        </w14:solidFill>
                      </w14:textFill>
                    </w:rPr>
                    <w:t>.</w:t>
                  </w:r>
                  <w:r>
                    <w:rPr>
                      <w:rFonts w:hint="eastAsia"/>
                      <w:color w:val="000000" w:themeColor="text1"/>
                      <w:kern w:val="0"/>
                      <w:sz w:val="21"/>
                      <w:szCs w:val="21"/>
                      <w:highlight w:val="none"/>
                      <w:lang w:val="en-US" w:eastAsia="zh-CN"/>
                      <w14:textFill>
                        <w14:solidFill>
                          <w14:schemeClr w14:val="tx1"/>
                        </w14:solidFill>
                      </w14:textFill>
                    </w:rPr>
                    <w:t>7</w:t>
                  </w:r>
                  <w:r>
                    <w:rPr>
                      <w:color w:val="000000" w:themeColor="text1"/>
                      <w:kern w:val="0"/>
                      <w:sz w:val="21"/>
                      <w:szCs w:val="21"/>
                      <w:highlight w:val="none"/>
                      <w14:textFill>
                        <w14:solidFill>
                          <w14:schemeClr w14:val="tx1"/>
                        </w14:solidFill>
                      </w14:textFill>
                    </w:rPr>
                    <w:t>6</w:t>
                  </w:r>
                  <w:r>
                    <w:rPr>
                      <w:rFonts w:hint="eastAsia"/>
                      <w:color w:val="000000" w:themeColor="text1"/>
                      <w:kern w:val="0"/>
                      <w:sz w:val="21"/>
                      <w:szCs w:val="21"/>
                      <w:highlight w:val="none"/>
                      <w:lang w:eastAsia="zh-CN"/>
                      <w14:textFill>
                        <w14:solidFill>
                          <w14:schemeClr w14:val="tx1"/>
                        </w14:solidFill>
                      </w14:textFill>
                    </w:rPr>
                    <w:t>（现状）</w:t>
                  </w:r>
                </w:p>
              </w:tc>
              <w:tc>
                <w:tcPr>
                  <w:tcW w:w="1139"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已建</w:t>
                  </w:r>
                </w:p>
              </w:tc>
              <w:tc>
                <w:tcPr>
                  <w:tcW w:w="123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十字平交</w:t>
                  </w:r>
                </w:p>
              </w:tc>
            </w:tr>
            <w:tr>
              <w:tblPrEx>
                <w:tblCellMar>
                  <w:top w:w="0" w:type="dxa"/>
                  <w:left w:w="108" w:type="dxa"/>
                  <w:bottom w:w="0" w:type="dxa"/>
                  <w:right w:w="108" w:type="dxa"/>
                </w:tblCellMar>
              </w:tblPrEx>
              <w:trPr>
                <w:trHeight w:val="451" w:hRule="atLeast"/>
                <w:jc w:val="center"/>
              </w:trPr>
              <w:tc>
                <w:tcPr>
                  <w:tcW w:w="57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p>
              </w:tc>
              <w:tc>
                <w:tcPr>
                  <w:tcW w:w="1330"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p>
              </w:tc>
              <w:tc>
                <w:tcPr>
                  <w:tcW w:w="115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p>
              </w:tc>
              <w:tc>
                <w:tcPr>
                  <w:tcW w:w="180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color w:val="000000" w:themeColor="text1"/>
                      <w:kern w:val="0"/>
                      <w:sz w:val="21"/>
                      <w:szCs w:val="21"/>
                      <w:highlight w:val="none"/>
                      <w:lang w:val="en-US"/>
                      <w14:textFill>
                        <w14:solidFill>
                          <w14:schemeClr w14:val="tx1"/>
                        </w14:solidFill>
                      </w14:textFill>
                    </w:rPr>
                  </w:pPr>
                  <w:r>
                    <w:rPr>
                      <w:color w:val="000000" w:themeColor="text1"/>
                      <w:kern w:val="0"/>
                      <w:sz w:val="21"/>
                      <w:szCs w:val="21"/>
                      <w:highlight w:val="none"/>
                      <w14:textFill>
                        <w14:solidFill>
                          <w14:schemeClr w14:val="tx1"/>
                        </w14:solidFill>
                      </w14:textFill>
                    </w:rPr>
                    <w:t>34</w:t>
                  </w:r>
                  <w:r>
                    <w:rPr>
                      <w:rFonts w:hint="eastAsia"/>
                      <w:color w:val="000000" w:themeColor="text1"/>
                      <w:kern w:val="0"/>
                      <w:sz w:val="21"/>
                      <w:szCs w:val="21"/>
                      <w:highlight w:val="none"/>
                      <w:lang w:val="en-US" w:eastAsia="zh-CN"/>
                      <w14:textFill>
                        <w14:solidFill>
                          <w14:schemeClr w14:val="tx1"/>
                        </w14:solidFill>
                      </w14:textFill>
                    </w:rPr>
                    <w:t>7.40</w:t>
                  </w:r>
                </w:p>
              </w:tc>
              <w:tc>
                <w:tcPr>
                  <w:tcW w:w="1149"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eastAsia="宋体"/>
                      <w:color w:val="000000" w:themeColor="text1"/>
                      <w:kern w:val="0"/>
                      <w:sz w:val="21"/>
                      <w:szCs w:val="21"/>
                      <w:highlight w:val="none"/>
                      <w:lang w:val="en-US" w:eastAsia="zh-CN"/>
                      <w14:textFill>
                        <w14:solidFill>
                          <w14:schemeClr w14:val="tx1"/>
                        </w14:solidFill>
                      </w14:textFill>
                    </w:rPr>
                  </w:pPr>
                  <w:r>
                    <w:rPr>
                      <w:color w:val="000000" w:themeColor="text1"/>
                      <w:kern w:val="0"/>
                      <w:sz w:val="21"/>
                      <w:szCs w:val="21"/>
                      <w:highlight w:val="none"/>
                      <w14:textFill>
                        <w14:solidFill>
                          <w14:schemeClr w14:val="tx1"/>
                        </w14:solidFill>
                      </w14:textFill>
                    </w:rPr>
                    <w:t>3</w:t>
                  </w:r>
                  <w:r>
                    <w:rPr>
                      <w:rFonts w:hint="eastAsia"/>
                      <w:color w:val="000000" w:themeColor="text1"/>
                      <w:kern w:val="0"/>
                      <w:sz w:val="21"/>
                      <w:szCs w:val="21"/>
                      <w:highlight w:val="none"/>
                      <w14:textFill>
                        <w14:solidFill>
                          <w14:schemeClr w14:val="tx1"/>
                        </w14:solidFill>
                      </w14:textFill>
                    </w:rPr>
                    <w:t>4</w:t>
                  </w:r>
                  <w:r>
                    <w:rPr>
                      <w:rFonts w:hint="eastAsia"/>
                      <w:color w:val="000000" w:themeColor="text1"/>
                      <w:kern w:val="0"/>
                      <w:sz w:val="21"/>
                      <w:szCs w:val="21"/>
                      <w:highlight w:val="none"/>
                      <w:lang w:val="en-US" w:eastAsia="zh-CN"/>
                      <w14:textFill>
                        <w14:solidFill>
                          <w14:schemeClr w14:val="tx1"/>
                        </w14:solidFill>
                      </w14:textFill>
                    </w:rPr>
                    <w:t>7.59</w:t>
                  </w:r>
                  <w:r>
                    <w:rPr>
                      <w:rFonts w:hint="eastAsia"/>
                      <w:color w:val="000000" w:themeColor="text1"/>
                      <w:kern w:val="0"/>
                      <w:sz w:val="21"/>
                      <w:szCs w:val="21"/>
                      <w:highlight w:val="none"/>
                      <w14:textFill>
                        <w14:solidFill>
                          <w14:schemeClr w14:val="tx1"/>
                        </w14:solidFill>
                      </w14:textFill>
                    </w:rPr>
                    <w:t>（上跨）</w:t>
                  </w:r>
                </w:p>
              </w:tc>
              <w:tc>
                <w:tcPr>
                  <w:tcW w:w="1139"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规划</w:t>
                  </w:r>
                </w:p>
              </w:tc>
              <w:tc>
                <w:tcPr>
                  <w:tcW w:w="123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上跨</w:t>
                  </w:r>
                </w:p>
              </w:tc>
            </w:tr>
            <w:tr>
              <w:tblPrEx>
                <w:tblCellMar>
                  <w:top w:w="0" w:type="dxa"/>
                  <w:left w:w="108" w:type="dxa"/>
                  <w:bottom w:w="0" w:type="dxa"/>
                  <w:right w:w="108" w:type="dxa"/>
                </w:tblCellMar>
              </w:tblPrEx>
              <w:trPr>
                <w:trHeight w:val="451" w:hRule="atLeast"/>
                <w:jc w:val="center"/>
              </w:trPr>
              <w:tc>
                <w:tcPr>
                  <w:tcW w:w="5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firstLine="189" w:firstLineChars="90"/>
                    <w:rPr>
                      <w:rFonts w:hint="eastAsia"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2</w:t>
                  </w:r>
                </w:p>
              </w:tc>
              <w:tc>
                <w:tcPr>
                  <w:tcW w:w="133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cs="宋体"/>
                      <w:color w:val="000000" w:themeColor="text1"/>
                      <w:sz w:val="21"/>
                      <w:szCs w:val="21"/>
                      <w:highlight w:val="none"/>
                      <w:lang w:val="en-US"/>
                      <w14:textFill>
                        <w14:solidFill>
                          <w14:schemeClr w14:val="tx1"/>
                        </w14:solidFill>
                      </w14:textFill>
                    </w:rPr>
                  </w:pPr>
                  <w:r>
                    <w:rPr>
                      <w:rFonts w:ascii="宋体" w:hAnsi="宋体" w:cs="宋体"/>
                      <w:color w:val="000000" w:themeColor="text1"/>
                      <w:sz w:val="21"/>
                      <w:szCs w:val="21"/>
                      <w:highlight w:val="none"/>
                      <w14:textFill>
                        <w14:solidFill>
                          <w14:schemeClr w14:val="tx1"/>
                        </w14:solidFill>
                      </w14:textFill>
                    </w:rPr>
                    <w:t>K0+</w:t>
                  </w:r>
                  <w:r>
                    <w:rPr>
                      <w:rFonts w:hint="eastAsia" w:ascii="宋体" w:hAnsi="宋体" w:cs="宋体"/>
                      <w:color w:val="000000" w:themeColor="text1"/>
                      <w:sz w:val="21"/>
                      <w:szCs w:val="21"/>
                      <w:highlight w:val="none"/>
                      <w:lang w:val="en-US" w:eastAsia="zh-CN"/>
                      <w14:textFill>
                        <w14:solidFill>
                          <w14:schemeClr w14:val="tx1"/>
                        </w14:solidFill>
                      </w14:textFill>
                    </w:rPr>
                    <w:t>644.7</w:t>
                  </w:r>
                </w:p>
              </w:tc>
              <w:tc>
                <w:tcPr>
                  <w:tcW w:w="1152"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好一新（G542）</w:t>
                  </w:r>
                </w:p>
              </w:tc>
              <w:tc>
                <w:tcPr>
                  <w:tcW w:w="180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rPr>
                      <w:rFonts w:hint="default"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331.03</w:t>
                  </w:r>
                  <w:r>
                    <w:rPr>
                      <w:rFonts w:hint="eastAsia"/>
                      <w:color w:val="000000" w:themeColor="text1"/>
                      <w:kern w:val="0"/>
                      <w:sz w:val="21"/>
                      <w:szCs w:val="21"/>
                      <w:highlight w:val="none"/>
                      <w14:textFill>
                        <w14:solidFill>
                          <w14:schemeClr w14:val="tx1"/>
                        </w14:solidFill>
                      </w14:textFill>
                    </w:rPr>
                    <w:t>（平层）</w:t>
                  </w:r>
                </w:p>
              </w:tc>
              <w:tc>
                <w:tcPr>
                  <w:tcW w:w="1149"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firstLine="105" w:firstLineChars="50"/>
                    <w:rPr>
                      <w:rFonts w:hint="default"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331.03</w:t>
                  </w:r>
                </w:p>
              </w:tc>
              <w:tc>
                <w:tcPr>
                  <w:tcW w:w="1139"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eastAsia="zh-CN"/>
                      <w14:textFill>
                        <w14:solidFill>
                          <w14:schemeClr w14:val="tx1"/>
                        </w14:solidFill>
                      </w14:textFill>
                    </w:rPr>
                    <w:t>规划</w:t>
                  </w:r>
                </w:p>
              </w:tc>
              <w:tc>
                <w:tcPr>
                  <w:tcW w:w="123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eastAsia="zh-CN"/>
                      <w14:textFill>
                        <w14:solidFill>
                          <w14:schemeClr w14:val="tx1"/>
                        </w14:solidFill>
                      </w14:textFill>
                    </w:rPr>
                    <w:t>斜交</w:t>
                  </w:r>
                </w:p>
              </w:tc>
            </w:tr>
            <w:tr>
              <w:tblPrEx>
                <w:tblCellMar>
                  <w:top w:w="0" w:type="dxa"/>
                  <w:left w:w="108" w:type="dxa"/>
                  <w:bottom w:w="0" w:type="dxa"/>
                  <w:right w:w="108" w:type="dxa"/>
                </w:tblCellMar>
              </w:tblPrEx>
              <w:trPr>
                <w:trHeight w:val="451" w:hRule="atLeast"/>
                <w:jc w:val="center"/>
              </w:trPr>
              <w:tc>
                <w:tcPr>
                  <w:tcW w:w="57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firstLine="189" w:firstLineChars="90"/>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3</w:t>
                  </w:r>
                </w:p>
              </w:tc>
              <w:tc>
                <w:tcPr>
                  <w:tcW w:w="1330" w:type="dxa"/>
                  <w:vMerge w:val="restar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eastAsia="宋体"/>
                      <w:color w:val="000000" w:themeColor="text1"/>
                      <w:kern w:val="0"/>
                      <w:sz w:val="21"/>
                      <w:szCs w:val="21"/>
                      <w:highlight w:val="none"/>
                      <w:lang w:val="en-US" w:eastAsia="zh-CN"/>
                      <w14:textFill>
                        <w14:solidFill>
                          <w14:schemeClr w14:val="tx1"/>
                        </w14:solidFill>
                      </w14:textFill>
                    </w:rPr>
                  </w:pPr>
                  <w:r>
                    <w:rPr>
                      <w:rFonts w:ascii="宋体" w:hAnsi="宋体" w:cs="宋体"/>
                      <w:color w:val="000000" w:themeColor="text1"/>
                      <w:sz w:val="21"/>
                      <w:szCs w:val="21"/>
                      <w:highlight w:val="none"/>
                      <w14:textFill>
                        <w14:solidFill>
                          <w14:schemeClr w14:val="tx1"/>
                        </w14:solidFill>
                      </w14:textFill>
                    </w:rPr>
                    <w:t>K</w:t>
                  </w:r>
                  <w:r>
                    <w:rPr>
                      <w:rFonts w:hint="eastAsia" w:ascii="宋体" w:hAnsi="宋体" w:cs="宋体"/>
                      <w:color w:val="000000" w:themeColor="text1"/>
                      <w:sz w:val="21"/>
                      <w:szCs w:val="21"/>
                      <w:highlight w:val="none"/>
                      <w:lang w:val="en-US" w:eastAsia="zh-CN"/>
                      <w14:textFill>
                        <w14:solidFill>
                          <w14:schemeClr w14:val="tx1"/>
                        </w14:solidFill>
                      </w14:textFill>
                    </w:rPr>
                    <w:t>1</w:t>
                  </w:r>
                  <w:r>
                    <w:rPr>
                      <w:rFonts w:ascii="宋体" w:hAnsi="宋体" w:cs="宋体"/>
                      <w:color w:val="000000" w:themeColor="text1"/>
                      <w:sz w:val="21"/>
                      <w:szCs w:val="21"/>
                      <w:highlight w:val="none"/>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065.694</w:t>
                  </w:r>
                </w:p>
              </w:tc>
              <w:tc>
                <w:tcPr>
                  <w:tcW w:w="1152" w:type="dxa"/>
                  <w:vMerge w:val="restar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纵一路</w:t>
                  </w:r>
                </w:p>
              </w:tc>
              <w:tc>
                <w:tcPr>
                  <w:tcW w:w="180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32</w:t>
                  </w:r>
                  <w:r>
                    <w:rPr>
                      <w:rFonts w:hint="eastAsia"/>
                      <w:color w:val="000000" w:themeColor="text1"/>
                      <w:kern w:val="0"/>
                      <w:sz w:val="21"/>
                      <w:szCs w:val="21"/>
                      <w:highlight w:val="none"/>
                      <w:lang w:val="en-US" w:eastAsia="zh-CN"/>
                      <w14:textFill>
                        <w14:solidFill>
                          <w14:schemeClr w14:val="tx1"/>
                        </w14:solidFill>
                      </w14:textFill>
                    </w:rPr>
                    <w:t>3.28</w:t>
                  </w:r>
                  <w:r>
                    <w:rPr>
                      <w:rFonts w:hint="eastAsia"/>
                      <w:color w:val="000000" w:themeColor="text1"/>
                      <w:kern w:val="0"/>
                      <w:sz w:val="21"/>
                      <w:szCs w:val="21"/>
                      <w:highlight w:val="none"/>
                      <w14:textFill>
                        <w14:solidFill>
                          <w14:schemeClr w14:val="tx1"/>
                        </w14:solidFill>
                      </w14:textFill>
                    </w:rPr>
                    <w:t>（平层）</w:t>
                  </w:r>
                </w:p>
              </w:tc>
              <w:tc>
                <w:tcPr>
                  <w:tcW w:w="1149"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firstLine="105" w:firstLineChars="50"/>
                    <w:rPr>
                      <w:rFonts w:hint="eastAsia" w:eastAsia="宋体"/>
                      <w:color w:val="000000" w:themeColor="text1"/>
                      <w:kern w:val="0"/>
                      <w:sz w:val="21"/>
                      <w:szCs w:val="21"/>
                      <w:highlight w:val="none"/>
                      <w:lang w:eastAsia="zh-CN"/>
                      <w14:textFill>
                        <w14:solidFill>
                          <w14:schemeClr w14:val="tx1"/>
                        </w14:solidFill>
                      </w14:textFill>
                    </w:rPr>
                  </w:pPr>
                  <w:r>
                    <w:rPr>
                      <w:color w:val="000000" w:themeColor="text1"/>
                      <w:kern w:val="0"/>
                      <w:sz w:val="21"/>
                      <w:szCs w:val="21"/>
                      <w:highlight w:val="none"/>
                      <w14:textFill>
                        <w14:solidFill>
                          <w14:schemeClr w14:val="tx1"/>
                        </w14:solidFill>
                      </w14:textFill>
                    </w:rPr>
                    <w:t>323.2</w:t>
                  </w:r>
                  <w:r>
                    <w:rPr>
                      <w:rFonts w:hint="eastAsia"/>
                      <w:color w:val="000000" w:themeColor="text1"/>
                      <w:kern w:val="0"/>
                      <w:sz w:val="21"/>
                      <w:szCs w:val="21"/>
                      <w:highlight w:val="none"/>
                      <w:lang w:val="en-US" w:eastAsia="zh-CN"/>
                      <w14:textFill>
                        <w14:solidFill>
                          <w14:schemeClr w14:val="tx1"/>
                        </w14:solidFill>
                      </w14:textFill>
                    </w:rPr>
                    <w:t>8</w:t>
                  </w:r>
                </w:p>
              </w:tc>
              <w:tc>
                <w:tcPr>
                  <w:tcW w:w="1139"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规划</w:t>
                  </w:r>
                </w:p>
              </w:tc>
              <w:tc>
                <w:tcPr>
                  <w:tcW w:w="123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十字平交</w:t>
                  </w:r>
                </w:p>
              </w:tc>
            </w:tr>
            <w:tr>
              <w:tblPrEx>
                <w:tblCellMar>
                  <w:top w:w="0" w:type="dxa"/>
                  <w:left w:w="108" w:type="dxa"/>
                  <w:bottom w:w="0" w:type="dxa"/>
                  <w:right w:w="108" w:type="dxa"/>
                </w:tblCellMar>
              </w:tblPrEx>
              <w:trPr>
                <w:trHeight w:val="400" w:hRule="atLeast"/>
                <w:jc w:val="center"/>
              </w:trPr>
              <w:tc>
                <w:tcPr>
                  <w:tcW w:w="57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p>
              </w:tc>
              <w:tc>
                <w:tcPr>
                  <w:tcW w:w="1330"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rPr>
                      <w:color w:val="000000" w:themeColor="text1"/>
                      <w:kern w:val="0"/>
                      <w:sz w:val="21"/>
                      <w:szCs w:val="21"/>
                      <w:highlight w:val="none"/>
                      <w14:textFill>
                        <w14:solidFill>
                          <w14:schemeClr w14:val="tx1"/>
                        </w14:solidFill>
                      </w14:textFill>
                    </w:rPr>
                  </w:pPr>
                </w:p>
              </w:tc>
              <w:tc>
                <w:tcPr>
                  <w:tcW w:w="115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p>
              </w:tc>
              <w:tc>
                <w:tcPr>
                  <w:tcW w:w="180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rPr>
                      <w:rFonts w:hint="eastAsia" w:eastAsia="宋体"/>
                      <w:color w:val="000000" w:themeColor="text1"/>
                      <w:kern w:val="0"/>
                      <w:sz w:val="21"/>
                      <w:szCs w:val="21"/>
                      <w:highlight w:val="none"/>
                      <w:lang w:eastAsia="zh-CN"/>
                      <w14:textFill>
                        <w14:solidFill>
                          <w14:schemeClr w14:val="tx1"/>
                        </w14:solidFill>
                      </w14:textFill>
                    </w:rPr>
                  </w:pPr>
                  <w:r>
                    <w:rPr>
                      <w:color w:val="000000" w:themeColor="text1"/>
                      <w:kern w:val="0"/>
                      <w:sz w:val="21"/>
                      <w:szCs w:val="21"/>
                      <w:highlight w:val="none"/>
                      <w14:textFill>
                        <w14:solidFill>
                          <w14:schemeClr w14:val="tx1"/>
                        </w14:solidFill>
                      </w14:textFill>
                    </w:rPr>
                    <w:t>3</w:t>
                  </w:r>
                  <w:r>
                    <w:rPr>
                      <w:rFonts w:hint="eastAsia"/>
                      <w:color w:val="000000" w:themeColor="text1"/>
                      <w:kern w:val="0"/>
                      <w:sz w:val="21"/>
                      <w:szCs w:val="21"/>
                      <w:highlight w:val="none"/>
                      <w:lang w:val="en-US" w:eastAsia="zh-CN"/>
                      <w14:textFill>
                        <w14:solidFill>
                          <w14:schemeClr w14:val="tx1"/>
                        </w14:solidFill>
                      </w14:textFill>
                    </w:rPr>
                    <w:t>38.09</w:t>
                  </w:r>
                  <w:r>
                    <w:rPr>
                      <w:rFonts w:hint="eastAsia"/>
                      <w:color w:val="000000" w:themeColor="text1"/>
                      <w:kern w:val="0"/>
                      <w:sz w:val="21"/>
                      <w:szCs w:val="21"/>
                      <w:highlight w:val="none"/>
                      <w14:textFill>
                        <w14:solidFill>
                          <w14:schemeClr w14:val="tx1"/>
                        </w14:solidFill>
                      </w14:textFill>
                    </w:rPr>
                    <w:t>（上跨）</w:t>
                  </w:r>
                </w:p>
              </w:tc>
              <w:tc>
                <w:tcPr>
                  <w:tcW w:w="1149"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firstLine="105" w:firstLineChars="50"/>
                    <w:rPr>
                      <w:rFonts w:hint="default" w:eastAsia="宋体"/>
                      <w:color w:val="000000" w:themeColor="text1"/>
                      <w:kern w:val="0"/>
                      <w:sz w:val="21"/>
                      <w:szCs w:val="21"/>
                      <w:highlight w:val="none"/>
                      <w:lang w:val="en-US" w:eastAsia="zh-CN"/>
                      <w14:textFill>
                        <w14:solidFill>
                          <w14:schemeClr w14:val="tx1"/>
                        </w14:solidFill>
                      </w14:textFill>
                    </w:rPr>
                  </w:pPr>
                  <w:r>
                    <w:rPr>
                      <w:color w:val="000000" w:themeColor="text1"/>
                      <w:kern w:val="0"/>
                      <w:sz w:val="21"/>
                      <w:szCs w:val="21"/>
                      <w:highlight w:val="none"/>
                      <w14:textFill>
                        <w14:solidFill>
                          <w14:schemeClr w14:val="tx1"/>
                        </w14:solidFill>
                      </w14:textFill>
                    </w:rPr>
                    <w:t>338.</w:t>
                  </w:r>
                  <w:r>
                    <w:rPr>
                      <w:rFonts w:hint="eastAsia"/>
                      <w:color w:val="000000" w:themeColor="text1"/>
                      <w:kern w:val="0"/>
                      <w:sz w:val="21"/>
                      <w:szCs w:val="21"/>
                      <w:highlight w:val="none"/>
                      <w:lang w:val="en-US" w:eastAsia="zh-CN"/>
                      <w14:textFill>
                        <w14:solidFill>
                          <w14:schemeClr w14:val="tx1"/>
                        </w14:solidFill>
                      </w14:textFill>
                    </w:rPr>
                    <w:t>09（上跨）</w:t>
                  </w:r>
                </w:p>
              </w:tc>
              <w:tc>
                <w:tcPr>
                  <w:tcW w:w="1139"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规划</w:t>
                  </w:r>
                </w:p>
              </w:tc>
              <w:tc>
                <w:tcPr>
                  <w:tcW w:w="123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上跨</w:t>
                  </w:r>
                </w:p>
              </w:tc>
            </w:tr>
            <w:tr>
              <w:tblPrEx>
                <w:tblCellMar>
                  <w:top w:w="0" w:type="dxa"/>
                  <w:left w:w="108" w:type="dxa"/>
                  <w:bottom w:w="0" w:type="dxa"/>
                  <w:right w:w="108" w:type="dxa"/>
                </w:tblCellMar>
              </w:tblPrEx>
              <w:trPr>
                <w:trHeight w:val="400" w:hRule="atLeast"/>
                <w:jc w:val="center"/>
              </w:trPr>
              <w:tc>
                <w:tcPr>
                  <w:tcW w:w="57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firstLine="189" w:firstLineChars="90"/>
                    <w:rPr>
                      <w:rFonts w:hint="eastAsia"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4</w:t>
                  </w:r>
                </w:p>
              </w:tc>
              <w:tc>
                <w:tcPr>
                  <w:tcW w:w="1330" w:type="dxa"/>
                  <w:vMerge w:val="restar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eastAsia="宋体"/>
                      <w:color w:val="000000" w:themeColor="text1"/>
                      <w:kern w:val="0"/>
                      <w:sz w:val="21"/>
                      <w:szCs w:val="21"/>
                      <w:highlight w:val="none"/>
                      <w:lang w:val="en-US" w:eastAsia="zh-CN" w:bidi="ar-SA"/>
                      <w14:textFill>
                        <w14:solidFill>
                          <w14:schemeClr w14:val="tx1"/>
                        </w14:solidFill>
                      </w14:textFill>
                    </w:rPr>
                  </w:pPr>
                  <w:r>
                    <w:rPr>
                      <w:rFonts w:ascii="宋体" w:hAnsi="宋体" w:cs="宋体"/>
                      <w:color w:val="000000" w:themeColor="text1"/>
                      <w:sz w:val="21"/>
                      <w:szCs w:val="21"/>
                      <w:highlight w:val="none"/>
                      <w14:textFill>
                        <w14:solidFill>
                          <w14:schemeClr w14:val="tx1"/>
                        </w14:solidFill>
                      </w14:textFill>
                    </w:rPr>
                    <w:t>K1+</w:t>
                  </w:r>
                  <w:r>
                    <w:rPr>
                      <w:rFonts w:hint="eastAsia" w:ascii="宋体" w:hAnsi="宋体" w:cs="宋体"/>
                      <w:color w:val="000000" w:themeColor="text1"/>
                      <w:sz w:val="21"/>
                      <w:szCs w:val="21"/>
                      <w:highlight w:val="none"/>
                      <w:lang w:val="en-US" w:eastAsia="zh-CN"/>
                      <w14:textFill>
                        <w14:solidFill>
                          <w14:schemeClr w14:val="tx1"/>
                        </w14:solidFill>
                      </w14:textFill>
                    </w:rPr>
                    <w:t>339.437</w:t>
                  </w:r>
                </w:p>
              </w:tc>
              <w:tc>
                <w:tcPr>
                  <w:tcW w:w="1152" w:type="dxa"/>
                  <w:vMerge w:val="restar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eastAsia="宋体"/>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纵二路</w:t>
                  </w:r>
                </w:p>
              </w:tc>
              <w:tc>
                <w:tcPr>
                  <w:tcW w:w="180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rPr>
                      <w:rFonts w:hint="eastAsia"/>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32</w:t>
                  </w:r>
                  <w:r>
                    <w:rPr>
                      <w:rFonts w:hint="eastAsia"/>
                      <w:color w:val="000000" w:themeColor="text1"/>
                      <w:kern w:val="0"/>
                      <w:sz w:val="21"/>
                      <w:szCs w:val="21"/>
                      <w:highlight w:val="none"/>
                      <w:lang w:val="en-US" w:eastAsia="zh-CN"/>
                      <w14:textFill>
                        <w14:solidFill>
                          <w14:schemeClr w14:val="tx1"/>
                        </w14:solidFill>
                      </w14:textFill>
                    </w:rPr>
                    <w:t>2.46</w:t>
                  </w:r>
                  <w:r>
                    <w:rPr>
                      <w:rFonts w:hint="eastAsia"/>
                      <w:color w:val="000000" w:themeColor="text1"/>
                      <w:kern w:val="0"/>
                      <w:sz w:val="21"/>
                      <w:szCs w:val="21"/>
                      <w:highlight w:val="none"/>
                      <w14:textFill>
                        <w14:solidFill>
                          <w14:schemeClr w14:val="tx1"/>
                        </w14:solidFill>
                      </w14:textFill>
                    </w:rPr>
                    <w:t>（平层）</w:t>
                  </w:r>
                </w:p>
              </w:tc>
              <w:tc>
                <w:tcPr>
                  <w:tcW w:w="1149"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firstLine="105" w:firstLineChars="50"/>
                    <w:rPr>
                      <w:rFonts w:hint="default" w:eastAsia="宋体"/>
                      <w:color w:val="000000" w:themeColor="text1"/>
                      <w:kern w:val="0"/>
                      <w:sz w:val="21"/>
                      <w:szCs w:val="21"/>
                      <w:highlight w:val="none"/>
                      <w:lang w:val="en-US" w:eastAsia="zh-CN" w:bidi="ar-SA"/>
                      <w14:textFill>
                        <w14:solidFill>
                          <w14:schemeClr w14:val="tx1"/>
                        </w14:solidFill>
                      </w14:textFill>
                    </w:rPr>
                  </w:pPr>
                  <w:r>
                    <w:rPr>
                      <w:color w:val="000000" w:themeColor="text1"/>
                      <w:kern w:val="0"/>
                      <w:sz w:val="21"/>
                      <w:szCs w:val="21"/>
                      <w:highlight w:val="none"/>
                      <w14:textFill>
                        <w14:solidFill>
                          <w14:schemeClr w14:val="tx1"/>
                        </w14:solidFill>
                      </w14:textFill>
                    </w:rPr>
                    <w:t>3</w:t>
                  </w:r>
                  <w:r>
                    <w:rPr>
                      <w:rFonts w:hint="eastAsia"/>
                      <w:color w:val="000000" w:themeColor="text1"/>
                      <w:kern w:val="0"/>
                      <w:sz w:val="21"/>
                      <w:szCs w:val="21"/>
                      <w:highlight w:val="none"/>
                      <w:lang w:val="en-US" w:eastAsia="zh-CN"/>
                      <w14:textFill>
                        <w14:solidFill>
                          <w14:schemeClr w14:val="tx1"/>
                        </w14:solidFill>
                      </w14:textFill>
                    </w:rPr>
                    <w:t>22.46</w:t>
                  </w:r>
                </w:p>
              </w:tc>
              <w:tc>
                <w:tcPr>
                  <w:tcW w:w="1139"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lang w:val="en-US" w:eastAsia="zh-CN" w:bidi="ar-SA"/>
                      <w14:textFill>
                        <w14:solidFill>
                          <w14:schemeClr w14:val="tx1"/>
                        </w14:solidFill>
                      </w14:textFill>
                    </w:rPr>
                  </w:pPr>
                  <w:r>
                    <w:rPr>
                      <w:color w:val="000000" w:themeColor="text1"/>
                      <w:kern w:val="0"/>
                      <w:sz w:val="21"/>
                      <w:szCs w:val="21"/>
                      <w:highlight w:val="none"/>
                      <w14:textFill>
                        <w14:solidFill>
                          <w14:schemeClr w14:val="tx1"/>
                        </w14:solidFill>
                      </w14:textFill>
                    </w:rPr>
                    <w:t>规划</w:t>
                  </w:r>
                </w:p>
              </w:tc>
              <w:tc>
                <w:tcPr>
                  <w:tcW w:w="1233"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T字平交</w:t>
                  </w:r>
                </w:p>
              </w:tc>
            </w:tr>
            <w:tr>
              <w:tblPrEx>
                <w:tblCellMar>
                  <w:top w:w="0" w:type="dxa"/>
                  <w:left w:w="108" w:type="dxa"/>
                  <w:bottom w:w="0" w:type="dxa"/>
                  <w:right w:w="108" w:type="dxa"/>
                </w:tblCellMar>
              </w:tblPrEx>
              <w:trPr>
                <w:trHeight w:val="400" w:hRule="atLeast"/>
                <w:jc w:val="center"/>
              </w:trPr>
              <w:tc>
                <w:tcPr>
                  <w:tcW w:w="57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firstLine="189" w:firstLineChars="90"/>
                    <w:rPr>
                      <w:rFonts w:hint="eastAsia"/>
                      <w:color w:val="000000" w:themeColor="text1"/>
                      <w:kern w:val="0"/>
                      <w:sz w:val="21"/>
                      <w:szCs w:val="21"/>
                      <w:highlight w:val="none"/>
                      <w14:textFill>
                        <w14:solidFill>
                          <w14:schemeClr w14:val="tx1"/>
                        </w14:solidFill>
                      </w14:textFill>
                    </w:rPr>
                  </w:pPr>
                </w:p>
              </w:tc>
              <w:tc>
                <w:tcPr>
                  <w:tcW w:w="1330" w:type="dxa"/>
                  <w:vMerge w:val="continue"/>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ascii="宋体" w:hAnsi="宋体" w:cs="宋体"/>
                      <w:color w:val="000000" w:themeColor="text1"/>
                      <w:sz w:val="21"/>
                      <w:szCs w:val="21"/>
                      <w:highlight w:val="none"/>
                      <w14:textFill>
                        <w14:solidFill>
                          <w14:schemeClr w14:val="tx1"/>
                        </w14:solidFill>
                      </w14:textFill>
                    </w:rPr>
                  </w:pPr>
                </w:p>
              </w:tc>
              <w:tc>
                <w:tcPr>
                  <w:tcW w:w="115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p>
              </w:tc>
              <w:tc>
                <w:tcPr>
                  <w:tcW w:w="180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rPr>
                      <w:rFonts w:hint="eastAsia" w:eastAsia="宋体"/>
                      <w:color w:val="000000" w:themeColor="text1"/>
                      <w:kern w:val="0"/>
                      <w:sz w:val="21"/>
                      <w:szCs w:val="21"/>
                      <w:highlight w:val="none"/>
                      <w:lang w:val="en-US" w:eastAsia="zh-CN" w:bidi="ar-SA"/>
                      <w14:textFill>
                        <w14:solidFill>
                          <w14:schemeClr w14:val="tx1"/>
                        </w14:solidFill>
                      </w14:textFill>
                    </w:rPr>
                  </w:pPr>
                  <w:r>
                    <w:rPr>
                      <w:color w:val="000000" w:themeColor="text1"/>
                      <w:kern w:val="0"/>
                      <w:sz w:val="21"/>
                      <w:szCs w:val="21"/>
                      <w:highlight w:val="none"/>
                      <w14:textFill>
                        <w14:solidFill>
                          <w14:schemeClr w14:val="tx1"/>
                        </w14:solidFill>
                      </w14:textFill>
                    </w:rPr>
                    <w:t>3</w:t>
                  </w:r>
                  <w:r>
                    <w:rPr>
                      <w:rFonts w:hint="eastAsia"/>
                      <w:color w:val="000000" w:themeColor="text1"/>
                      <w:kern w:val="0"/>
                      <w:sz w:val="21"/>
                      <w:szCs w:val="21"/>
                      <w:highlight w:val="none"/>
                      <w:lang w:val="en-US" w:eastAsia="zh-CN"/>
                      <w14:textFill>
                        <w14:solidFill>
                          <w14:schemeClr w14:val="tx1"/>
                        </w14:solidFill>
                      </w14:textFill>
                    </w:rPr>
                    <w:t>46.88</w:t>
                  </w:r>
                  <w:r>
                    <w:rPr>
                      <w:rFonts w:hint="eastAsia"/>
                      <w:color w:val="000000" w:themeColor="text1"/>
                      <w:kern w:val="0"/>
                      <w:sz w:val="21"/>
                      <w:szCs w:val="21"/>
                      <w:highlight w:val="none"/>
                      <w14:textFill>
                        <w14:solidFill>
                          <w14:schemeClr w14:val="tx1"/>
                        </w14:solidFill>
                      </w14:textFill>
                    </w:rPr>
                    <w:t>（上跨）</w:t>
                  </w:r>
                </w:p>
              </w:tc>
              <w:tc>
                <w:tcPr>
                  <w:tcW w:w="1149"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firstLine="105" w:firstLineChars="50"/>
                    <w:rPr>
                      <w:rFonts w:hint="default" w:eastAsia="宋体"/>
                      <w:color w:val="000000" w:themeColor="text1"/>
                      <w:kern w:val="0"/>
                      <w:sz w:val="21"/>
                      <w:szCs w:val="21"/>
                      <w:highlight w:val="none"/>
                      <w:lang w:val="en-US" w:eastAsia="zh-CN" w:bidi="ar-SA"/>
                      <w14:textFill>
                        <w14:solidFill>
                          <w14:schemeClr w14:val="tx1"/>
                        </w14:solidFill>
                      </w14:textFill>
                    </w:rPr>
                  </w:pPr>
                  <w:r>
                    <w:rPr>
                      <w:color w:val="000000" w:themeColor="text1"/>
                      <w:kern w:val="0"/>
                      <w:sz w:val="21"/>
                      <w:szCs w:val="21"/>
                      <w:highlight w:val="none"/>
                      <w14:textFill>
                        <w14:solidFill>
                          <w14:schemeClr w14:val="tx1"/>
                        </w14:solidFill>
                      </w14:textFill>
                    </w:rPr>
                    <w:t>3</w:t>
                  </w:r>
                  <w:r>
                    <w:rPr>
                      <w:rFonts w:hint="eastAsia"/>
                      <w:color w:val="000000" w:themeColor="text1"/>
                      <w:kern w:val="0"/>
                      <w:sz w:val="21"/>
                      <w:szCs w:val="21"/>
                      <w:highlight w:val="none"/>
                      <w:lang w:val="en-US" w:eastAsia="zh-CN"/>
                      <w14:textFill>
                        <w14:solidFill>
                          <w14:schemeClr w14:val="tx1"/>
                        </w14:solidFill>
                      </w14:textFill>
                    </w:rPr>
                    <w:t>47.67（上跨）</w:t>
                  </w:r>
                </w:p>
              </w:tc>
              <w:tc>
                <w:tcPr>
                  <w:tcW w:w="1139"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lang w:val="en-US" w:eastAsia="zh-CN" w:bidi="ar-SA"/>
                      <w14:textFill>
                        <w14:solidFill>
                          <w14:schemeClr w14:val="tx1"/>
                        </w14:solidFill>
                      </w14:textFill>
                    </w:rPr>
                  </w:pPr>
                  <w:r>
                    <w:rPr>
                      <w:color w:val="000000" w:themeColor="text1"/>
                      <w:kern w:val="0"/>
                      <w:sz w:val="21"/>
                      <w:szCs w:val="21"/>
                      <w:highlight w:val="none"/>
                      <w14:textFill>
                        <w14:solidFill>
                          <w14:schemeClr w14:val="tx1"/>
                        </w14:solidFill>
                      </w14:textFill>
                    </w:rPr>
                    <w:t>规划</w:t>
                  </w:r>
                </w:p>
              </w:tc>
              <w:tc>
                <w:tcPr>
                  <w:tcW w:w="123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上跨</w:t>
                  </w:r>
                </w:p>
              </w:tc>
            </w:tr>
            <w:tr>
              <w:tblPrEx>
                <w:tblCellMar>
                  <w:top w:w="0" w:type="dxa"/>
                  <w:left w:w="108" w:type="dxa"/>
                  <w:bottom w:w="0" w:type="dxa"/>
                  <w:right w:w="108" w:type="dxa"/>
                </w:tblCellMar>
              </w:tblPrEx>
              <w:trPr>
                <w:trHeight w:val="820" w:hRule="atLeast"/>
                <w:jc w:val="center"/>
              </w:trPr>
              <w:tc>
                <w:tcPr>
                  <w:tcW w:w="5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firstLine="189" w:firstLineChars="90"/>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5</w:t>
                  </w:r>
                </w:p>
              </w:tc>
              <w:tc>
                <w:tcPr>
                  <w:tcW w:w="133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eastAsia="宋体"/>
                      <w:color w:val="000000" w:themeColor="text1"/>
                      <w:kern w:val="0"/>
                      <w:sz w:val="21"/>
                      <w:szCs w:val="21"/>
                      <w:highlight w:val="none"/>
                      <w:lang w:val="en-US" w:eastAsia="zh-CN"/>
                      <w14:textFill>
                        <w14:solidFill>
                          <w14:schemeClr w14:val="tx1"/>
                        </w14:solidFill>
                      </w14:textFill>
                    </w:rPr>
                  </w:pPr>
                  <w:r>
                    <w:rPr>
                      <w:rFonts w:ascii="宋体" w:hAnsi="宋体" w:cs="宋体"/>
                      <w:color w:val="000000" w:themeColor="text1"/>
                      <w:sz w:val="21"/>
                      <w:szCs w:val="21"/>
                      <w:highlight w:val="none"/>
                      <w14:textFill>
                        <w14:solidFill>
                          <w14:schemeClr w14:val="tx1"/>
                        </w14:solidFill>
                      </w14:textFill>
                    </w:rPr>
                    <w:t>K1+</w:t>
                  </w:r>
                  <w:r>
                    <w:rPr>
                      <w:rFonts w:hint="eastAsia" w:ascii="宋体" w:hAnsi="宋体" w:cs="宋体"/>
                      <w:color w:val="000000" w:themeColor="text1"/>
                      <w:sz w:val="21"/>
                      <w:szCs w:val="21"/>
                      <w:highlight w:val="none"/>
                      <w:lang w:val="en-US" w:eastAsia="zh-CN"/>
                      <w14:textFill>
                        <w14:solidFill>
                          <w14:schemeClr w14:val="tx1"/>
                        </w14:solidFill>
                      </w14:textFill>
                    </w:rPr>
                    <w:t>547.902</w:t>
                  </w:r>
                </w:p>
              </w:tc>
              <w:tc>
                <w:tcPr>
                  <w:tcW w:w="1152"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eastAsia="zh-CN"/>
                      <w14:textFill>
                        <w14:solidFill>
                          <w14:schemeClr w14:val="tx1"/>
                        </w14:solidFill>
                      </w14:textFill>
                    </w:rPr>
                    <w:t>外环快速</w:t>
                  </w:r>
                </w:p>
              </w:tc>
              <w:tc>
                <w:tcPr>
                  <w:tcW w:w="180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rPr>
                      <w:rFonts w:hint="eastAsia" w:eastAsia="宋体"/>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352.72</w:t>
                  </w:r>
                  <w:r>
                    <w:rPr>
                      <w:rFonts w:hint="eastAsia"/>
                      <w:color w:val="000000" w:themeColor="text1"/>
                      <w:kern w:val="0"/>
                      <w:sz w:val="21"/>
                      <w:szCs w:val="21"/>
                      <w:highlight w:val="none"/>
                      <w14:textFill>
                        <w14:solidFill>
                          <w14:schemeClr w14:val="tx1"/>
                        </w14:solidFill>
                      </w14:textFill>
                    </w:rPr>
                    <w:t>（上跨）</w:t>
                  </w:r>
                </w:p>
              </w:tc>
              <w:tc>
                <w:tcPr>
                  <w:tcW w:w="1149"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firstLine="105" w:firstLineChars="50"/>
                    <w:rPr>
                      <w:rFonts w:hint="default" w:eastAsia="宋体"/>
                      <w:color w:val="000000" w:themeColor="text1"/>
                      <w:kern w:val="0"/>
                      <w:sz w:val="21"/>
                      <w:szCs w:val="21"/>
                      <w:highlight w:val="none"/>
                      <w:lang w:val="en-US" w:eastAsia="zh-CN"/>
                      <w14:textFill>
                        <w14:solidFill>
                          <w14:schemeClr w14:val="tx1"/>
                        </w14:solidFill>
                      </w14:textFill>
                    </w:rPr>
                  </w:pPr>
                  <w:r>
                    <w:rPr>
                      <w:rFonts w:hint="eastAsia" w:eastAsia="宋体"/>
                      <w:color w:val="000000" w:themeColor="text1"/>
                      <w:kern w:val="0"/>
                      <w:sz w:val="21"/>
                      <w:szCs w:val="21"/>
                      <w:highlight w:val="none"/>
                      <w:lang w:val="en-US" w:eastAsia="zh-CN"/>
                      <w14:textFill>
                        <w14:solidFill>
                          <w14:schemeClr w14:val="tx1"/>
                        </w14:solidFill>
                      </w14:textFill>
                    </w:rPr>
                    <w:t>353.79</w:t>
                  </w:r>
                </w:p>
              </w:tc>
              <w:tc>
                <w:tcPr>
                  <w:tcW w:w="1139"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规划</w:t>
                  </w:r>
                </w:p>
              </w:tc>
              <w:tc>
                <w:tcPr>
                  <w:tcW w:w="123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上跨</w:t>
                  </w:r>
                </w:p>
              </w:tc>
            </w:tr>
            <w:tr>
              <w:tblPrEx>
                <w:tblCellMar>
                  <w:top w:w="0" w:type="dxa"/>
                  <w:left w:w="108" w:type="dxa"/>
                  <w:bottom w:w="0" w:type="dxa"/>
                  <w:right w:w="108" w:type="dxa"/>
                </w:tblCellMar>
              </w:tblPrEx>
              <w:trPr>
                <w:trHeight w:val="820" w:hRule="atLeast"/>
                <w:jc w:val="center"/>
              </w:trPr>
              <w:tc>
                <w:tcPr>
                  <w:tcW w:w="5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firstLine="189" w:firstLineChars="90"/>
                    <w:rPr>
                      <w:rFonts w:hint="default"/>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6</w:t>
                  </w:r>
                </w:p>
              </w:tc>
              <w:tc>
                <w:tcPr>
                  <w:tcW w:w="133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cs="宋体"/>
                      <w:color w:val="000000" w:themeColor="text1"/>
                      <w:sz w:val="21"/>
                      <w:szCs w:val="21"/>
                      <w:highlight w:val="none"/>
                      <w:lang w:val="en-US"/>
                      <w14:textFill>
                        <w14:solidFill>
                          <w14:schemeClr w14:val="tx1"/>
                        </w14:solidFill>
                      </w14:textFill>
                    </w:rPr>
                  </w:pPr>
                  <w:r>
                    <w:rPr>
                      <w:rFonts w:ascii="宋体" w:hAnsi="宋体" w:cs="宋体"/>
                      <w:color w:val="000000" w:themeColor="text1"/>
                      <w:sz w:val="21"/>
                      <w:szCs w:val="21"/>
                      <w:highlight w:val="none"/>
                      <w14:textFill>
                        <w14:solidFill>
                          <w14:schemeClr w14:val="tx1"/>
                        </w14:solidFill>
                      </w14:textFill>
                    </w:rPr>
                    <w:t>K</w:t>
                  </w:r>
                  <w:r>
                    <w:rPr>
                      <w:rFonts w:hint="eastAsia" w:ascii="宋体" w:hAnsi="宋体" w:cs="宋体"/>
                      <w:color w:val="000000" w:themeColor="text1"/>
                      <w:sz w:val="21"/>
                      <w:szCs w:val="21"/>
                      <w:highlight w:val="none"/>
                      <w:lang w:val="en-US" w:eastAsia="zh-CN"/>
                      <w14:textFill>
                        <w14:solidFill>
                          <w14:schemeClr w14:val="tx1"/>
                        </w14:solidFill>
                      </w14:textFill>
                    </w:rPr>
                    <w:t>2</w:t>
                  </w:r>
                  <w:r>
                    <w:rPr>
                      <w:rFonts w:ascii="宋体" w:hAnsi="宋体" w:cs="宋体"/>
                      <w:color w:val="000000" w:themeColor="text1"/>
                      <w:sz w:val="21"/>
                      <w:szCs w:val="21"/>
                      <w:highlight w:val="none"/>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264.036</w:t>
                  </w:r>
                </w:p>
              </w:tc>
              <w:tc>
                <w:tcPr>
                  <w:tcW w:w="1152"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eastAsia="zh-CN"/>
                      <w14:textFill>
                        <w14:solidFill>
                          <w14:schemeClr w14:val="tx1"/>
                        </w14:solidFill>
                      </w14:textFill>
                    </w:rPr>
                    <w:t>绕西高速连接线</w:t>
                  </w:r>
                </w:p>
              </w:tc>
              <w:tc>
                <w:tcPr>
                  <w:tcW w:w="180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rPr>
                      <w:rFonts w:hint="default"/>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374.932（施工图）</w:t>
                  </w:r>
                </w:p>
              </w:tc>
              <w:tc>
                <w:tcPr>
                  <w:tcW w:w="1149"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firstLine="105" w:firstLineChars="50"/>
                    <w:rPr>
                      <w:rFonts w:hint="default" w:eastAsia="宋体"/>
                      <w:color w:val="000000" w:themeColor="text1"/>
                      <w:kern w:val="0"/>
                      <w:sz w:val="21"/>
                      <w:szCs w:val="21"/>
                      <w:highlight w:val="none"/>
                      <w:lang w:val="en-US" w:eastAsia="zh-CN"/>
                      <w14:textFill>
                        <w14:solidFill>
                          <w14:schemeClr w14:val="tx1"/>
                        </w14:solidFill>
                      </w14:textFill>
                    </w:rPr>
                  </w:pPr>
                  <w:r>
                    <w:rPr>
                      <w:rFonts w:hint="eastAsia" w:eastAsia="宋体"/>
                      <w:color w:val="000000" w:themeColor="text1"/>
                      <w:kern w:val="0"/>
                      <w:sz w:val="21"/>
                      <w:szCs w:val="21"/>
                      <w:highlight w:val="none"/>
                      <w:lang w:val="en-US" w:eastAsia="zh-CN"/>
                      <w14:textFill>
                        <w14:solidFill>
                          <w14:schemeClr w14:val="tx1"/>
                        </w14:solidFill>
                      </w14:textFill>
                    </w:rPr>
                    <w:t>374.932</w:t>
                  </w:r>
                </w:p>
              </w:tc>
              <w:tc>
                <w:tcPr>
                  <w:tcW w:w="1139"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eastAsia="zh-CN"/>
                      <w14:textFill>
                        <w14:solidFill>
                          <w14:schemeClr w14:val="tx1"/>
                        </w14:solidFill>
                      </w14:textFill>
                    </w:rPr>
                    <w:t>在建</w:t>
                  </w:r>
                </w:p>
              </w:tc>
              <w:tc>
                <w:tcPr>
                  <w:tcW w:w="123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eastAsia="zh-CN"/>
                      <w14:textFill>
                        <w14:solidFill>
                          <w14:schemeClr w14:val="tx1"/>
                        </w14:solidFill>
                      </w14:textFill>
                    </w:rPr>
                    <w:t>相接</w:t>
                  </w:r>
                </w:p>
              </w:tc>
            </w:tr>
          </w:tbl>
          <w:p>
            <w:pPr>
              <w:pStyle w:val="83"/>
              <w:widowControl/>
              <w:spacing w:line="360" w:lineRule="auto"/>
              <w:ind w:left="0" w:firstLine="482"/>
              <w:jc w:val="left"/>
              <w:rPr>
                <w:rFonts w:hint="eastAsia" w:ascii="Times New Roman" w:hAnsi="Times New Roman" w:eastAsia="宋体" w:cs="宋体"/>
                <w:b/>
                <w:bCs/>
                <w:color w:val="000000" w:themeColor="text1"/>
                <w:sz w:val="24"/>
                <w:szCs w:val="24"/>
                <w:highlight w:val="none"/>
                <w:lang w:eastAsia="zh-CN"/>
                <w14:textFill>
                  <w14:solidFill>
                    <w14:schemeClr w14:val="tx1"/>
                  </w14:solidFill>
                </w14:textFill>
              </w:rPr>
            </w:pPr>
          </w:p>
          <w:p>
            <w:pPr>
              <w:pStyle w:val="83"/>
              <w:widowControl/>
              <w:spacing w:line="360" w:lineRule="auto"/>
              <w:ind w:left="0" w:firstLine="482"/>
              <w:jc w:val="left"/>
              <w:rPr>
                <w:rFonts w:hint="default" w:ascii="Times New Roman" w:hAnsi="Times New Roman" w:eastAsia="宋体" w:cs="宋体"/>
                <w:b/>
                <w:bCs/>
                <w:color w:val="000000" w:themeColor="text1"/>
                <w:sz w:val="24"/>
                <w:szCs w:val="24"/>
                <w:highlight w:val="none"/>
                <w:lang w:val="en-US" w:eastAsia="zh-CN"/>
                <w14:textFill>
                  <w14:solidFill>
                    <w14:schemeClr w14:val="tx1"/>
                  </w14:solidFill>
                </w14:textFill>
              </w:rPr>
            </w:pPr>
            <w:r>
              <w:rPr>
                <w:rFonts w:hint="eastAsia" w:cs="宋体"/>
                <w:b/>
                <w:bCs/>
                <w:color w:val="000000" w:themeColor="text1"/>
                <w:sz w:val="24"/>
                <w:szCs w:val="24"/>
                <w:highlight w:val="none"/>
                <w:lang w:val="en-US" w:eastAsia="zh-CN"/>
                <w14:textFill>
                  <w14:solidFill>
                    <w14:schemeClr w14:val="tx1"/>
                  </w14:solidFill>
                </w14:textFill>
              </w:rPr>
              <w:t>3、横断面设计</w:t>
            </w:r>
          </w:p>
          <w:p>
            <w:pPr>
              <w:pStyle w:val="83"/>
              <w:widowControl/>
              <w:spacing w:line="360" w:lineRule="auto"/>
              <w:ind w:left="0" w:firstLine="482"/>
              <w:jc w:val="left"/>
              <w:rPr>
                <w:rFonts w:hint="eastAsia" w:ascii="宋体" w:hAnsi="宋体" w:eastAsia="宋体" w:cs="Times New Roman"/>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83840" behindDoc="0" locked="0" layoutInCell="1" allowOverlap="1">
                  <wp:simplePos x="0" y="0"/>
                  <wp:positionH relativeFrom="column">
                    <wp:posOffset>628015</wp:posOffset>
                  </wp:positionH>
                  <wp:positionV relativeFrom="paragraph">
                    <wp:posOffset>1175385</wp:posOffset>
                  </wp:positionV>
                  <wp:extent cx="3868420" cy="2141220"/>
                  <wp:effectExtent l="0" t="0" r="2540" b="7620"/>
                  <wp:wrapNone/>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17"/>
                          <a:stretch>
                            <a:fillRect/>
                          </a:stretch>
                        </pic:blipFill>
                        <pic:spPr>
                          <a:xfrm>
                            <a:off x="0" y="0"/>
                            <a:ext cx="3868420" cy="2141220"/>
                          </a:xfrm>
                          <a:prstGeom prst="rect">
                            <a:avLst/>
                          </a:prstGeom>
                          <a:noFill/>
                          <a:ln>
                            <a:noFill/>
                          </a:ln>
                        </pic:spPr>
                      </pic:pic>
                    </a:graphicData>
                  </a:graphic>
                </wp:anchor>
              </w:drawing>
            </w:r>
            <w:r>
              <w:rPr>
                <w:rFonts w:hint="eastAsia" w:ascii="宋体" w:hAnsi="宋体" w:eastAsia="宋体" w:cs="Times New Roman"/>
                <w:color w:val="000000" w:themeColor="text1"/>
                <w:sz w:val="24"/>
                <w:highlight w:val="none"/>
                <w:lang w:eastAsia="zh-CN"/>
                <w14:textFill>
                  <w14:solidFill>
                    <w14:schemeClr w14:val="tx1"/>
                  </w14:solidFill>
                </w14:textFill>
              </w:rPr>
              <w:t>（</w:t>
            </w:r>
            <w:r>
              <w:rPr>
                <w:rFonts w:hint="eastAsia" w:ascii="宋体" w:hAnsi="宋体" w:eastAsia="宋体" w:cs="Times New Roman"/>
                <w:color w:val="000000" w:themeColor="text1"/>
                <w:sz w:val="24"/>
                <w:highlight w:val="none"/>
                <w:lang w:val="en-US" w:eastAsia="zh-CN"/>
                <w14:textFill>
                  <w14:solidFill>
                    <w14:schemeClr w14:val="tx1"/>
                  </w14:solidFill>
                </w14:textFill>
              </w:rPr>
              <w:t>1）</w:t>
            </w:r>
            <w:r>
              <w:rPr>
                <w:rFonts w:hint="eastAsia" w:ascii="宋体" w:hAnsi="宋体" w:eastAsia="宋体" w:cs="Times New Roman"/>
                <w:color w:val="000000" w:themeColor="text1"/>
                <w:sz w:val="24"/>
                <w:highlight w:val="none"/>
                <w:lang w:eastAsia="zh-CN"/>
                <w14:textFill>
                  <w14:solidFill>
                    <w14:schemeClr w14:val="tx1"/>
                  </w14:solidFill>
                </w14:textFill>
              </w:rPr>
              <w:t>设计</w:t>
            </w:r>
            <w:r>
              <w:rPr>
                <w:rFonts w:hint="eastAsia" w:ascii="宋体" w:hAnsi="宋体" w:eastAsia="宋体" w:cs="Times New Roman"/>
                <w:color w:val="000000" w:themeColor="text1"/>
                <w:sz w:val="24"/>
                <w:highlight w:val="none"/>
                <w14:textFill>
                  <w14:solidFill>
                    <w14:schemeClr w14:val="tx1"/>
                  </w14:solidFill>
                </w14:textFill>
              </w:rPr>
              <w:t>起点～环城路K0+</w:t>
            </w:r>
            <w:r>
              <w:rPr>
                <w:rFonts w:hint="eastAsia" w:ascii="宋体" w:hAnsi="宋体" w:eastAsia="宋体" w:cs="Times New Roman"/>
                <w:color w:val="000000" w:themeColor="text1"/>
                <w:sz w:val="24"/>
                <w:highlight w:val="none"/>
                <w:lang w:val="en-US" w:eastAsia="zh-CN"/>
                <w14:textFill>
                  <w14:solidFill>
                    <w14:schemeClr w14:val="tx1"/>
                  </w14:solidFill>
                </w14:textFill>
              </w:rPr>
              <w:t>476.488</w:t>
            </w:r>
            <w:r>
              <w:rPr>
                <w:rFonts w:hint="eastAsia" w:ascii="宋体" w:hAnsi="宋体" w:eastAsia="宋体" w:cs="Times New Roman"/>
                <w:color w:val="000000" w:themeColor="text1"/>
                <w:sz w:val="24"/>
                <w:highlight w:val="none"/>
                <w14:textFill>
                  <w14:solidFill>
                    <w14:schemeClr w14:val="tx1"/>
                  </w14:solidFill>
                </w14:textFill>
              </w:rPr>
              <w:t>段，因已</w:t>
            </w:r>
            <w:r>
              <w:rPr>
                <w:rFonts w:hint="eastAsia" w:ascii="宋体" w:hAnsi="宋体" w:eastAsia="宋体" w:cs="Times New Roman"/>
                <w:color w:val="000000" w:themeColor="text1"/>
                <w:sz w:val="24"/>
                <w:highlight w:val="none"/>
                <w:lang w:eastAsia="zh-CN"/>
                <w14:textFill>
                  <w14:solidFill>
                    <w14:schemeClr w14:val="tx1"/>
                  </w14:solidFill>
                </w14:textFill>
              </w:rPr>
              <w:t>建</w:t>
            </w:r>
            <w:r>
              <w:rPr>
                <w:rFonts w:hint="eastAsia" w:ascii="宋体" w:hAnsi="宋体" w:eastAsia="宋体" w:cs="Times New Roman"/>
                <w:color w:val="000000" w:themeColor="text1"/>
                <w:sz w:val="24"/>
                <w:highlight w:val="none"/>
                <w14:textFill>
                  <w14:solidFill>
                    <w14:schemeClr w14:val="tx1"/>
                  </w14:solidFill>
                </w14:textFill>
              </w:rPr>
              <w:t>金南大道西延线Ⅲ期西段道路工程预留位置</w:t>
            </w:r>
            <w:r>
              <w:rPr>
                <w:rFonts w:hint="eastAsia" w:ascii="宋体" w:hAnsi="宋体" w:eastAsia="宋体" w:cs="Times New Roman"/>
                <w:color w:val="000000" w:themeColor="text1"/>
                <w:sz w:val="24"/>
                <w:highlight w:val="none"/>
                <w:lang w:eastAsia="zh-CN"/>
                <w14:textFill>
                  <w14:solidFill>
                    <w14:schemeClr w14:val="tx1"/>
                  </w14:solidFill>
                </w14:textFill>
              </w:rPr>
              <w:t>不能满足本项目主线设计指标</w:t>
            </w:r>
            <w:r>
              <w:rPr>
                <w:rFonts w:hint="eastAsia" w:ascii="宋体" w:hAnsi="宋体" w:eastAsia="宋体" w:cs="Times New Roman"/>
                <w:color w:val="000000" w:themeColor="text1"/>
                <w:sz w:val="24"/>
                <w:highlight w:val="none"/>
                <w14:textFill>
                  <w14:solidFill>
                    <w14:schemeClr w14:val="tx1"/>
                  </w14:solidFill>
                </w14:textFill>
              </w:rPr>
              <w:t>，</w:t>
            </w:r>
            <w:r>
              <w:rPr>
                <w:rFonts w:hint="eastAsia" w:ascii="宋体" w:hAnsi="宋体" w:eastAsia="宋体" w:cs="Times New Roman"/>
                <w:color w:val="000000" w:themeColor="text1"/>
                <w:sz w:val="24"/>
                <w:highlight w:val="none"/>
                <w:lang w:eastAsia="zh-CN"/>
                <w14:textFill>
                  <w14:solidFill>
                    <w14:schemeClr w14:val="tx1"/>
                  </w14:solidFill>
                </w14:textFill>
              </w:rPr>
              <w:t>经</w:t>
            </w:r>
            <w:r>
              <w:rPr>
                <w:rFonts w:hint="eastAsia" w:ascii="宋体" w:hAnsi="宋体" w:eastAsia="宋体" w:cs="Times New Roman"/>
                <w:color w:val="000000" w:themeColor="text1"/>
                <w:sz w:val="24"/>
                <w:highlight w:val="none"/>
                <w14:textFill>
                  <w14:solidFill>
                    <w14:schemeClr w14:val="tx1"/>
                  </w14:solidFill>
                </w14:textFill>
              </w:rPr>
              <w:t>达州市</w:t>
            </w:r>
            <w:r>
              <w:rPr>
                <w:rFonts w:hint="eastAsia" w:ascii="宋体" w:hAnsi="宋体" w:eastAsia="宋体" w:cs="Times New Roman"/>
                <w:color w:val="000000" w:themeColor="text1"/>
                <w:sz w:val="24"/>
                <w:highlight w:val="none"/>
                <w:lang w:eastAsia="zh-CN"/>
                <w14:textFill>
                  <w14:solidFill>
                    <w14:schemeClr w14:val="tx1"/>
                  </w14:solidFill>
                </w14:textFill>
              </w:rPr>
              <w:t>国土空间规划委员会第十四次常务</w:t>
            </w:r>
            <w:r>
              <w:rPr>
                <w:rFonts w:hint="eastAsia" w:ascii="宋体" w:hAnsi="宋体" w:eastAsia="宋体" w:cs="Times New Roman"/>
                <w:color w:val="000000" w:themeColor="text1"/>
                <w:sz w:val="24"/>
                <w:highlight w:val="none"/>
                <w:lang w:val="en-US" w:eastAsia="zh-CN"/>
                <w14:textFill>
                  <w14:solidFill>
                    <w14:schemeClr w14:val="tx1"/>
                  </w14:solidFill>
                </w14:textFill>
              </w:rPr>
              <w:t>会议同意，</w:t>
            </w:r>
            <w:r>
              <w:rPr>
                <w:rFonts w:hint="eastAsia" w:ascii="宋体" w:hAnsi="宋体" w:eastAsia="宋体" w:cs="Times New Roman"/>
                <w:color w:val="000000" w:themeColor="text1"/>
                <w:sz w:val="24"/>
                <w:highlight w:val="none"/>
                <w:lang w:eastAsia="zh-CN"/>
                <w14:textFill>
                  <w14:solidFill>
                    <w14:schemeClr w14:val="tx1"/>
                  </w14:solidFill>
                </w14:textFill>
              </w:rPr>
              <w:t>对三期断面进行改造，</w:t>
            </w:r>
            <w:r>
              <w:rPr>
                <w:rFonts w:hint="eastAsia" w:ascii="宋体" w:hAnsi="宋体" w:eastAsia="宋体" w:cs="Times New Roman"/>
                <w:color w:val="000000" w:themeColor="text1"/>
                <w:sz w:val="24"/>
                <w:highlight w:val="none"/>
                <w14:textFill>
                  <w14:solidFill>
                    <w14:schemeClr w14:val="tx1"/>
                  </w14:solidFill>
                </w14:textFill>
              </w:rPr>
              <w:t>标准断面：</w:t>
            </w:r>
            <w:r>
              <w:rPr>
                <w:rFonts w:hint="eastAsia" w:ascii="宋体" w:hAnsi="宋体" w:eastAsia="宋体" w:cs="Times New Roman"/>
                <w:color w:val="000000" w:themeColor="text1"/>
                <w:sz w:val="24"/>
                <w:highlight w:val="none"/>
                <w:lang w:val="en-US" w:eastAsia="zh-CN"/>
                <w14:textFill>
                  <w14:solidFill>
                    <w14:schemeClr w14:val="tx1"/>
                  </w14:solidFill>
                </w14:textFill>
              </w:rPr>
              <w:t>50.5</w:t>
            </w:r>
            <w:r>
              <w:rPr>
                <w:rFonts w:hint="eastAsia" w:ascii="宋体" w:hAnsi="宋体" w:eastAsia="宋体" w:cs="Times New Roman"/>
                <w:color w:val="000000" w:themeColor="text1"/>
                <w:sz w:val="24"/>
                <w:highlight w:val="none"/>
                <w14:textFill>
                  <w14:solidFill>
                    <w14:schemeClr w14:val="tx1"/>
                  </w14:solidFill>
                </w14:textFill>
              </w:rPr>
              <w:t>m路幅宽=4m人行道+</w:t>
            </w:r>
            <w:r>
              <w:rPr>
                <w:rFonts w:hint="eastAsia" w:ascii="宋体" w:hAnsi="宋体" w:eastAsia="宋体" w:cs="Times New Roman"/>
                <w:color w:val="000000" w:themeColor="text1"/>
                <w:sz w:val="24"/>
                <w:highlight w:val="none"/>
                <w:lang w:val="en-US" w:eastAsia="zh-CN"/>
                <w14:textFill>
                  <w14:solidFill>
                    <w14:schemeClr w14:val="tx1"/>
                  </w14:solidFill>
                </w14:textFill>
              </w:rPr>
              <w:t>7.5</w:t>
            </w:r>
            <w:r>
              <w:rPr>
                <w:rFonts w:hint="eastAsia" w:ascii="宋体" w:hAnsi="宋体" w:eastAsia="宋体" w:cs="Times New Roman"/>
                <w:color w:val="000000" w:themeColor="text1"/>
                <w:sz w:val="24"/>
                <w:highlight w:val="none"/>
                <w14:textFill>
                  <w14:solidFill>
                    <w14:schemeClr w14:val="tx1"/>
                  </w14:solidFill>
                </w14:textFill>
              </w:rPr>
              <w:t>m车行道+</w:t>
            </w:r>
            <w:r>
              <w:rPr>
                <w:rFonts w:hint="eastAsia" w:ascii="宋体" w:hAnsi="宋体" w:eastAsia="宋体" w:cs="Times New Roman"/>
                <w:color w:val="000000" w:themeColor="text1"/>
                <w:sz w:val="24"/>
                <w:highlight w:val="none"/>
                <w:lang w:val="en-US" w:eastAsia="zh-CN"/>
                <w14:textFill>
                  <w14:solidFill>
                    <w14:schemeClr w14:val="tx1"/>
                  </w14:solidFill>
                </w14:textFill>
              </w:rPr>
              <w:t>1.0</w:t>
            </w:r>
            <w:r>
              <w:rPr>
                <w:rFonts w:hint="eastAsia" w:ascii="宋体" w:hAnsi="宋体" w:eastAsia="宋体" w:cs="Times New Roman"/>
                <w:color w:val="000000" w:themeColor="text1"/>
                <w:sz w:val="24"/>
                <w:highlight w:val="none"/>
                <w14:textFill>
                  <w14:solidFill>
                    <w14:schemeClr w14:val="tx1"/>
                  </w14:solidFill>
                </w14:textFill>
              </w:rPr>
              <w:t>m</w:t>
            </w:r>
            <w:r>
              <w:rPr>
                <w:rFonts w:hint="eastAsia" w:ascii="宋体" w:hAnsi="宋体" w:eastAsia="宋体" w:cs="Times New Roman"/>
                <w:color w:val="000000" w:themeColor="text1"/>
                <w:sz w:val="24"/>
                <w:highlight w:val="none"/>
                <w:lang w:val="en-US" w:eastAsia="zh-CN"/>
                <w14:textFill>
                  <w14:solidFill>
                    <w14:schemeClr w14:val="tx1"/>
                  </w14:solidFill>
                </w14:textFill>
              </w:rPr>
              <w:t>绿化带+25.5</w:t>
            </w:r>
            <w:r>
              <w:rPr>
                <w:rFonts w:hint="eastAsia" w:ascii="宋体" w:hAnsi="宋体" w:eastAsia="宋体" w:cs="Times New Roman"/>
                <w:color w:val="000000" w:themeColor="text1"/>
                <w:sz w:val="24"/>
                <w:highlight w:val="none"/>
                <w14:textFill>
                  <w14:solidFill>
                    <w14:schemeClr w14:val="tx1"/>
                  </w14:solidFill>
                </w14:textFill>
              </w:rPr>
              <w:t>m</w:t>
            </w:r>
            <w:r>
              <w:rPr>
                <w:rFonts w:hint="eastAsia" w:ascii="宋体" w:hAnsi="宋体" w:eastAsia="宋体" w:cs="Times New Roman"/>
                <w:color w:val="000000" w:themeColor="text1"/>
                <w:sz w:val="24"/>
                <w:highlight w:val="none"/>
                <w:lang w:eastAsia="zh-CN"/>
                <w14:textFill>
                  <w14:solidFill>
                    <w14:schemeClr w14:val="tx1"/>
                  </w14:solidFill>
                </w14:textFill>
              </w:rPr>
              <w:t>（</w:t>
            </w:r>
            <w:r>
              <w:rPr>
                <w:rFonts w:hint="eastAsia" w:ascii="宋体" w:hAnsi="宋体" w:eastAsia="宋体" w:cs="Times New Roman"/>
                <w:color w:val="000000" w:themeColor="text1"/>
                <w:sz w:val="24"/>
                <w:highlight w:val="none"/>
                <w:lang w:val="en-US" w:eastAsia="zh-CN"/>
                <w14:textFill>
                  <w14:solidFill>
                    <w14:schemeClr w14:val="tx1"/>
                  </w14:solidFill>
                </w14:textFill>
              </w:rPr>
              <w:t>挡墙</w:t>
            </w:r>
            <w:r>
              <w:rPr>
                <w:rFonts w:hint="eastAsia" w:ascii="宋体" w:hAnsi="宋体" w:eastAsia="宋体" w:cs="Times New Roman"/>
                <w:color w:val="000000" w:themeColor="text1"/>
                <w:sz w:val="24"/>
                <w:highlight w:val="none"/>
                <w:lang w:eastAsia="zh-CN"/>
                <w14:textFill>
                  <w14:solidFill>
                    <w14:schemeClr w14:val="tx1"/>
                  </w14:solidFill>
                </w14:textFill>
              </w:rPr>
              <w:t>）</w:t>
            </w:r>
            <w:r>
              <w:rPr>
                <w:rFonts w:hint="eastAsia" w:ascii="宋体" w:hAnsi="宋体" w:eastAsia="宋体" w:cs="Times New Roman"/>
                <w:color w:val="000000" w:themeColor="text1"/>
                <w:sz w:val="24"/>
                <w:highlight w:val="none"/>
                <w14:textFill>
                  <w14:solidFill>
                    <w14:schemeClr w14:val="tx1"/>
                  </w14:solidFill>
                </w14:textFill>
              </w:rPr>
              <w:t>桥</w:t>
            </w:r>
            <w:r>
              <w:rPr>
                <w:rFonts w:hint="eastAsia" w:ascii="宋体" w:hAnsi="宋体" w:eastAsia="宋体" w:cs="Times New Roman"/>
                <w:color w:val="000000" w:themeColor="text1"/>
                <w:sz w:val="24"/>
                <w:highlight w:val="none"/>
                <w:lang w:eastAsia="zh-CN"/>
                <w14:textFill>
                  <w14:solidFill>
                    <w14:schemeClr w14:val="tx1"/>
                  </w14:solidFill>
                </w14:textFill>
              </w:rPr>
              <w:t>梁</w:t>
            </w:r>
            <w:r>
              <w:rPr>
                <w:rFonts w:hint="eastAsia" w:ascii="宋体" w:hAnsi="宋体" w:eastAsia="宋体" w:cs="Times New Roman"/>
                <w:color w:val="000000" w:themeColor="text1"/>
                <w:sz w:val="24"/>
                <w:highlight w:val="none"/>
                <w:lang w:val="en-US" w:eastAsia="zh-CN"/>
                <w14:textFill>
                  <w14:solidFill>
                    <w14:schemeClr w14:val="tx1"/>
                  </w14:solidFill>
                </w14:textFill>
              </w:rPr>
              <w:t>+1.0</w:t>
            </w:r>
            <w:r>
              <w:rPr>
                <w:rFonts w:hint="eastAsia" w:ascii="宋体" w:hAnsi="宋体" w:eastAsia="宋体" w:cs="Times New Roman"/>
                <w:color w:val="000000" w:themeColor="text1"/>
                <w:sz w:val="24"/>
                <w:highlight w:val="none"/>
                <w14:textFill>
                  <w14:solidFill>
                    <w14:schemeClr w14:val="tx1"/>
                  </w14:solidFill>
                </w14:textFill>
              </w:rPr>
              <w:t>m</w:t>
            </w:r>
            <w:r>
              <w:rPr>
                <w:rFonts w:hint="eastAsia" w:ascii="宋体" w:hAnsi="宋体" w:eastAsia="宋体" w:cs="Times New Roman"/>
                <w:color w:val="000000" w:themeColor="text1"/>
                <w:sz w:val="24"/>
                <w:highlight w:val="none"/>
                <w:lang w:val="en-US" w:eastAsia="zh-CN"/>
                <w14:textFill>
                  <w14:solidFill>
                    <w14:schemeClr w14:val="tx1"/>
                  </w14:solidFill>
                </w14:textFill>
              </w:rPr>
              <w:t>绿化带</w:t>
            </w:r>
            <w:r>
              <w:rPr>
                <w:rFonts w:hint="eastAsia" w:ascii="宋体" w:hAnsi="宋体" w:eastAsia="宋体" w:cs="Times New Roman"/>
                <w:color w:val="000000" w:themeColor="text1"/>
                <w:sz w:val="24"/>
                <w:highlight w:val="none"/>
                <w14:textFill>
                  <w14:solidFill>
                    <w14:schemeClr w14:val="tx1"/>
                  </w14:solidFill>
                </w14:textFill>
              </w:rPr>
              <w:t>+</w:t>
            </w:r>
            <w:r>
              <w:rPr>
                <w:rFonts w:hint="eastAsia" w:ascii="宋体" w:hAnsi="宋体" w:eastAsia="宋体" w:cs="Times New Roman"/>
                <w:color w:val="000000" w:themeColor="text1"/>
                <w:sz w:val="24"/>
                <w:highlight w:val="none"/>
                <w:lang w:val="en-US" w:eastAsia="zh-CN"/>
                <w14:textFill>
                  <w14:solidFill>
                    <w14:schemeClr w14:val="tx1"/>
                  </w14:solidFill>
                </w14:textFill>
              </w:rPr>
              <w:t>7.5</w:t>
            </w:r>
            <w:r>
              <w:rPr>
                <w:rFonts w:hint="eastAsia" w:ascii="宋体" w:hAnsi="宋体" w:eastAsia="宋体" w:cs="Times New Roman"/>
                <w:color w:val="000000" w:themeColor="text1"/>
                <w:sz w:val="24"/>
                <w:highlight w:val="none"/>
                <w14:textFill>
                  <w14:solidFill>
                    <w14:schemeClr w14:val="tx1"/>
                  </w14:solidFill>
                </w14:textFill>
              </w:rPr>
              <w:t>m车行道</w:t>
            </w:r>
            <w:r>
              <w:rPr>
                <w:rFonts w:hint="eastAsia" w:ascii="宋体" w:hAnsi="宋体" w:eastAsia="宋体" w:cs="Times New Roman"/>
                <w:color w:val="000000" w:themeColor="text1"/>
                <w:sz w:val="24"/>
                <w:highlight w:val="none"/>
                <w:lang w:val="en-US" w:eastAsia="zh-CN"/>
                <w14:textFill>
                  <w14:solidFill>
                    <w14:schemeClr w14:val="tx1"/>
                  </w14:solidFill>
                </w14:textFill>
              </w:rPr>
              <w:t>+</w:t>
            </w:r>
            <w:r>
              <w:rPr>
                <w:rFonts w:hint="eastAsia" w:ascii="宋体" w:hAnsi="宋体" w:eastAsia="宋体" w:cs="Times New Roman"/>
                <w:color w:val="000000" w:themeColor="text1"/>
                <w:sz w:val="24"/>
                <w:highlight w:val="none"/>
                <w14:textFill>
                  <w14:solidFill>
                    <w14:schemeClr w14:val="tx1"/>
                  </w14:solidFill>
                </w14:textFill>
              </w:rPr>
              <w:t>4m人行道。</w:t>
            </w:r>
          </w:p>
          <w:p>
            <w:pPr>
              <w:keepNext w:val="0"/>
              <w:keepLines w:val="0"/>
              <w:suppressLineNumbers w:val="0"/>
              <w:spacing w:before="0" w:beforeAutospacing="0" w:after="0" w:afterAutospacing="0" w:line="460" w:lineRule="exact"/>
              <w:ind w:left="0" w:right="0" w:firstLine="480" w:firstLineChars="200"/>
              <w:rPr>
                <w:rFonts w:hint="eastAsia" w:ascii="宋体" w:hAnsi="宋体"/>
                <w:color w:val="000000" w:themeColor="text1"/>
                <w:sz w:val="24"/>
                <w:highlight w:val="none"/>
                <w14:textFill>
                  <w14:solidFill>
                    <w14:schemeClr w14:val="tx1"/>
                  </w14:solidFill>
                </w14:textFill>
              </w:rPr>
            </w:pPr>
          </w:p>
          <w:p>
            <w:pPr>
              <w:pStyle w:val="3"/>
              <w:suppressLineNumbers w:val="0"/>
              <w:ind w:left="0" w:right="0"/>
              <w:rPr>
                <w:rFonts w:hint="eastAsia"/>
                <w:color w:val="000000" w:themeColor="text1"/>
                <w:highlight w:val="none"/>
                <w14:textFill>
                  <w14:solidFill>
                    <w14:schemeClr w14:val="tx1"/>
                  </w14:solidFill>
                </w14:textFill>
              </w:rPr>
            </w:pPr>
          </w:p>
          <w:p>
            <w:pPr>
              <w:keepNext w:val="0"/>
              <w:keepLines w:val="0"/>
              <w:suppressLineNumbers w:val="0"/>
              <w:spacing w:before="0" w:beforeAutospacing="0" w:after="0" w:afterAutospacing="0" w:line="460" w:lineRule="exact"/>
              <w:ind w:left="0" w:right="0" w:firstLine="480" w:firstLineChars="200"/>
              <w:rPr>
                <w:rFonts w:hint="eastAsia" w:ascii="宋体" w:hAnsi="宋体"/>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line="460" w:lineRule="exact"/>
              <w:ind w:left="0" w:right="0" w:firstLine="480" w:firstLineChars="200"/>
              <w:rPr>
                <w:rFonts w:hint="eastAsia" w:ascii="宋体" w:hAnsi="宋体"/>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line="460" w:lineRule="exact"/>
              <w:ind w:left="0" w:right="0" w:firstLine="480" w:firstLineChars="200"/>
              <w:rPr>
                <w:rFonts w:hint="eastAsia" w:ascii="宋体" w:hAnsi="宋体"/>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line="460" w:lineRule="exact"/>
              <w:ind w:left="0" w:right="0" w:firstLine="480" w:firstLineChars="200"/>
              <w:rPr>
                <w:rFonts w:hint="eastAsia" w:ascii="宋体" w:hAnsi="宋体"/>
                <w:color w:val="000000" w:themeColor="text1"/>
                <w:sz w:val="24"/>
                <w:highlight w:val="none"/>
                <w14:textFill>
                  <w14:solidFill>
                    <w14:schemeClr w14:val="tx1"/>
                  </w14:solidFill>
                </w14:textFill>
              </w:rPr>
            </w:pP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图2-4  50.5m宽标准断面图</w:t>
            </w:r>
          </w:p>
          <w:p>
            <w:pPr>
              <w:pStyle w:val="83"/>
              <w:widowControl/>
              <w:spacing w:line="360" w:lineRule="auto"/>
              <w:ind w:left="0" w:firstLine="482"/>
              <w:jc w:val="left"/>
              <w:rPr>
                <w:rFonts w:hint="eastAsia" w:ascii="宋体" w:hAnsi="宋体" w:eastAsia="宋体" w:cs="Times New Roman"/>
                <w:color w:val="000000" w:themeColor="text1"/>
                <w:sz w:val="24"/>
                <w:highlight w:val="none"/>
                <w:lang w:eastAsia="zh-CN"/>
                <w14:textFill>
                  <w14:solidFill>
                    <w14:schemeClr w14:val="tx1"/>
                  </w14:solidFill>
                </w14:textFill>
              </w:rPr>
            </w:pPr>
            <w:r>
              <w:rPr>
                <w:rFonts w:hint="eastAsia" w:ascii="宋体" w:hAnsi="宋体" w:eastAsia="宋体" w:cs="Times New Roman"/>
                <w:color w:val="000000" w:themeColor="text1"/>
                <w:sz w:val="24"/>
                <w:highlight w:val="none"/>
                <w:lang w:eastAsia="zh-CN"/>
                <w14:textFill>
                  <w14:solidFill>
                    <w14:schemeClr w14:val="tx1"/>
                  </w14:solidFill>
                </w14:textFill>
              </w:rPr>
              <w:drawing>
                <wp:anchor distT="0" distB="0" distL="114300" distR="114300" simplePos="0" relativeHeight="251678720" behindDoc="0" locked="0" layoutInCell="1" allowOverlap="1">
                  <wp:simplePos x="0" y="0"/>
                  <wp:positionH relativeFrom="column">
                    <wp:posOffset>382270</wp:posOffset>
                  </wp:positionH>
                  <wp:positionV relativeFrom="paragraph">
                    <wp:posOffset>497840</wp:posOffset>
                  </wp:positionV>
                  <wp:extent cx="4042410" cy="2339340"/>
                  <wp:effectExtent l="0" t="0" r="11430" b="7620"/>
                  <wp:wrapNone/>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18"/>
                          <a:stretch>
                            <a:fillRect/>
                          </a:stretch>
                        </pic:blipFill>
                        <pic:spPr>
                          <a:xfrm>
                            <a:off x="0" y="0"/>
                            <a:ext cx="4042410" cy="2339340"/>
                          </a:xfrm>
                          <a:prstGeom prst="rect">
                            <a:avLst/>
                          </a:prstGeom>
                          <a:noFill/>
                          <a:ln>
                            <a:noFill/>
                          </a:ln>
                        </pic:spPr>
                      </pic:pic>
                    </a:graphicData>
                  </a:graphic>
                </wp:anchor>
              </w:drawing>
            </w:r>
            <w:r>
              <w:rPr>
                <w:rFonts w:hint="eastAsia" w:ascii="宋体" w:hAnsi="宋体" w:eastAsia="宋体" w:cs="Times New Roman"/>
                <w:color w:val="000000" w:themeColor="text1"/>
                <w:sz w:val="24"/>
                <w:highlight w:val="none"/>
                <w:lang w:eastAsia="zh-CN"/>
                <w14:textFill>
                  <w14:solidFill>
                    <w14:schemeClr w14:val="tx1"/>
                  </w14:solidFill>
                </w14:textFill>
              </w:rPr>
              <w:t>（</w:t>
            </w:r>
            <w:r>
              <w:rPr>
                <w:rFonts w:hint="eastAsia" w:ascii="宋体" w:hAnsi="宋体" w:eastAsia="宋体" w:cs="Times New Roman"/>
                <w:color w:val="000000" w:themeColor="text1"/>
                <w:sz w:val="24"/>
                <w:highlight w:val="none"/>
                <w:lang w:val="en-US" w:eastAsia="zh-CN"/>
                <w14:textFill>
                  <w14:solidFill>
                    <w14:schemeClr w14:val="tx1"/>
                  </w14:solidFill>
                </w14:textFill>
              </w:rPr>
              <w:t>2）</w:t>
            </w:r>
            <w:r>
              <w:rPr>
                <w:rFonts w:hint="eastAsia" w:ascii="宋体" w:hAnsi="宋体" w:eastAsia="宋体" w:cs="Times New Roman"/>
                <w:color w:val="000000" w:themeColor="text1"/>
                <w:sz w:val="24"/>
                <w:highlight w:val="none"/>
                <w:lang w:eastAsia="zh-CN"/>
                <w14:textFill>
                  <w14:solidFill>
                    <w14:schemeClr w14:val="tx1"/>
                  </w14:solidFill>
                </w14:textFill>
              </w:rPr>
              <w:t>K0+499.853～K0+736.39</w:t>
            </w:r>
            <w:r>
              <w:rPr>
                <w:rFonts w:hint="eastAsia" w:ascii="宋体" w:hAnsi="宋体" w:eastAsia="宋体" w:cs="Times New Roman"/>
                <w:color w:val="000000" w:themeColor="text1"/>
                <w:sz w:val="24"/>
                <w:highlight w:val="none"/>
                <w:lang w:val="en-US" w:eastAsia="zh-CN"/>
                <w14:textFill>
                  <w14:solidFill>
                    <w14:schemeClr w14:val="tx1"/>
                  </w14:solidFill>
                </w14:textFill>
              </w:rPr>
              <w:t>0</w:t>
            </w:r>
            <w:r>
              <w:rPr>
                <w:rFonts w:hint="eastAsia" w:ascii="宋体" w:hAnsi="宋体" w:eastAsia="宋体" w:cs="Times New Roman"/>
                <w:color w:val="000000" w:themeColor="text1"/>
                <w:sz w:val="24"/>
                <w:highlight w:val="none"/>
                <w:lang w:eastAsia="zh-CN"/>
                <w14:textFill>
                  <w14:solidFill>
                    <w14:schemeClr w14:val="tx1"/>
                  </w14:solidFill>
                </w14:textFill>
              </w:rPr>
              <w:t>段标准断面：</w:t>
            </w:r>
            <w:r>
              <w:rPr>
                <w:rFonts w:hint="eastAsia" w:ascii="宋体" w:hAnsi="宋体" w:eastAsia="宋体" w:cs="Times New Roman"/>
                <w:color w:val="000000" w:themeColor="text1"/>
                <w:sz w:val="24"/>
                <w:highlight w:val="none"/>
                <w:lang w:val="en-US" w:eastAsia="zh-CN"/>
                <w14:textFill>
                  <w14:solidFill>
                    <w14:schemeClr w14:val="tx1"/>
                  </w14:solidFill>
                </w14:textFill>
              </w:rPr>
              <w:t>47.5</w:t>
            </w:r>
            <w:r>
              <w:rPr>
                <w:rFonts w:hint="eastAsia" w:ascii="宋体" w:hAnsi="宋体" w:eastAsia="宋体" w:cs="Times New Roman"/>
                <w:color w:val="000000" w:themeColor="text1"/>
                <w:sz w:val="24"/>
                <w:highlight w:val="none"/>
                <w:lang w:eastAsia="zh-CN"/>
                <w14:textFill>
                  <w14:solidFill>
                    <w14:schemeClr w14:val="tx1"/>
                  </w14:solidFill>
                </w14:textFill>
              </w:rPr>
              <w:t>m路幅宽=</w:t>
            </w:r>
            <w:r>
              <w:rPr>
                <w:rFonts w:hint="eastAsia" w:ascii="宋体" w:hAnsi="宋体" w:eastAsia="宋体" w:cs="Times New Roman"/>
                <w:color w:val="000000" w:themeColor="text1"/>
                <w:sz w:val="24"/>
                <w:highlight w:val="none"/>
                <w:lang w:val="en-US" w:eastAsia="zh-CN"/>
                <w14:textFill>
                  <w14:solidFill>
                    <w14:schemeClr w14:val="tx1"/>
                  </w14:solidFill>
                </w14:textFill>
              </w:rPr>
              <w:t>4</w:t>
            </w:r>
            <w:r>
              <w:rPr>
                <w:rFonts w:hint="eastAsia" w:ascii="宋体" w:hAnsi="宋体" w:eastAsia="宋体" w:cs="Times New Roman"/>
                <w:color w:val="000000" w:themeColor="text1"/>
                <w:sz w:val="24"/>
                <w:highlight w:val="none"/>
                <w:lang w:eastAsia="zh-CN"/>
                <w14:textFill>
                  <w14:solidFill>
                    <w14:schemeClr w14:val="tx1"/>
                  </w14:solidFill>
                </w14:textFill>
              </w:rPr>
              <w:t>.</w:t>
            </w:r>
            <w:r>
              <w:rPr>
                <w:rFonts w:hint="eastAsia" w:ascii="宋体" w:hAnsi="宋体" w:eastAsia="宋体" w:cs="Times New Roman"/>
                <w:color w:val="000000" w:themeColor="text1"/>
                <w:sz w:val="24"/>
                <w:highlight w:val="none"/>
                <w:lang w:val="en-US" w:eastAsia="zh-CN"/>
                <w14:textFill>
                  <w14:solidFill>
                    <w14:schemeClr w14:val="tx1"/>
                  </w14:solidFill>
                </w14:textFill>
              </w:rPr>
              <w:t>0</w:t>
            </w:r>
            <w:r>
              <w:rPr>
                <w:rFonts w:hint="eastAsia" w:ascii="宋体" w:hAnsi="宋体" w:eastAsia="宋体" w:cs="Times New Roman"/>
                <w:color w:val="000000" w:themeColor="text1"/>
                <w:sz w:val="24"/>
                <w:highlight w:val="none"/>
                <w:lang w:eastAsia="zh-CN"/>
                <w14:textFill>
                  <w14:solidFill>
                    <w14:schemeClr w14:val="tx1"/>
                  </w14:solidFill>
                </w14:textFill>
              </w:rPr>
              <w:t>m人行道+</w:t>
            </w:r>
            <w:r>
              <w:rPr>
                <w:rFonts w:hint="eastAsia" w:ascii="宋体" w:hAnsi="宋体" w:eastAsia="宋体" w:cs="Times New Roman"/>
                <w:color w:val="000000" w:themeColor="text1"/>
                <w:sz w:val="24"/>
                <w:highlight w:val="none"/>
                <w:lang w:val="en-US" w:eastAsia="zh-CN"/>
                <w14:textFill>
                  <w14:solidFill>
                    <w14:schemeClr w14:val="tx1"/>
                  </w14:solidFill>
                </w14:textFill>
              </w:rPr>
              <w:t>14.5</w:t>
            </w:r>
            <w:r>
              <w:rPr>
                <w:rFonts w:hint="eastAsia" w:ascii="宋体" w:hAnsi="宋体" w:eastAsia="宋体" w:cs="Times New Roman"/>
                <w:color w:val="000000" w:themeColor="text1"/>
                <w:sz w:val="24"/>
                <w:highlight w:val="none"/>
                <w:lang w:eastAsia="zh-CN"/>
                <w14:textFill>
                  <w14:solidFill>
                    <w14:schemeClr w14:val="tx1"/>
                  </w14:solidFill>
                </w14:textFill>
              </w:rPr>
              <w:t>m车行道+10.5m中央分隔带+</w:t>
            </w:r>
            <w:r>
              <w:rPr>
                <w:rFonts w:hint="eastAsia" w:ascii="宋体" w:hAnsi="宋体" w:eastAsia="宋体" w:cs="Times New Roman"/>
                <w:color w:val="000000" w:themeColor="text1"/>
                <w:sz w:val="24"/>
                <w:highlight w:val="none"/>
                <w:lang w:val="en-US" w:eastAsia="zh-CN"/>
                <w14:textFill>
                  <w14:solidFill>
                    <w14:schemeClr w14:val="tx1"/>
                  </w14:solidFill>
                </w14:textFill>
              </w:rPr>
              <w:t>14.5</w:t>
            </w:r>
            <w:r>
              <w:rPr>
                <w:rFonts w:hint="eastAsia" w:ascii="宋体" w:hAnsi="宋体" w:eastAsia="宋体" w:cs="Times New Roman"/>
                <w:color w:val="000000" w:themeColor="text1"/>
                <w:sz w:val="24"/>
                <w:highlight w:val="none"/>
                <w:lang w:eastAsia="zh-CN"/>
                <w14:textFill>
                  <w14:solidFill>
                    <w14:schemeClr w14:val="tx1"/>
                  </w14:solidFill>
                </w14:textFill>
              </w:rPr>
              <w:t>m车行道+</w:t>
            </w:r>
            <w:r>
              <w:rPr>
                <w:rFonts w:hint="eastAsia" w:ascii="宋体" w:hAnsi="宋体" w:eastAsia="宋体" w:cs="Times New Roman"/>
                <w:color w:val="000000" w:themeColor="text1"/>
                <w:sz w:val="24"/>
                <w:highlight w:val="none"/>
                <w:lang w:val="en-US" w:eastAsia="zh-CN"/>
                <w14:textFill>
                  <w14:solidFill>
                    <w14:schemeClr w14:val="tx1"/>
                  </w14:solidFill>
                </w14:textFill>
              </w:rPr>
              <w:t>4</w:t>
            </w:r>
            <w:r>
              <w:rPr>
                <w:rFonts w:hint="eastAsia" w:ascii="宋体" w:hAnsi="宋体" w:eastAsia="宋体" w:cs="Times New Roman"/>
                <w:color w:val="000000" w:themeColor="text1"/>
                <w:sz w:val="24"/>
                <w:highlight w:val="none"/>
                <w:lang w:eastAsia="zh-CN"/>
                <w14:textFill>
                  <w14:solidFill>
                    <w14:schemeClr w14:val="tx1"/>
                  </w14:solidFill>
                </w14:textFill>
              </w:rPr>
              <w:t>.</w:t>
            </w:r>
            <w:r>
              <w:rPr>
                <w:rFonts w:hint="eastAsia" w:ascii="宋体" w:hAnsi="宋体" w:eastAsia="宋体" w:cs="Times New Roman"/>
                <w:color w:val="000000" w:themeColor="text1"/>
                <w:sz w:val="24"/>
                <w:highlight w:val="none"/>
                <w:lang w:val="en-US" w:eastAsia="zh-CN"/>
                <w14:textFill>
                  <w14:solidFill>
                    <w14:schemeClr w14:val="tx1"/>
                  </w14:solidFill>
                </w14:textFill>
              </w:rPr>
              <w:t>0</w:t>
            </w:r>
            <w:r>
              <w:rPr>
                <w:rFonts w:hint="eastAsia" w:ascii="宋体" w:hAnsi="宋体" w:eastAsia="宋体" w:cs="Times New Roman"/>
                <w:color w:val="000000" w:themeColor="text1"/>
                <w:sz w:val="24"/>
                <w:highlight w:val="none"/>
                <w:lang w:eastAsia="zh-CN"/>
                <w14:textFill>
                  <w14:solidFill>
                    <w14:schemeClr w14:val="tx1"/>
                  </w14:solidFill>
                </w14:textFill>
              </w:rPr>
              <w:t>m人行道；上部跨线桥宽25</w:t>
            </w:r>
            <w:r>
              <w:rPr>
                <w:rFonts w:hint="eastAsia" w:ascii="宋体" w:hAnsi="宋体" w:eastAsia="宋体" w:cs="Times New Roman"/>
                <w:color w:val="000000" w:themeColor="text1"/>
                <w:sz w:val="24"/>
                <w:highlight w:val="none"/>
                <w:lang w:val="en-US" w:eastAsia="zh-CN"/>
                <w14:textFill>
                  <w14:solidFill>
                    <w14:schemeClr w14:val="tx1"/>
                  </w14:solidFill>
                </w14:textFill>
              </w:rPr>
              <w:t>.5</w:t>
            </w:r>
            <w:r>
              <w:rPr>
                <w:rFonts w:hint="eastAsia" w:ascii="宋体" w:hAnsi="宋体" w:eastAsia="宋体" w:cs="Times New Roman"/>
                <w:color w:val="000000" w:themeColor="text1"/>
                <w:sz w:val="24"/>
                <w:highlight w:val="none"/>
                <w:lang w:eastAsia="zh-CN"/>
                <w14:textFill>
                  <w14:solidFill>
                    <w14:schemeClr w14:val="tx1"/>
                  </w14:solidFill>
                </w14:textFill>
              </w:rPr>
              <w:t>m。</w:t>
            </w:r>
          </w:p>
          <w:p>
            <w:pPr>
              <w:pStyle w:val="33"/>
              <w:keepNext w:val="0"/>
              <w:keepLines w:val="0"/>
              <w:widowControl w:val="0"/>
              <w:numPr>
                <w:ilvl w:val="0"/>
                <w:numId w:val="0"/>
              </w:numPr>
              <w:suppressLineNumbers w:val="0"/>
              <w:spacing w:before="0" w:beforeAutospacing="0" w:after="0" w:afterAutospacing="0" w:line="360" w:lineRule="auto"/>
              <w:ind w:left="0" w:right="0"/>
              <w:jc w:val="both"/>
              <w:rPr>
                <w:rFonts w:hint="eastAsia"/>
                <w:color w:val="000000" w:themeColor="text1"/>
                <w:highlight w:val="none"/>
                <w14:textFill>
                  <w14:solidFill>
                    <w14:schemeClr w14:val="tx1"/>
                  </w14:solidFill>
                </w14:textFill>
              </w:rPr>
            </w:pPr>
          </w:p>
          <w:p>
            <w:pPr>
              <w:keepNext w:val="0"/>
              <w:keepLines w:val="0"/>
              <w:suppressLineNumbers w:val="0"/>
              <w:spacing w:before="0" w:beforeAutospacing="0" w:after="0" w:afterAutospacing="0"/>
              <w:ind w:left="0" w:right="0"/>
              <w:rPr>
                <w:rFonts w:hint="eastAsia"/>
                <w:color w:val="000000" w:themeColor="text1"/>
                <w:highlight w:val="none"/>
                <w14:textFill>
                  <w14:solidFill>
                    <w14:schemeClr w14:val="tx1"/>
                  </w14:solidFill>
                </w14:textFill>
              </w:rPr>
            </w:pPr>
          </w:p>
          <w:p>
            <w:pPr>
              <w:pStyle w:val="33"/>
              <w:keepNext w:val="0"/>
              <w:keepLines w:val="0"/>
              <w:suppressLineNumbers w:val="0"/>
              <w:spacing w:before="0" w:beforeAutospacing="0" w:after="0" w:afterAutospacing="0"/>
              <w:ind w:left="0" w:right="0"/>
              <w:rPr>
                <w:rFonts w:hint="eastAsia"/>
                <w:color w:val="000000" w:themeColor="text1"/>
                <w:highlight w:val="none"/>
                <w14:textFill>
                  <w14:solidFill>
                    <w14:schemeClr w14:val="tx1"/>
                  </w14:solidFill>
                </w14:textFill>
              </w:rPr>
            </w:pPr>
          </w:p>
          <w:p>
            <w:pPr>
              <w:keepNext w:val="0"/>
              <w:keepLines w:val="0"/>
              <w:suppressLineNumbers w:val="0"/>
              <w:spacing w:before="0" w:beforeAutospacing="0" w:after="0" w:afterAutospacing="0"/>
              <w:ind w:left="0" w:right="0"/>
              <w:rPr>
                <w:rFonts w:hint="eastAsia"/>
                <w:color w:val="000000" w:themeColor="text1"/>
                <w:highlight w:val="none"/>
                <w14:textFill>
                  <w14:solidFill>
                    <w14:schemeClr w14:val="tx1"/>
                  </w14:solidFill>
                </w14:textFill>
              </w:rPr>
            </w:pPr>
          </w:p>
          <w:p>
            <w:pPr>
              <w:pStyle w:val="33"/>
              <w:keepNext w:val="0"/>
              <w:keepLines w:val="0"/>
              <w:suppressLineNumbers w:val="0"/>
              <w:spacing w:before="0" w:beforeAutospacing="0" w:after="0" w:afterAutospacing="0"/>
              <w:ind w:left="0" w:right="0"/>
              <w:rPr>
                <w:rFonts w:hint="eastAsia"/>
                <w:color w:val="000000" w:themeColor="text1"/>
                <w:highlight w:val="none"/>
                <w14:textFill>
                  <w14:solidFill>
                    <w14:schemeClr w14:val="tx1"/>
                  </w14:solidFill>
                </w14:textFill>
              </w:rPr>
            </w:pPr>
          </w:p>
          <w:p>
            <w:pPr>
              <w:keepNext w:val="0"/>
              <w:keepLines w:val="0"/>
              <w:suppressLineNumbers w:val="0"/>
              <w:spacing w:before="0" w:beforeAutospacing="0" w:after="0" w:afterAutospacing="0"/>
              <w:ind w:left="0" w:right="0"/>
              <w:rPr>
                <w:rFonts w:hint="eastAsia"/>
                <w:color w:val="000000" w:themeColor="text1"/>
                <w:highlight w:val="none"/>
                <w14:textFill>
                  <w14:solidFill>
                    <w14:schemeClr w14:val="tx1"/>
                  </w14:solidFill>
                </w14:textFill>
              </w:rPr>
            </w:pPr>
          </w:p>
          <w:p>
            <w:pPr>
              <w:pStyle w:val="33"/>
              <w:keepNext w:val="0"/>
              <w:keepLines w:val="0"/>
              <w:suppressLineNumbers w:val="0"/>
              <w:spacing w:before="0" w:beforeAutospacing="0" w:after="0" w:afterAutospacing="0"/>
              <w:ind w:left="0" w:right="0"/>
              <w:rPr>
                <w:rFonts w:hint="eastAsia"/>
                <w:color w:val="000000" w:themeColor="text1"/>
                <w:highlight w:val="none"/>
                <w14:textFill>
                  <w14:solidFill>
                    <w14:schemeClr w14:val="tx1"/>
                  </w14:solidFill>
                </w14:textFill>
              </w:rPr>
            </w:pPr>
          </w:p>
          <w:p>
            <w:pPr>
              <w:keepNext w:val="0"/>
              <w:keepLines w:val="0"/>
              <w:suppressLineNumbers w:val="0"/>
              <w:spacing w:before="0" w:beforeAutospacing="0" w:after="0" w:afterAutospacing="0"/>
              <w:ind w:left="0" w:right="0"/>
              <w:rPr>
                <w:rFonts w:hint="eastAsia"/>
                <w:color w:val="000000" w:themeColor="text1"/>
                <w:highlight w:val="none"/>
                <w14:textFill>
                  <w14:solidFill>
                    <w14:schemeClr w14:val="tx1"/>
                  </w14:solidFill>
                </w14:textFill>
              </w:rPr>
            </w:pPr>
          </w:p>
          <w:p>
            <w:pPr>
              <w:pStyle w:val="33"/>
              <w:keepNext w:val="0"/>
              <w:keepLines w:val="0"/>
              <w:suppressLineNumbers w:val="0"/>
              <w:spacing w:before="0" w:beforeAutospacing="0" w:after="0" w:afterAutospacing="0"/>
              <w:ind w:left="0" w:right="0"/>
              <w:rPr>
                <w:rFonts w:hint="eastAsia"/>
                <w:color w:val="000000" w:themeColor="text1"/>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color w:val="000000" w:themeColor="text1"/>
                <w:szCs w:val="28"/>
                <w:highlight w:val="none"/>
                <w14:textFill>
                  <w14:solidFill>
                    <w14:schemeClr w14:val="tx1"/>
                  </w14:solidFill>
                </w14:textFill>
              </w:rPr>
            </w:pP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图2-5  47.5m宽标准断面图</w:t>
            </w:r>
          </w:p>
          <w:p>
            <w:pPr>
              <w:pStyle w:val="83"/>
              <w:widowControl/>
              <w:spacing w:line="360" w:lineRule="auto"/>
              <w:ind w:left="0" w:firstLine="482"/>
              <w:jc w:val="left"/>
              <w:rPr>
                <w:rFonts w:hint="eastAsia" w:ascii="宋体" w:hAnsi="宋体" w:eastAsia="宋体" w:cs="Times New Roman"/>
                <w:color w:val="000000" w:themeColor="text1"/>
                <w:sz w:val="24"/>
                <w:highlight w:val="none"/>
                <w:lang w:eastAsia="zh-CN"/>
                <w14:textFill>
                  <w14:solidFill>
                    <w14:schemeClr w14:val="tx1"/>
                  </w14:solidFill>
                </w14:textFill>
              </w:rPr>
            </w:pPr>
            <w:r>
              <w:rPr>
                <w:rFonts w:hint="eastAsia" w:ascii="宋体" w:hAnsi="宋体" w:eastAsia="宋体" w:cs="Times New Roman"/>
                <w:color w:val="000000" w:themeColor="text1"/>
                <w:sz w:val="24"/>
                <w:highlight w:val="none"/>
                <w:lang w:val="en-US" w:eastAsia="zh-CN"/>
                <w14:textFill>
                  <w14:solidFill>
                    <w14:schemeClr w14:val="tx1"/>
                  </w14:solidFill>
                </w14:textFill>
              </w:rPr>
              <w:t>（3）</w:t>
            </w:r>
            <w:r>
              <w:rPr>
                <w:rFonts w:hint="eastAsia" w:ascii="宋体" w:hAnsi="宋体" w:eastAsia="宋体" w:cs="Times New Roman"/>
                <w:color w:val="000000" w:themeColor="text1"/>
                <w:sz w:val="24"/>
                <w:highlight w:val="none"/>
                <w:lang w:eastAsia="zh-CN"/>
                <w14:textFill>
                  <w14:solidFill>
                    <w14:schemeClr w14:val="tx1"/>
                  </w14:solidFill>
                </w14:textFill>
              </w:rPr>
              <w:t>上、下匝道段K0+736.390～K0+795.805（</w:t>
            </w:r>
            <w:r>
              <w:rPr>
                <w:rFonts w:hint="eastAsia" w:ascii="宋体" w:hAnsi="宋体" w:eastAsia="宋体" w:cs="Times New Roman"/>
                <w:color w:val="000000" w:themeColor="text1"/>
                <w:sz w:val="24"/>
                <w:highlight w:val="none"/>
                <w:lang w:val="en-US" w:eastAsia="zh-CN"/>
                <w14:textFill>
                  <w14:solidFill>
                    <w14:schemeClr w14:val="tx1"/>
                  </w14:solidFill>
                </w14:textFill>
              </w:rPr>
              <w:t>挡墙段</w:t>
            </w:r>
            <w:r>
              <w:rPr>
                <w:rFonts w:hint="eastAsia" w:ascii="宋体" w:hAnsi="宋体" w:eastAsia="宋体" w:cs="Times New Roman"/>
                <w:color w:val="000000" w:themeColor="text1"/>
                <w:sz w:val="24"/>
                <w:highlight w:val="none"/>
                <w:lang w:eastAsia="zh-CN"/>
                <w14:textFill>
                  <w14:solidFill>
                    <w14:schemeClr w14:val="tx1"/>
                  </w14:solidFill>
                </w14:textFill>
              </w:rPr>
              <w:t>）K0+795.805～K1+042.103（</w:t>
            </w:r>
            <w:r>
              <w:rPr>
                <w:rFonts w:hint="eastAsia" w:ascii="宋体" w:hAnsi="宋体" w:eastAsia="宋体" w:cs="Times New Roman"/>
                <w:color w:val="000000" w:themeColor="text1"/>
                <w:sz w:val="24"/>
                <w:highlight w:val="none"/>
                <w:lang w:val="en-US" w:eastAsia="zh-CN"/>
                <w14:textFill>
                  <w14:solidFill>
                    <w14:schemeClr w14:val="tx1"/>
                  </w14:solidFill>
                </w14:textFill>
              </w:rPr>
              <w:t>桥梁段</w:t>
            </w:r>
            <w:r>
              <w:rPr>
                <w:rFonts w:hint="eastAsia" w:ascii="宋体" w:hAnsi="宋体" w:eastAsia="宋体" w:cs="Times New Roman"/>
                <w:color w:val="000000" w:themeColor="text1"/>
                <w:sz w:val="24"/>
                <w:highlight w:val="none"/>
                <w:lang w:eastAsia="zh-CN"/>
                <w14:textFill>
                  <w14:solidFill>
                    <w14:schemeClr w14:val="tx1"/>
                  </w14:solidFill>
                </w14:textFill>
              </w:rPr>
              <w:t>）标准断面：</w:t>
            </w:r>
            <w:r>
              <w:rPr>
                <w:rFonts w:hint="eastAsia" w:ascii="宋体" w:hAnsi="宋体" w:eastAsia="宋体" w:cs="Times New Roman"/>
                <w:color w:val="000000" w:themeColor="text1"/>
                <w:sz w:val="24"/>
                <w:highlight w:val="none"/>
                <w:lang w:val="en-US" w:eastAsia="zh-CN"/>
                <w14:textFill>
                  <w14:solidFill>
                    <w14:schemeClr w14:val="tx1"/>
                  </w14:solidFill>
                </w14:textFill>
              </w:rPr>
              <w:t>52.5</w:t>
            </w:r>
            <w:r>
              <w:rPr>
                <w:rFonts w:hint="eastAsia" w:ascii="宋体" w:hAnsi="宋体" w:eastAsia="宋体" w:cs="Times New Roman"/>
                <w:color w:val="000000" w:themeColor="text1"/>
                <w:sz w:val="24"/>
                <w:highlight w:val="none"/>
                <w:lang w:eastAsia="zh-CN"/>
                <w14:textFill>
                  <w14:solidFill>
                    <w14:schemeClr w14:val="tx1"/>
                  </w14:solidFill>
                </w14:textFill>
              </w:rPr>
              <w:t>m路幅宽=4m人行道+9m（</w:t>
            </w:r>
            <w:r>
              <w:rPr>
                <w:rFonts w:hint="eastAsia" w:ascii="宋体" w:hAnsi="宋体" w:eastAsia="宋体" w:cs="Times New Roman"/>
                <w:color w:val="000000" w:themeColor="text1"/>
                <w:sz w:val="24"/>
                <w:highlight w:val="none"/>
                <w:lang w:val="en-US" w:eastAsia="zh-CN"/>
                <w14:textFill>
                  <w14:solidFill>
                    <w14:schemeClr w14:val="tx1"/>
                  </w14:solidFill>
                </w14:textFill>
              </w:rPr>
              <w:t>挡墙</w:t>
            </w:r>
            <w:r>
              <w:rPr>
                <w:rFonts w:hint="eastAsia" w:ascii="宋体" w:hAnsi="宋体" w:eastAsia="宋体" w:cs="Times New Roman"/>
                <w:color w:val="000000" w:themeColor="text1"/>
                <w:sz w:val="24"/>
                <w:highlight w:val="none"/>
                <w:lang w:eastAsia="zh-CN"/>
                <w14:textFill>
                  <w14:solidFill>
                    <w14:schemeClr w14:val="tx1"/>
                  </w14:solidFill>
                </w14:textFill>
              </w:rPr>
              <w:t>）匝道桥+</w:t>
            </w:r>
            <w:r>
              <w:rPr>
                <w:rFonts w:hint="eastAsia" w:ascii="宋体" w:hAnsi="宋体" w:eastAsia="宋体" w:cs="Times New Roman"/>
                <w:color w:val="000000" w:themeColor="text1"/>
                <w:sz w:val="24"/>
                <w:highlight w:val="none"/>
                <w:lang w:val="en-US" w:eastAsia="zh-CN"/>
                <w14:textFill>
                  <w14:solidFill>
                    <w14:schemeClr w14:val="tx1"/>
                  </w14:solidFill>
                </w14:textFill>
              </w:rPr>
              <w:t>7.5</w:t>
            </w:r>
            <w:r>
              <w:rPr>
                <w:rFonts w:hint="eastAsia" w:ascii="宋体" w:hAnsi="宋体" w:eastAsia="宋体" w:cs="Times New Roman"/>
                <w:color w:val="000000" w:themeColor="text1"/>
                <w:sz w:val="24"/>
                <w:highlight w:val="none"/>
                <w:lang w:eastAsia="zh-CN"/>
                <w14:textFill>
                  <w14:solidFill>
                    <w14:schemeClr w14:val="tx1"/>
                  </w14:solidFill>
                </w14:textFill>
              </w:rPr>
              <w:t>m车行道+10.5m中央分隔带+</w:t>
            </w:r>
            <w:r>
              <w:rPr>
                <w:rFonts w:hint="eastAsia" w:ascii="宋体" w:hAnsi="宋体" w:eastAsia="宋体" w:cs="Times New Roman"/>
                <w:color w:val="000000" w:themeColor="text1"/>
                <w:sz w:val="24"/>
                <w:highlight w:val="none"/>
                <w:lang w:val="en-US" w:eastAsia="zh-CN"/>
                <w14:textFill>
                  <w14:solidFill>
                    <w14:schemeClr w14:val="tx1"/>
                  </w14:solidFill>
                </w14:textFill>
              </w:rPr>
              <w:t>7.5</w:t>
            </w:r>
            <w:r>
              <w:rPr>
                <w:rFonts w:hint="eastAsia" w:ascii="宋体" w:hAnsi="宋体" w:eastAsia="宋体" w:cs="Times New Roman"/>
                <w:color w:val="000000" w:themeColor="text1"/>
                <w:sz w:val="24"/>
                <w:highlight w:val="none"/>
                <w:lang w:eastAsia="zh-CN"/>
                <w14:textFill>
                  <w14:solidFill>
                    <w14:schemeClr w14:val="tx1"/>
                  </w14:solidFill>
                </w14:textFill>
              </w:rPr>
              <w:t>m车行道+9m（</w:t>
            </w:r>
            <w:r>
              <w:rPr>
                <w:rFonts w:hint="eastAsia" w:ascii="宋体" w:hAnsi="宋体" w:eastAsia="宋体" w:cs="Times New Roman"/>
                <w:color w:val="000000" w:themeColor="text1"/>
                <w:sz w:val="24"/>
                <w:highlight w:val="none"/>
                <w:lang w:val="en-US" w:eastAsia="zh-CN"/>
                <w14:textFill>
                  <w14:solidFill>
                    <w14:schemeClr w14:val="tx1"/>
                  </w14:solidFill>
                </w14:textFill>
              </w:rPr>
              <w:t>挡墙</w:t>
            </w:r>
            <w:r>
              <w:rPr>
                <w:rFonts w:hint="eastAsia" w:ascii="宋体" w:hAnsi="宋体" w:eastAsia="宋体" w:cs="Times New Roman"/>
                <w:color w:val="000000" w:themeColor="text1"/>
                <w:sz w:val="24"/>
                <w:highlight w:val="none"/>
                <w:lang w:eastAsia="zh-CN"/>
                <w14:textFill>
                  <w14:solidFill>
                    <w14:schemeClr w14:val="tx1"/>
                  </w14:solidFill>
                </w14:textFill>
              </w:rPr>
              <w:t>）匝道</w:t>
            </w:r>
            <w:r>
              <w:rPr>
                <w:rFonts w:hint="eastAsia" w:ascii="宋体" w:hAnsi="宋体" w:eastAsia="宋体" w:cs="Times New Roman"/>
                <w:color w:val="000000" w:themeColor="text1"/>
                <w:sz w:val="24"/>
                <w:highlight w:val="none"/>
                <w:lang w:val="en-US" w:eastAsia="zh-CN"/>
                <w14:textFill>
                  <w14:solidFill>
                    <w14:schemeClr w14:val="tx1"/>
                  </w14:solidFill>
                </w14:textFill>
              </w:rPr>
              <w:t>桥</w:t>
            </w:r>
            <w:r>
              <w:rPr>
                <w:rFonts w:hint="eastAsia" w:ascii="宋体" w:hAnsi="宋体" w:eastAsia="宋体" w:cs="Times New Roman"/>
                <w:color w:val="000000" w:themeColor="text1"/>
                <w:sz w:val="24"/>
                <w:highlight w:val="none"/>
                <w:lang w:eastAsia="zh-CN"/>
                <w14:textFill>
                  <w14:solidFill>
                    <w14:schemeClr w14:val="tx1"/>
                  </w14:solidFill>
                </w14:textFill>
              </w:rPr>
              <w:t>+4m人行道；上部跨线桥宽25</w:t>
            </w:r>
            <w:r>
              <w:rPr>
                <w:rFonts w:hint="eastAsia" w:ascii="宋体" w:hAnsi="宋体" w:eastAsia="宋体" w:cs="Times New Roman"/>
                <w:color w:val="000000" w:themeColor="text1"/>
                <w:sz w:val="24"/>
                <w:highlight w:val="none"/>
                <w:lang w:val="en-US" w:eastAsia="zh-CN"/>
                <w14:textFill>
                  <w14:solidFill>
                    <w14:schemeClr w14:val="tx1"/>
                  </w14:solidFill>
                </w14:textFill>
              </w:rPr>
              <w:t>.5</w:t>
            </w:r>
            <w:r>
              <w:rPr>
                <w:rFonts w:hint="eastAsia" w:ascii="宋体" w:hAnsi="宋体" w:eastAsia="宋体" w:cs="Times New Roman"/>
                <w:color w:val="000000" w:themeColor="text1"/>
                <w:sz w:val="24"/>
                <w:highlight w:val="none"/>
                <w:lang w:eastAsia="zh-CN"/>
                <w14:textFill>
                  <w14:solidFill>
                    <w14:schemeClr w14:val="tx1"/>
                  </w14:solidFill>
                </w14:textFill>
              </w:rPr>
              <w:t>m。</w:t>
            </w:r>
          </w:p>
          <w:p>
            <w:pPr>
              <w:pStyle w:val="33"/>
              <w:keepNext w:val="0"/>
              <w:keepLines w:val="0"/>
              <w:numPr>
                <w:ilvl w:val="0"/>
                <w:numId w:val="0"/>
              </w:numPr>
              <w:suppressLineNumbers w:val="0"/>
              <w:spacing w:before="0" w:beforeAutospacing="0" w:after="0" w:afterAutospacing="0"/>
              <w:ind w:left="0" w:right="0"/>
              <w:rPr>
                <w:color w:val="000000" w:themeColor="text1"/>
                <w:highlight w:val="none"/>
                <w14:textFill>
                  <w14:solidFill>
                    <w14:schemeClr w14:val="tx1"/>
                  </w14:solidFill>
                </w14:textFill>
              </w:rPr>
            </w:pPr>
          </w:p>
          <w:p>
            <w:pPr>
              <w:keepNext w:val="0"/>
              <w:keepLines w:val="0"/>
              <w:suppressLineNumbers w:val="0"/>
              <w:spacing w:before="0" w:beforeAutospacing="0" w:after="0" w:afterAutospacing="0"/>
              <w:ind w:left="0" w:right="0"/>
              <w:rPr>
                <w:color w:val="000000" w:themeColor="text1"/>
                <w:highlight w:val="none"/>
                <w14:textFill>
                  <w14:solidFill>
                    <w14:schemeClr w14:val="tx1"/>
                  </w14:solidFill>
                </w14:textFill>
              </w:rPr>
            </w:pPr>
          </w:p>
          <w:p>
            <w:pPr>
              <w:pStyle w:val="3"/>
              <w:suppressLineNumbers w:val="0"/>
              <w:ind w:left="0" w:right="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79744" behindDoc="0" locked="0" layoutInCell="1" allowOverlap="1">
                  <wp:simplePos x="0" y="0"/>
                  <wp:positionH relativeFrom="column">
                    <wp:posOffset>798195</wp:posOffset>
                  </wp:positionH>
                  <wp:positionV relativeFrom="paragraph">
                    <wp:posOffset>174625</wp:posOffset>
                  </wp:positionV>
                  <wp:extent cx="3461385" cy="1967865"/>
                  <wp:effectExtent l="0" t="0" r="13335" b="13335"/>
                  <wp:wrapNone/>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19"/>
                          <a:stretch>
                            <a:fillRect/>
                          </a:stretch>
                        </pic:blipFill>
                        <pic:spPr>
                          <a:xfrm>
                            <a:off x="0" y="0"/>
                            <a:ext cx="3461385" cy="1967865"/>
                          </a:xfrm>
                          <a:prstGeom prst="rect">
                            <a:avLst/>
                          </a:prstGeom>
                          <a:noFill/>
                          <a:ln>
                            <a:noFill/>
                          </a:ln>
                        </pic:spPr>
                      </pic:pic>
                    </a:graphicData>
                  </a:graphic>
                </wp:anchor>
              </w:drawing>
            </w:r>
          </w:p>
          <w:p>
            <w:pPr>
              <w:keepNext w:val="0"/>
              <w:keepLines w:val="0"/>
              <w:suppressLineNumbers w:val="0"/>
              <w:spacing w:before="0" w:beforeAutospacing="0" w:after="0" w:afterAutospacing="0"/>
              <w:ind w:left="0" w:right="0" w:firstLine="424" w:firstLineChars="202"/>
              <w:jc w:val="left"/>
              <w:rPr>
                <w:color w:val="000000" w:themeColor="text1"/>
                <w:szCs w:val="28"/>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80768" behindDoc="0" locked="0" layoutInCell="1" allowOverlap="1">
                  <wp:simplePos x="0" y="0"/>
                  <wp:positionH relativeFrom="column">
                    <wp:posOffset>838200</wp:posOffset>
                  </wp:positionH>
                  <wp:positionV relativeFrom="paragraph">
                    <wp:posOffset>14605</wp:posOffset>
                  </wp:positionV>
                  <wp:extent cx="3288665" cy="2072005"/>
                  <wp:effectExtent l="0" t="0" r="3175" b="635"/>
                  <wp:wrapNone/>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20"/>
                          <a:stretch>
                            <a:fillRect/>
                          </a:stretch>
                        </pic:blipFill>
                        <pic:spPr>
                          <a:xfrm>
                            <a:off x="0" y="0"/>
                            <a:ext cx="3288665" cy="2072005"/>
                          </a:xfrm>
                          <a:prstGeom prst="rect">
                            <a:avLst/>
                          </a:prstGeom>
                          <a:noFill/>
                          <a:ln>
                            <a:noFill/>
                          </a:ln>
                        </pic:spPr>
                      </pic:pic>
                    </a:graphicData>
                  </a:graphic>
                </wp:anchor>
              </w:drawing>
            </w: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图2-6  52.5m宽标准断面图</w:t>
            </w:r>
          </w:p>
          <w:p>
            <w:pPr>
              <w:pStyle w:val="83"/>
              <w:widowControl/>
              <w:spacing w:line="360" w:lineRule="auto"/>
              <w:ind w:left="0" w:firstLine="482"/>
              <w:jc w:val="left"/>
              <w:rPr>
                <w:rFonts w:hint="eastAsia" w:ascii="宋体" w:hAnsi="宋体" w:eastAsia="宋体" w:cs="Times New Roman"/>
                <w:color w:val="000000" w:themeColor="text1"/>
                <w:sz w:val="24"/>
                <w:highlight w:val="none"/>
                <w:lang w:eastAsia="zh-CN"/>
                <w14:textFill>
                  <w14:solidFill>
                    <w14:schemeClr w14:val="tx1"/>
                  </w14:solidFill>
                </w14:textFill>
              </w:rPr>
            </w:pPr>
            <w:r>
              <w:rPr>
                <w:rFonts w:hint="eastAsia" w:ascii="宋体" w:hAnsi="宋体" w:eastAsia="宋体" w:cs="Times New Roman"/>
                <w:color w:val="000000" w:themeColor="text1"/>
                <w:sz w:val="24"/>
                <w:highlight w:val="none"/>
                <w:lang w:val="en-US" w:eastAsia="zh-CN"/>
                <w14:textFill>
                  <w14:solidFill>
                    <w14:schemeClr w14:val="tx1"/>
                  </w14:solidFill>
                </w14:textFill>
              </w:rPr>
              <w:t>（4</w:t>
            </w:r>
            <w:r>
              <w:rPr>
                <w:rFonts w:hint="eastAsia" w:ascii="宋体" w:hAnsi="宋体" w:eastAsia="宋体" w:cs="Times New Roman"/>
                <w:color w:val="000000" w:themeColor="text1"/>
                <w:sz w:val="24"/>
                <w:highlight w:val="none"/>
                <w:lang w:eastAsia="zh-CN"/>
                <w14:textFill>
                  <w14:solidFill>
                    <w14:schemeClr w14:val="tx1"/>
                  </w14:solidFill>
                </w14:textFill>
              </w:rPr>
              <w:t>）K</w:t>
            </w:r>
            <w:r>
              <w:rPr>
                <w:rFonts w:hint="eastAsia" w:ascii="宋体" w:hAnsi="宋体" w:eastAsia="宋体" w:cs="Times New Roman"/>
                <w:color w:val="000000" w:themeColor="text1"/>
                <w:sz w:val="24"/>
                <w:highlight w:val="none"/>
                <w:lang w:val="en-US" w:eastAsia="zh-CN"/>
                <w14:textFill>
                  <w14:solidFill>
                    <w14:schemeClr w14:val="tx1"/>
                  </w14:solidFill>
                </w14:textFill>
              </w:rPr>
              <w:t>1+042.103</w:t>
            </w:r>
            <w:r>
              <w:rPr>
                <w:rFonts w:hint="eastAsia" w:ascii="宋体" w:hAnsi="宋体" w:eastAsia="宋体" w:cs="Times New Roman"/>
                <w:color w:val="000000" w:themeColor="text1"/>
                <w:sz w:val="24"/>
                <w:highlight w:val="none"/>
                <w:lang w:eastAsia="zh-CN"/>
                <w14:textFill>
                  <w14:solidFill>
                    <w14:schemeClr w14:val="tx1"/>
                  </w14:solidFill>
                </w14:textFill>
              </w:rPr>
              <w:t>~K1+</w:t>
            </w:r>
            <w:r>
              <w:rPr>
                <w:rFonts w:hint="eastAsia" w:ascii="宋体" w:hAnsi="宋体" w:eastAsia="宋体" w:cs="Times New Roman"/>
                <w:color w:val="000000" w:themeColor="text1"/>
                <w:sz w:val="24"/>
                <w:highlight w:val="none"/>
                <w:lang w:val="en-US" w:eastAsia="zh-CN"/>
                <w14:textFill>
                  <w14:solidFill>
                    <w14:schemeClr w14:val="tx1"/>
                  </w14:solidFill>
                </w14:textFill>
              </w:rPr>
              <w:t>249.853</w:t>
            </w:r>
            <w:r>
              <w:rPr>
                <w:rFonts w:hint="eastAsia" w:ascii="宋体" w:hAnsi="宋体" w:eastAsia="宋体" w:cs="Times New Roman"/>
                <w:color w:val="000000" w:themeColor="text1"/>
                <w:sz w:val="24"/>
                <w:highlight w:val="none"/>
                <w:lang w:eastAsia="zh-CN"/>
                <w14:textFill>
                  <w14:solidFill>
                    <w14:schemeClr w14:val="tx1"/>
                  </w14:solidFill>
                </w14:textFill>
              </w:rPr>
              <w:t>标准断面：</w:t>
            </w:r>
            <w:r>
              <w:rPr>
                <w:rFonts w:hint="eastAsia" w:ascii="宋体" w:hAnsi="宋体" w:eastAsia="宋体" w:cs="Times New Roman"/>
                <w:color w:val="000000" w:themeColor="text1"/>
                <w:sz w:val="24"/>
                <w:highlight w:val="none"/>
                <w:lang w:val="en-US" w:eastAsia="zh-CN"/>
                <w14:textFill>
                  <w14:solidFill>
                    <w14:schemeClr w14:val="tx1"/>
                  </w14:solidFill>
                </w14:textFill>
              </w:rPr>
              <w:t>33</w:t>
            </w:r>
            <w:r>
              <w:rPr>
                <w:rFonts w:hint="eastAsia" w:ascii="宋体" w:hAnsi="宋体" w:eastAsia="宋体" w:cs="Times New Roman"/>
                <w:color w:val="000000" w:themeColor="text1"/>
                <w:sz w:val="24"/>
                <w:highlight w:val="none"/>
                <w:lang w:eastAsia="zh-CN"/>
                <w14:textFill>
                  <w14:solidFill>
                    <w14:schemeClr w14:val="tx1"/>
                  </w14:solidFill>
                </w14:textFill>
              </w:rPr>
              <w:t>.5m路幅宽=4m人行道+</w:t>
            </w:r>
            <w:r>
              <w:rPr>
                <w:rFonts w:hint="eastAsia" w:ascii="宋体" w:hAnsi="宋体" w:eastAsia="宋体" w:cs="Times New Roman"/>
                <w:color w:val="000000" w:themeColor="text1"/>
                <w:sz w:val="24"/>
                <w:highlight w:val="none"/>
                <w:lang w:val="en-US" w:eastAsia="zh-CN"/>
                <w14:textFill>
                  <w14:solidFill>
                    <w14:schemeClr w14:val="tx1"/>
                  </w14:solidFill>
                </w14:textFill>
              </w:rPr>
              <w:t>7.5</w:t>
            </w:r>
            <w:r>
              <w:rPr>
                <w:rFonts w:hint="eastAsia" w:ascii="宋体" w:hAnsi="宋体" w:eastAsia="宋体" w:cs="Times New Roman"/>
                <w:color w:val="000000" w:themeColor="text1"/>
                <w:sz w:val="24"/>
                <w:highlight w:val="none"/>
                <w:lang w:eastAsia="zh-CN"/>
                <w14:textFill>
                  <w14:solidFill>
                    <w14:schemeClr w14:val="tx1"/>
                  </w14:solidFill>
                </w14:textFill>
              </w:rPr>
              <w:t>m车行道+10.5m中央分隔带+</w:t>
            </w:r>
            <w:r>
              <w:rPr>
                <w:rFonts w:hint="eastAsia" w:ascii="宋体" w:hAnsi="宋体" w:eastAsia="宋体" w:cs="Times New Roman"/>
                <w:color w:val="000000" w:themeColor="text1"/>
                <w:sz w:val="24"/>
                <w:highlight w:val="none"/>
                <w:lang w:val="en-US" w:eastAsia="zh-CN"/>
                <w14:textFill>
                  <w14:solidFill>
                    <w14:schemeClr w14:val="tx1"/>
                  </w14:solidFill>
                </w14:textFill>
              </w:rPr>
              <w:t>7.5</w:t>
            </w:r>
            <w:r>
              <w:rPr>
                <w:rFonts w:hint="eastAsia" w:ascii="宋体" w:hAnsi="宋体" w:eastAsia="宋体" w:cs="Times New Roman"/>
                <w:color w:val="000000" w:themeColor="text1"/>
                <w:sz w:val="24"/>
                <w:highlight w:val="none"/>
                <w:lang w:eastAsia="zh-CN"/>
                <w14:textFill>
                  <w14:solidFill>
                    <w14:schemeClr w14:val="tx1"/>
                  </w14:solidFill>
                </w14:textFill>
              </w:rPr>
              <w:t>0m车行道+4m人行道；上部跨线桥宽</w:t>
            </w:r>
            <w:r>
              <w:rPr>
                <w:rFonts w:hint="eastAsia" w:ascii="宋体" w:hAnsi="宋体" w:eastAsia="宋体" w:cs="Times New Roman"/>
                <w:color w:val="000000" w:themeColor="text1"/>
                <w:sz w:val="24"/>
                <w:highlight w:val="none"/>
                <w:lang w:val="en-US" w:eastAsia="zh-CN"/>
                <w14:textFill>
                  <w14:solidFill>
                    <w14:schemeClr w14:val="tx1"/>
                  </w14:solidFill>
                </w14:textFill>
              </w:rPr>
              <w:t>33.5</w:t>
            </w:r>
            <w:r>
              <w:rPr>
                <w:rFonts w:hint="eastAsia" w:ascii="宋体" w:hAnsi="宋体" w:eastAsia="宋体" w:cs="Times New Roman"/>
                <w:color w:val="000000" w:themeColor="text1"/>
                <w:sz w:val="24"/>
                <w:highlight w:val="none"/>
                <w:lang w:eastAsia="zh-CN"/>
                <w14:textFill>
                  <w14:solidFill>
                    <w14:schemeClr w14:val="tx1"/>
                  </w14:solidFill>
                </w14:textFill>
              </w:rPr>
              <w:t>m。</w:t>
            </w:r>
          </w:p>
          <w:p>
            <w:pPr>
              <w:keepNext w:val="0"/>
              <w:keepLines w:val="0"/>
              <w:suppressLineNumbers w:val="0"/>
              <w:spacing w:before="0" w:beforeAutospacing="0" w:after="0" w:afterAutospacing="0"/>
              <w:ind w:left="0" w:right="0"/>
              <w:jc w:val="center"/>
              <w:rPr>
                <w:b/>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lang w:eastAsia="zh-CN"/>
                <w14:textFill>
                  <w14:solidFill>
                    <w14:schemeClr w14:val="tx1"/>
                  </w14:solidFill>
                </w14:textFill>
              </w:rPr>
              <w:drawing>
                <wp:anchor distT="0" distB="0" distL="114300" distR="114300" simplePos="0" relativeHeight="251681792" behindDoc="0" locked="0" layoutInCell="1" allowOverlap="1">
                  <wp:simplePos x="0" y="0"/>
                  <wp:positionH relativeFrom="column">
                    <wp:posOffset>701675</wp:posOffset>
                  </wp:positionH>
                  <wp:positionV relativeFrom="paragraph">
                    <wp:posOffset>12065</wp:posOffset>
                  </wp:positionV>
                  <wp:extent cx="3582035" cy="2428240"/>
                  <wp:effectExtent l="0" t="0" r="14605" b="10160"/>
                  <wp:wrapNone/>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21"/>
                          <a:srcRect t="19965"/>
                          <a:stretch>
                            <a:fillRect/>
                          </a:stretch>
                        </pic:blipFill>
                        <pic:spPr>
                          <a:xfrm>
                            <a:off x="0" y="0"/>
                            <a:ext cx="3582035" cy="2428240"/>
                          </a:xfrm>
                          <a:prstGeom prst="rect">
                            <a:avLst/>
                          </a:prstGeom>
                          <a:noFill/>
                          <a:ln>
                            <a:noFill/>
                          </a:ln>
                        </pic:spPr>
                      </pic:pic>
                    </a:graphicData>
                  </a:graphic>
                </wp:anchor>
              </w:drawing>
            </w:r>
          </w:p>
          <w:p>
            <w:pPr>
              <w:keepNext w:val="0"/>
              <w:keepLines w:val="0"/>
              <w:suppressLineNumbers w:val="0"/>
              <w:spacing w:before="0" w:beforeAutospacing="0" w:after="0" w:afterAutospacing="0"/>
              <w:ind w:left="0" w:right="0"/>
              <w:jc w:val="center"/>
              <w:rPr>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both"/>
              <w:rPr>
                <w:b/>
                <w:color w:val="000000" w:themeColor="text1"/>
                <w:sz w:val="24"/>
                <w:highlight w:val="none"/>
                <w14:textFill>
                  <w14:solidFill>
                    <w14:schemeClr w14:val="tx1"/>
                  </w14:solidFill>
                </w14:textFill>
              </w:rPr>
            </w:pP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图2-7  33.5m宽标准断面图</w:t>
            </w:r>
          </w:p>
          <w:p>
            <w:pPr>
              <w:pStyle w:val="83"/>
              <w:widowControl/>
              <w:spacing w:line="360" w:lineRule="auto"/>
              <w:ind w:left="0" w:firstLine="482"/>
              <w:jc w:val="left"/>
              <w:rPr>
                <w:rFonts w:hint="eastAsia" w:ascii="宋体" w:hAnsi="宋体" w:eastAsia="宋体" w:cs="Times New Roman"/>
                <w:color w:val="000000" w:themeColor="text1"/>
                <w:sz w:val="24"/>
                <w:highlight w:val="none"/>
                <w:lang w:eastAsia="zh-CN"/>
                <w14:textFill>
                  <w14:solidFill>
                    <w14:schemeClr w14:val="tx1"/>
                  </w14:solidFill>
                </w14:textFill>
              </w:rPr>
            </w:pPr>
            <w:r>
              <w:rPr>
                <w:rFonts w:hint="eastAsia" w:ascii="宋体" w:hAnsi="宋体" w:eastAsia="宋体" w:cs="Times New Roman"/>
                <w:color w:val="000000" w:themeColor="text1"/>
                <w:sz w:val="24"/>
                <w:highlight w:val="none"/>
                <w:lang w:eastAsia="zh-CN"/>
                <w14:textFill>
                  <w14:solidFill>
                    <w14:schemeClr w14:val="tx1"/>
                  </w14:solidFill>
                </w14:textFill>
              </w:rPr>
              <w:t>（</w:t>
            </w:r>
            <w:r>
              <w:rPr>
                <w:rFonts w:hint="eastAsia" w:ascii="宋体" w:hAnsi="宋体" w:eastAsia="宋体" w:cs="Times New Roman"/>
                <w:color w:val="000000" w:themeColor="text1"/>
                <w:sz w:val="24"/>
                <w:highlight w:val="none"/>
                <w:lang w:val="en-US" w:eastAsia="zh-CN"/>
                <w14:textFill>
                  <w14:solidFill>
                    <w14:schemeClr w14:val="tx1"/>
                  </w14:solidFill>
                </w14:textFill>
              </w:rPr>
              <w:t>5）</w:t>
            </w:r>
            <w:r>
              <w:rPr>
                <w:rFonts w:hint="eastAsia" w:ascii="宋体" w:hAnsi="宋体" w:eastAsia="宋体" w:cs="Times New Roman"/>
                <w:color w:val="000000" w:themeColor="text1"/>
                <w:sz w:val="24"/>
                <w:highlight w:val="none"/>
                <w:lang w:eastAsia="zh-CN"/>
                <w14:textFill>
                  <w14:solidFill>
                    <w14:schemeClr w14:val="tx1"/>
                  </w14:solidFill>
                </w14:textFill>
              </w:rPr>
              <w:t>K1+</w:t>
            </w:r>
            <w:r>
              <w:rPr>
                <w:rFonts w:hint="eastAsia" w:ascii="宋体" w:hAnsi="宋体" w:eastAsia="宋体" w:cs="Times New Roman"/>
                <w:color w:val="000000" w:themeColor="text1"/>
                <w:sz w:val="24"/>
                <w:highlight w:val="none"/>
                <w:lang w:val="en-US" w:eastAsia="zh-CN"/>
                <w14:textFill>
                  <w14:solidFill>
                    <w14:schemeClr w14:val="tx1"/>
                  </w14:solidFill>
                </w14:textFill>
              </w:rPr>
              <w:t>249.853</w:t>
            </w:r>
            <w:r>
              <w:rPr>
                <w:rFonts w:hint="eastAsia" w:ascii="宋体" w:hAnsi="宋体" w:eastAsia="宋体" w:cs="Times New Roman"/>
                <w:color w:val="000000" w:themeColor="text1"/>
                <w:sz w:val="24"/>
                <w:highlight w:val="none"/>
                <w:lang w:eastAsia="zh-CN"/>
                <w14:textFill>
                  <w14:solidFill>
                    <w14:schemeClr w14:val="tx1"/>
                  </w14:solidFill>
                </w14:textFill>
              </w:rPr>
              <w:t>~底</w:t>
            </w:r>
            <w:r>
              <w:rPr>
                <w:rFonts w:hint="eastAsia" w:ascii="宋体" w:hAnsi="宋体" w:eastAsia="宋体" w:cs="Times New Roman"/>
                <w:color w:val="000000" w:themeColor="text1"/>
                <w:sz w:val="24"/>
                <w:highlight w:val="none"/>
                <w:lang w:val="en-US" w:eastAsia="zh-CN"/>
                <w14:textFill>
                  <w14:solidFill>
                    <w14:schemeClr w14:val="tx1"/>
                  </w14:solidFill>
                </w14:textFill>
              </w:rPr>
              <w:t>平层</w:t>
            </w:r>
            <w:r>
              <w:rPr>
                <w:rFonts w:hint="eastAsia" w:ascii="宋体" w:hAnsi="宋体" w:eastAsia="宋体" w:cs="Times New Roman"/>
                <w:color w:val="000000" w:themeColor="text1"/>
                <w:sz w:val="24"/>
                <w:highlight w:val="none"/>
                <w:lang w:eastAsia="zh-CN"/>
                <w14:textFill>
                  <w14:solidFill>
                    <w14:schemeClr w14:val="tx1"/>
                  </w14:solidFill>
                </w14:textFill>
              </w:rPr>
              <w:t>终点K1+</w:t>
            </w:r>
            <w:r>
              <w:rPr>
                <w:rFonts w:hint="eastAsia" w:ascii="宋体" w:hAnsi="宋体" w:eastAsia="宋体" w:cs="Times New Roman"/>
                <w:color w:val="000000" w:themeColor="text1"/>
                <w:sz w:val="24"/>
                <w:highlight w:val="none"/>
                <w:lang w:val="en-US" w:eastAsia="zh-CN"/>
                <w14:textFill>
                  <w14:solidFill>
                    <w14:schemeClr w14:val="tx1"/>
                  </w14:solidFill>
                </w14:textFill>
              </w:rPr>
              <w:t>586.903</w:t>
            </w:r>
            <w:r>
              <w:rPr>
                <w:rFonts w:hint="eastAsia" w:ascii="宋体" w:hAnsi="宋体" w:eastAsia="宋体" w:cs="Times New Roman"/>
                <w:color w:val="000000" w:themeColor="text1"/>
                <w:sz w:val="24"/>
                <w:highlight w:val="none"/>
                <w:lang w:eastAsia="zh-CN"/>
                <w14:textFill>
                  <w14:solidFill>
                    <w14:schemeClr w14:val="tx1"/>
                  </w14:solidFill>
                </w14:textFill>
              </w:rPr>
              <w:t>标准断面：</w:t>
            </w:r>
            <w:r>
              <w:rPr>
                <w:rFonts w:hint="eastAsia" w:ascii="宋体" w:hAnsi="宋体" w:eastAsia="宋体" w:cs="Times New Roman"/>
                <w:color w:val="000000" w:themeColor="text1"/>
                <w:sz w:val="24"/>
                <w:highlight w:val="none"/>
                <w:lang w:val="en-US" w:eastAsia="zh-CN"/>
                <w14:textFill>
                  <w14:solidFill>
                    <w14:schemeClr w14:val="tx1"/>
                  </w14:solidFill>
                </w14:textFill>
              </w:rPr>
              <w:t>33</w:t>
            </w:r>
            <w:r>
              <w:rPr>
                <w:rFonts w:hint="eastAsia" w:ascii="宋体" w:hAnsi="宋体" w:eastAsia="宋体" w:cs="Times New Roman"/>
                <w:color w:val="000000" w:themeColor="text1"/>
                <w:sz w:val="24"/>
                <w:highlight w:val="none"/>
                <w:lang w:eastAsia="zh-CN"/>
                <w14:textFill>
                  <w14:solidFill>
                    <w14:schemeClr w14:val="tx1"/>
                  </w14:solidFill>
                </w14:textFill>
              </w:rPr>
              <w:t>.5m路幅宽=4m人行道+</w:t>
            </w:r>
            <w:r>
              <w:rPr>
                <w:rFonts w:hint="eastAsia" w:ascii="宋体" w:hAnsi="宋体" w:eastAsia="宋体" w:cs="Times New Roman"/>
                <w:color w:val="000000" w:themeColor="text1"/>
                <w:sz w:val="24"/>
                <w:highlight w:val="none"/>
                <w:lang w:val="en-US" w:eastAsia="zh-CN"/>
                <w14:textFill>
                  <w14:solidFill>
                    <w14:schemeClr w14:val="tx1"/>
                  </w14:solidFill>
                </w14:textFill>
              </w:rPr>
              <w:t>7.5</w:t>
            </w:r>
            <w:r>
              <w:rPr>
                <w:rFonts w:hint="eastAsia" w:ascii="宋体" w:hAnsi="宋体" w:eastAsia="宋体" w:cs="Times New Roman"/>
                <w:color w:val="000000" w:themeColor="text1"/>
                <w:sz w:val="24"/>
                <w:highlight w:val="none"/>
                <w:lang w:eastAsia="zh-CN"/>
                <w14:textFill>
                  <w14:solidFill>
                    <w14:schemeClr w14:val="tx1"/>
                  </w14:solidFill>
                </w14:textFill>
              </w:rPr>
              <w:t>m车行道+10.5m中央分隔带+</w:t>
            </w:r>
            <w:r>
              <w:rPr>
                <w:rFonts w:hint="eastAsia" w:ascii="宋体" w:hAnsi="宋体" w:eastAsia="宋体" w:cs="Times New Roman"/>
                <w:color w:val="000000" w:themeColor="text1"/>
                <w:sz w:val="24"/>
                <w:highlight w:val="none"/>
                <w:lang w:val="en-US" w:eastAsia="zh-CN"/>
                <w14:textFill>
                  <w14:solidFill>
                    <w14:schemeClr w14:val="tx1"/>
                  </w14:solidFill>
                </w14:textFill>
              </w:rPr>
              <w:t>7.5</w:t>
            </w:r>
            <w:r>
              <w:rPr>
                <w:rFonts w:hint="eastAsia" w:ascii="宋体" w:hAnsi="宋体" w:eastAsia="宋体" w:cs="Times New Roman"/>
                <w:color w:val="000000" w:themeColor="text1"/>
                <w:sz w:val="24"/>
                <w:highlight w:val="none"/>
                <w:lang w:eastAsia="zh-CN"/>
                <w14:textFill>
                  <w14:solidFill>
                    <w14:schemeClr w14:val="tx1"/>
                  </w14:solidFill>
                </w14:textFill>
              </w:rPr>
              <w:t>0m车行道+4m人行道；上部跨线桥宽</w:t>
            </w:r>
            <w:r>
              <w:rPr>
                <w:rFonts w:hint="eastAsia" w:ascii="宋体" w:hAnsi="宋体" w:eastAsia="宋体" w:cs="Times New Roman"/>
                <w:color w:val="000000" w:themeColor="text1"/>
                <w:sz w:val="24"/>
                <w:highlight w:val="none"/>
                <w:lang w:val="en-US" w:eastAsia="zh-CN"/>
                <w14:textFill>
                  <w14:solidFill>
                    <w14:schemeClr w14:val="tx1"/>
                  </w14:solidFill>
                </w14:textFill>
              </w:rPr>
              <w:t>25.5</w:t>
            </w:r>
            <w:r>
              <w:rPr>
                <w:rFonts w:hint="eastAsia" w:ascii="宋体" w:hAnsi="宋体" w:eastAsia="宋体" w:cs="Times New Roman"/>
                <w:color w:val="000000" w:themeColor="text1"/>
                <w:sz w:val="24"/>
                <w:highlight w:val="none"/>
                <w:lang w:eastAsia="zh-CN"/>
                <w14:textFill>
                  <w14:solidFill>
                    <w14:schemeClr w14:val="tx1"/>
                  </w14:solidFill>
                </w14:textFill>
              </w:rPr>
              <w:t>m。</w:t>
            </w:r>
          </w:p>
          <w:p>
            <w:pPr>
              <w:pStyle w:val="33"/>
              <w:keepNext w:val="0"/>
              <w:keepLines w:val="0"/>
              <w:numPr>
                <w:ilvl w:val="0"/>
                <w:numId w:val="0"/>
              </w:numPr>
              <w:suppressLineNumbers w:val="0"/>
              <w:spacing w:before="0" w:beforeAutospacing="0" w:after="0" w:afterAutospacing="0"/>
              <w:ind w:left="0" w:right="0"/>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84864" behindDoc="0" locked="0" layoutInCell="1" allowOverlap="1">
                  <wp:simplePos x="0" y="0"/>
                  <wp:positionH relativeFrom="column">
                    <wp:posOffset>674370</wp:posOffset>
                  </wp:positionH>
                  <wp:positionV relativeFrom="paragraph">
                    <wp:posOffset>54610</wp:posOffset>
                  </wp:positionV>
                  <wp:extent cx="3918585" cy="2900045"/>
                  <wp:effectExtent l="0" t="0" r="13335" b="10795"/>
                  <wp:wrapNone/>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22"/>
                          <a:stretch>
                            <a:fillRect/>
                          </a:stretch>
                        </pic:blipFill>
                        <pic:spPr>
                          <a:xfrm>
                            <a:off x="0" y="0"/>
                            <a:ext cx="3918585" cy="2900045"/>
                          </a:xfrm>
                          <a:prstGeom prst="rect">
                            <a:avLst/>
                          </a:prstGeom>
                          <a:noFill/>
                          <a:ln>
                            <a:noFill/>
                          </a:ln>
                        </pic:spPr>
                      </pic:pic>
                    </a:graphicData>
                  </a:graphic>
                </wp:anchor>
              </w:drawing>
            </w: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图2-8  33.5m宽标准断面图</w:t>
            </w:r>
          </w:p>
          <w:p>
            <w:pPr>
              <w:pStyle w:val="83"/>
              <w:widowControl/>
              <w:spacing w:line="360" w:lineRule="auto"/>
              <w:ind w:left="0" w:firstLine="482"/>
              <w:jc w:val="left"/>
              <w:rPr>
                <w:rFonts w:hint="eastAsia" w:ascii="宋体" w:hAnsi="宋体" w:eastAsia="宋体" w:cs="Times New Roman"/>
                <w:color w:val="000000" w:themeColor="text1"/>
                <w:sz w:val="24"/>
                <w:highlight w:val="none"/>
                <w:lang w:eastAsia="zh-CN"/>
                <w14:textFill>
                  <w14:solidFill>
                    <w14:schemeClr w14:val="tx1"/>
                  </w14:solidFill>
                </w14:textFill>
              </w:rPr>
            </w:pPr>
            <w:r>
              <w:rPr>
                <w:rFonts w:hint="eastAsia" w:ascii="宋体" w:hAnsi="宋体" w:eastAsia="宋体" w:cs="Times New Roman"/>
                <w:color w:val="000000" w:themeColor="text1"/>
                <w:sz w:val="24"/>
                <w:highlight w:val="none"/>
                <w:lang w:val="en-US" w:eastAsia="zh-CN"/>
                <w14:textFill>
                  <w14:solidFill>
                    <w14:schemeClr w14:val="tx1"/>
                  </w14:solidFill>
                </w14:textFill>
              </w:rPr>
              <w:t>（6</w:t>
            </w:r>
            <w:r>
              <w:rPr>
                <w:rFonts w:hint="eastAsia" w:ascii="宋体" w:hAnsi="宋体" w:eastAsia="宋体" w:cs="Times New Roman"/>
                <w:color w:val="000000" w:themeColor="text1"/>
                <w:sz w:val="24"/>
                <w:highlight w:val="none"/>
                <w:lang w:eastAsia="zh-CN"/>
                <w14:textFill>
                  <w14:solidFill>
                    <w14:schemeClr w14:val="tx1"/>
                  </w14:solidFill>
                </w14:textFill>
              </w:rPr>
              <w:t>）主线</w:t>
            </w:r>
            <w:r>
              <w:rPr>
                <w:rFonts w:hint="eastAsia" w:ascii="宋体" w:hAnsi="宋体" w:eastAsia="宋体" w:cs="Times New Roman"/>
                <w:color w:val="000000" w:themeColor="text1"/>
                <w:sz w:val="24"/>
                <w:highlight w:val="none"/>
                <w:lang w:val="en-US" w:eastAsia="zh-CN"/>
                <w14:textFill>
                  <w14:solidFill>
                    <w14:schemeClr w14:val="tx1"/>
                  </w14:solidFill>
                </w14:textFill>
              </w:rPr>
              <w:t>分离式路基段（</w:t>
            </w:r>
            <w:r>
              <w:rPr>
                <w:rFonts w:hint="eastAsia" w:ascii="宋体" w:hAnsi="宋体" w:eastAsia="宋体" w:cs="Times New Roman"/>
                <w:color w:val="000000" w:themeColor="text1"/>
                <w:sz w:val="24"/>
                <w:highlight w:val="none"/>
                <w:lang w:eastAsia="zh-CN"/>
                <w14:textFill>
                  <w14:solidFill>
                    <w14:schemeClr w14:val="tx1"/>
                  </w14:solidFill>
                </w14:textFill>
              </w:rPr>
              <w:t>K1+</w:t>
            </w:r>
            <w:r>
              <w:rPr>
                <w:rFonts w:hint="eastAsia" w:ascii="宋体" w:hAnsi="宋体" w:eastAsia="宋体" w:cs="Times New Roman"/>
                <w:color w:val="000000" w:themeColor="text1"/>
                <w:sz w:val="24"/>
                <w:highlight w:val="none"/>
                <w:lang w:val="en-US" w:eastAsia="zh-CN"/>
                <w14:textFill>
                  <w14:solidFill>
                    <w14:schemeClr w14:val="tx1"/>
                  </w14:solidFill>
                </w14:textFill>
              </w:rPr>
              <w:t>586.903</w:t>
            </w:r>
            <w:r>
              <w:rPr>
                <w:rFonts w:hint="eastAsia" w:ascii="宋体" w:hAnsi="宋体" w:eastAsia="宋体" w:cs="Times New Roman"/>
                <w:color w:val="000000" w:themeColor="text1"/>
                <w:sz w:val="24"/>
                <w:highlight w:val="none"/>
                <w:lang w:eastAsia="zh-CN"/>
                <w14:textFill>
                  <w14:solidFill>
                    <w14:schemeClr w14:val="tx1"/>
                  </w14:solidFill>
                </w14:textFill>
              </w:rPr>
              <w:t>~终点）：</w:t>
            </w:r>
            <w:r>
              <w:rPr>
                <w:rFonts w:hint="eastAsia" w:ascii="宋体" w:hAnsi="宋体" w:eastAsia="宋体" w:cs="Times New Roman"/>
                <w:color w:val="000000" w:themeColor="text1"/>
                <w:sz w:val="24"/>
                <w:highlight w:val="none"/>
                <w:lang w:val="en-US" w:eastAsia="zh-CN"/>
                <w14:textFill>
                  <w14:solidFill>
                    <w14:schemeClr w14:val="tx1"/>
                  </w14:solidFill>
                </w14:textFill>
              </w:rPr>
              <w:t>13</w:t>
            </w:r>
            <w:r>
              <w:rPr>
                <w:rFonts w:hint="eastAsia" w:ascii="宋体" w:hAnsi="宋体" w:eastAsia="宋体" w:cs="Times New Roman"/>
                <w:color w:val="000000" w:themeColor="text1"/>
                <w:sz w:val="24"/>
                <w:highlight w:val="none"/>
                <w:lang w:eastAsia="zh-CN"/>
                <w14:textFill>
                  <w14:solidFill>
                    <w14:schemeClr w14:val="tx1"/>
                  </w14:solidFill>
                </w14:textFill>
              </w:rPr>
              <w:t>m路幅宽=</w:t>
            </w:r>
            <w:r>
              <w:rPr>
                <w:rFonts w:hint="eastAsia" w:ascii="宋体" w:hAnsi="宋体" w:eastAsia="宋体" w:cs="Times New Roman"/>
                <w:color w:val="000000" w:themeColor="text1"/>
                <w:sz w:val="24"/>
                <w:highlight w:val="none"/>
                <w:lang w:val="en-US" w:eastAsia="zh-CN"/>
                <w14:textFill>
                  <w14:solidFill>
                    <w14:schemeClr w14:val="tx1"/>
                  </w14:solidFill>
                </w14:textFill>
              </w:rPr>
              <w:t>0.75</w:t>
            </w:r>
            <w:r>
              <w:rPr>
                <w:rFonts w:hint="eastAsia" w:ascii="宋体" w:hAnsi="宋体" w:eastAsia="宋体" w:cs="Times New Roman"/>
                <w:color w:val="000000" w:themeColor="text1"/>
                <w:sz w:val="24"/>
                <w:highlight w:val="none"/>
                <w:lang w:eastAsia="zh-CN"/>
                <w14:textFill>
                  <w14:solidFill>
                    <w14:schemeClr w14:val="tx1"/>
                  </w14:solidFill>
                </w14:textFill>
              </w:rPr>
              <w:t>m</w:t>
            </w:r>
            <w:r>
              <w:rPr>
                <w:rFonts w:hint="eastAsia" w:ascii="宋体" w:hAnsi="宋体" w:eastAsia="宋体" w:cs="Times New Roman"/>
                <w:color w:val="000000" w:themeColor="text1"/>
                <w:sz w:val="24"/>
                <w:highlight w:val="none"/>
                <w:lang w:val="en-US" w:eastAsia="zh-CN"/>
                <w14:textFill>
                  <w14:solidFill>
                    <w14:schemeClr w14:val="tx1"/>
                  </w14:solidFill>
                </w14:textFill>
              </w:rPr>
              <w:t>保护性路肩</w:t>
            </w:r>
            <w:r>
              <w:rPr>
                <w:rFonts w:hint="eastAsia" w:ascii="宋体" w:hAnsi="宋体" w:eastAsia="宋体" w:cs="Times New Roman"/>
                <w:color w:val="000000" w:themeColor="text1"/>
                <w:sz w:val="24"/>
                <w:highlight w:val="none"/>
                <w:lang w:eastAsia="zh-CN"/>
                <w14:textFill>
                  <w14:solidFill>
                    <w14:schemeClr w14:val="tx1"/>
                  </w14:solidFill>
                </w14:textFill>
              </w:rPr>
              <w:t>+</w:t>
            </w:r>
            <w:r>
              <w:rPr>
                <w:rFonts w:hint="eastAsia" w:ascii="宋体" w:hAnsi="宋体" w:eastAsia="宋体" w:cs="Times New Roman"/>
                <w:color w:val="000000" w:themeColor="text1"/>
                <w:sz w:val="24"/>
                <w:highlight w:val="none"/>
                <w:lang w:val="en-US" w:eastAsia="zh-CN"/>
                <w14:textFill>
                  <w14:solidFill>
                    <w14:schemeClr w14:val="tx1"/>
                  </w14:solidFill>
                </w14:textFill>
              </w:rPr>
              <w:t>11.5</w:t>
            </w:r>
            <w:r>
              <w:rPr>
                <w:rFonts w:hint="eastAsia" w:ascii="宋体" w:hAnsi="宋体" w:eastAsia="宋体" w:cs="Times New Roman"/>
                <w:color w:val="000000" w:themeColor="text1"/>
                <w:sz w:val="24"/>
                <w:highlight w:val="none"/>
                <w:lang w:eastAsia="zh-CN"/>
                <w14:textFill>
                  <w14:solidFill>
                    <w14:schemeClr w14:val="tx1"/>
                  </w14:solidFill>
                </w14:textFill>
              </w:rPr>
              <w:t>m车行道</w:t>
            </w:r>
            <w:r>
              <w:rPr>
                <w:rFonts w:hint="eastAsia" w:ascii="宋体" w:hAnsi="宋体" w:eastAsia="宋体" w:cs="Times New Roman"/>
                <w:color w:val="000000" w:themeColor="text1"/>
                <w:sz w:val="24"/>
                <w:highlight w:val="none"/>
                <w:lang w:val="en-US" w:eastAsia="zh-CN"/>
                <w14:textFill>
                  <w14:solidFill>
                    <w14:schemeClr w14:val="tx1"/>
                  </w14:solidFill>
                </w14:textFill>
              </w:rPr>
              <w:t>+0.75</w:t>
            </w:r>
            <w:r>
              <w:rPr>
                <w:rFonts w:hint="eastAsia" w:ascii="宋体" w:hAnsi="宋体" w:eastAsia="宋体" w:cs="Times New Roman"/>
                <w:color w:val="000000" w:themeColor="text1"/>
                <w:sz w:val="24"/>
                <w:highlight w:val="none"/>
                <w:lang w:eastAsia="zh-CN"/>
                <w14:textFill>
                  <w14:solidFill>
                    <w14:schemeClr w14:val="tx1"/>
                  </w14:solidFill>
                </w14:textFill>
              </w:rPr>
              <w:t>m</w:t>
            </w:r>
            <w:r>
              <w:rPr>
                <w:rFonts w:hint="eastAsia" w:ascii="宋体" w:hAnsi="宋体" w:eastAsia="宋体" w:cs="Times New Roman"/>
                <w:color w:val="000000" w:themeColor="text1"/>
                <w:sz w:val="24"/>
                <w:highlight w:val="none"/>
                <w:lang w:val="en-US" w:eastAsia="zh-CN"/>
                <w14:textFill>
                  <w14:solidFill>
                    <w14:schemeClr w14:val="tx1"/>
                  </w14:solidFill>
                </w14:textFill>
              </w:rPr>
              <w:t>保护性路肩</w:t>
            </w: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82816" behindDoc="0" locked="0" layoutInCell="1" allowOverlap="1">
                  <wp:simplePos x="0" y="0"/>
                  <wp:positionH relativeFrom="column">
                    <wp:posOffset>90170</wp:posOffset>
                  </wp:positionH>
                  <wp:positionV relativeFrom="paragraph">
                    <wp:posOffset>19050</wp:posOffset>
                  </wp:positionV>
                  <wp:extent cx="4693920" cy="1760855"/>
                  <wp:effectExtent l="0" t="0" r="0" b="6985"/>
                  <wp:wrapNone/>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23"/>
                          <a:stretch>
                            <a:fillRect/>
                          </a:stretch>
                        </pic:blipFill>
                        <pic:spPr>
                          <a:xfrm>
                            <a:off x="0" y="0"/>
                            <a:ext cx="4693920" cy="1760855"/>
                          </a:xfrm>
                          <a:prstGeom prst="rect">
                            <a:avLst/>
                          </a:prstGeom>
                          <a:noFill/>
                          <a:ln>
                            <a:noFill/>
                          </a:ln>
                        </pic:spPr>
                      </pic:pic>
                    </a:graphicData>
                  </a:graphic>
                </wp:anchor>
              </w:drawing>
            </w: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图2-9  13m宽标准断面图</w:t>
            </w:r>
          </w:p>
          <w:p>
            <w:pPr>
              <w:pStyle w:val="19"/>
              <w:keepNext w:val="0"/>
              <w:keepLines w:val="0"/>
              <w:widowControl w:val="0"/>
              <w:suppressLineNumbers w:val="0"/>
              <w:spacing w:before="0" w:beforeAutospacing="0" w:after="0" w:afterAutospacing="0" w:line="360" w:lineRule="auto"/>
              <w:ind w:left="0" w:leftChars="0" w:right="0" w:firstLine="482" w:firstLineChars="200"/>
              <w:jc w:val="left"/>
              <w:rPr>
                <w:rFonts w:hint="default" w:ascii="宋体" w:hAnsi="宋体" w:eastAsia="宋体" w:cs="宋体"/>
                <w:b/>
                <w:bCs/>
                <w:color w:val="000000" w:themeColor="text1"/>
                <w:kern w:val="2"/>
                <w:sz w:val="24"/>
                <w:szCs w:val="24"/>
                <w:highlight w:val="none"/>
                <w:lang w:val="en-US" w:eastAsia="zh-CN" w:bidi="ar"/>
                <w14:textFill>
                  <w14:solidFill>
                    <w14:schemeClr w14:val="tx1"/>
                  </w14:solidFill>
                </w14:textFill>
              </w:rPr>
            </w:pPr>
            <w:r>
              <w:rPr>
                <w:rFonts w:hint="eastAsia" w:cs="宋体"/>
                <w:b/>
                <w:bCs/>
                <w:color w:val="000000" w:themeColor="text1"/>
                <w:kern w:val="2"/>
                <w:sz w:val="24"/>
                <w:szCs w:val="24"/>
                <w:highlight w:val="none"/>
                <w:lang w:val="en-US" w:eastAsia="zh-CN" w:bidi="ar"/>
                <w14:textFill>
                  <w14:solidFill>
                    <w14:schemeClr w14:val="tx1"/>
                  </w14:solidFill>
                </w14:textFill>
              </w:rPr>
              <w:t>4、交叉口设计</w:t>
            </w:r>
          </w:p>
          <w:p>
            <w:pPr>
              <w:pStyle w:val="83"/>
              <w:widowControl/>
              <w:spacing w:line="360" w:lineRule="auto"/>
              <w:ind w:left="0" w:firstLine="482"/>
              <w:jc w:val="left"/>
              <w:rPr>
                <w:rFonts w:hint="eastAsia" w:ascii="宋体" w:hAnsi="宋体" w:eastAsia="宋体" w:cs="Times New Roman"/>
                <w:color w:val="000000" w:themeColor="text1"/>
                <w:sz w:val="24"/>
                <w:highlight w:val="none"/>
                <w:lang w:val="en-US" w:eastAsia="zh-CN"/>
                <w14:textFill>
                  <w14:solidFill>
                    <w14:schemeClr w14:val="tx1"/>
                  </w14:solidFill>
                </w14:textFill>
              </w:rPr>
            </w:pPr>
            <w:r>
              <w:rPr>
                <w:rFonts w:hint="eastAsia" w:ascii="宋体" w:hAnsi="宋体" w:eastAsia="宋体" w:cs="Times New Roman"/>
                <w:color w:val="000000" w:themeColor="text1"/>
                <w:sz w:val="24"/>
                <w:highlight w:val="none"/>
                <w:lang w:val="en-US" w:eastAsia="zh-CN"/>
                <w14:textFill>
                  <w14:solidFill>
                    <w14:schemeClr w14:val="tx1"/>
                  </w14:solidFill>
                </w14:textFill>
              </w:rPr>
              <w:t>本项目定位为主干路。沿线与5条道路交叉，底层交叉采用信号灯控制。</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表2-6  交叉口一览表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1"/>
              <w:gridCol w:w="1623"/>
              <w:gridCol w:w="1408"/>
              <w:gridCol w:w="1298"/>
              <w:gridCol w:w="2499"/>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50" w:type="pct"/>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序号</w:t>
                  </w:r>
                </w:p>
              </w:tc>
              <w:tc>
                <w:tcPr>
                  <w:tcW w:w="913" w:type="pct"/>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交叉口里程</w:t>
                  </w:r>
                </w:p>
              </w:tc>
              <w:tc>
                <w:tcPr>
                  <w:tcW w:w="792" w:type="pct"/>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相交道路名</w:t>
                  </w:r>
                </w:p>
              </w:tc>
              <w:tc>
                <w:tcPr>
                  <w:tcW w:w="730" w:type="pct"/>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实施情况</w:t>
                  </w:r>
                </w:p>
              </w:tc>
              <w:tc>
                <w:tcPr>
                  <w:tcW w:w="1406" w:type="pct"/>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交叉形式</w:t>
                  </w:r>
                </w:p>
              </w:tc>
              <w:tc>
                <w:tcPr>
                  <w:tcW w:w="806" w:type="pct"/>
                  <w:noWrap w:val="0"/>
                  <w:vAlign w:val="top"/>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相交道路等级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50" w:type="pct"/>
                  <w:vMerge w:val="restart"/>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1</w:t>
                  </w:r>
                </w:p>
              </w:tc>
              <w:tc>
                <w:tcPr>
                  <w:tcW w:w="913" w:type="pct"/>
                  <w:vMerge w:val="restart"/>
                  <w:noWrap w:val="0"/>
                  <w:vAlign w:val="center"/>
                </w:tcPr>
                <w:p>
                  <w:pPr>
                    <w:keepNext w:val="0"/>
                    <w:keepLines w:val="0"/>
                    <w:widowControl/>
                    <w:suppressLineNumbers w:val="0"/>
                    <w:spacing w:before="0" w:beforeAutospacing="0" w:after="0" w:afterAutospacing="0"/>
                    <w:ind w:left="0" w:right="0"/>
                    <w:jc w:val="center"/>
                    <w:rPr>
                      <w:rFonts w:hint="default" w:eastAsia="宋体"/>
                      <w:color w:val="000000" w:themeColor="text1"/>
                      <w:kern w:val="0"/>
                      <w:sz w:val="21"/>
                      <w:szCs w:val="21"/>
                      <w:highlight w:val="none"/>
                      <w:lang w:val="en-US" w:eastAsia="zh-CN"/>
                      <w14:textFill>
                        <w14:solidFill>
                          <w14:schemeClr w14:val="tx1"/>
                        </w14:solidFill>
                      </w14:textFill>
                    </w:rPr>
                  </w:pPr>
                  <w:r>
                    <w:rPr>
                      <w:color w:val="000000" w:themeColor="text1"/>
                      <w:kern w:val="0"/>
                      <w:sz w:val="21"/>
                      <w:szCs w:val="21"/>
                      <w:highlight w:val="none"/>
                      <w14:textFill>
                        <w14:solidFill>
                          <w14:schemeClr w14:val="tx1"/>
                        </w14:solidFill>
                      </w14:textFill>
                    </w:rPr>
                    <w:t>K0+</w:t>
                  </w:r>
                  <w:r>
                    <w:rPr>
                      <w:rFonts w:hint="eastAsia"/>
                      <w:color w:val="000000" w:themeColor="text1"/>
                      <w:kern w:val="0"/>
                      <w:sz w:val="21"/>
                      <w:szCs w:val="21"/>
                      <w:highlight w:val="none"/>
                      <w:lang w:val="en-US" w:eastAsia="zh-CN"/>
                      <w14:textFill>
                        <w14:solidFill>
                          <w14:schemeClr w14:val="tx1"/>
                        </w14:solidFill>
                      </w14:textFill>
                    </w:rPr>
                    <w:t>476.488</w:t>
                  </w:r>
                </w:p>
              </w:tc>
              <w:tc>
                <w:tcPr>
                  <w:tcW w:w="792" w:type="pct"/>
                  <w:vMerge w:val="restart"/>
                  <w:noWrap w:val="0"/>
                  <w:vAlign w:val="center"/>
                </w:tcPr>
                <w:p>
                  <w:pPr>
                    <w:keepNext w:val="0"/>
                    <w:keepLines w:val="0"/>
                    <w:widowControl/>
                    <w:suppressLineNumbers w:val="0"/>
                    <w:spacing w:before="0" w:beforeAutospacing="0" w:after="0" w:afterAutospacing="0"/>
                    <w:ind w:left="0" w:right="0" w:firstLine="210" w:firstLineChars="100"/>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环城路</w:t>
                  </w:r>
                </w:p>
              </w:tc>
              <w:tc>
                <w:tcPr>
                  <w:tcW w:w="730" w:type="pct"/>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已建</w:t>
                  </w:r>
                </w:p>
              </w:tc>
              <w:tc>
                <w:tcPr>
                  <w:tcW w:w="1406" w:type="pct"/>
                  <w:noWrap w:val="0"/>
                  <w:vAlign w:val="center"/>
                </w:tcPr>
                <w:p>
                  <w:pPr>
                    <w:keepNext w:val="0"/>
                    <w:keepLines w:val="0"/>
                    <w:widowControl/>
                    <w:suppressLineNumbers w:val="0"/>
                    <w:spacing w:before="0" w:beforeAutospacing="0" w:after="0" w:afterAutospacing="0"/>
                    <w:ind w:left="0" w:right="0"/>
                    <w:jc w:val="center"/>
                    <w:rPr>
                      <w:rFonts w:hint="eastAsia" w:eastAsia="宋体"/>
                      <w:color w:val="000000" w:themeColor="text1"/>
                      <w:kern w:val="0"/>
                      <w:sz w:val="21"/>
                      <w:szCs w:val="21"/>
                      <w:highlight w:val="none"/>
                      <w:lang w:eastAsia="zh-CN"/>
                      <w14:textFill>
                        <w14:solidFill>
                          <w14:schemeClr w14:val="tx1"/>
                        </w14:solidFill>
                      </w14:textFill>
                    </w:rPr>
                  </w:pPr>
                  <w:r>
                    <w:rPr>
                      <w:color w:val="000000" w:themeColor="text1"/>
                      <w:kern w:val="0"/>
                      <w:sz w:val="21"/>
                      <w:szCs w:val="21"/>
                      <w:highlight w:val="none"/>
                      <w14:textFill>
                        <w14:solidFill>
                          <w14:schemeClr w14:val="tx1"/>
                        </w14:solidFill>
                      </w14:textFill>
                    </w:rPr>
                    <w:t>十字平交</w:t>
                  </w:r>
                  <w:r>
                    <w:rPr>
                      <w:rFonts w:hint="eastAsia"/>
                      <w:color w:val="000000" w:themeColor="text1"/>
                      <w:kern w:val="0"/>
                      <w:sz w:val="21"/>
                      <w:szCs w:val="21"/>
                      <w:highlight w:val="none"/>
                      <w:lang w:eastAsia="zh-CN"/>
                      <w14:textFill>
                        <w14:solidFill>
                          <w14:schemeClr w14:val="tx1"/>
                        </w14:solidFill>
                      </w14:textFill>
                    </w:rPr>
                    <w:t>（底平层）</w:t>
                  </w:r>
                </w:p>
              </w:tc>
              <w:tc>
                <w:tcPr>
                  <w:tcW w:w="806" w:type="pct"/>
                  <w:vMerge w:val="restart"/>
                  <w:noWrap w:val="0"/>
                  <w:vAlign w:val="center"/>
                </w:tcPr>
                <w:p>
                  <w:pPr>
                    <w:keepNext w:val="0"/>
                    <w:keepLines w:val="0"/>
                    <w:widowControl/>
                    <w:suppressLineNumbers w:val="0"/>
                    <w:spacing w:before="0" w:beforeAutospacing="0" w:after="0" w:afterAutospacing="0"/>
                    <w:ind w:left="0" w:right="0"/>
                    <w:jc w:val="center"/>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eastAsia="zh-CN"/>
                      <w14:textFill>
                        <w14:solidFill>
                          <w14:schemeClr w14:val="tx1"/>
                        </w14:solidFill>
                      </w14:textFill>
                    </w:rPr>
                    <w:t>一级公路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50" w:type="pct"/>
                  <w:vMerge w:val="continue"/>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p>
              </w:tc>
              <w:tc>
                <w:tcPr>
                  <w:tcW w:w="913" w:type="pct"/>
                  <w:vMerge w:val="continue"/>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p>
              </w:tc>
              <w:tc>
                <w:tcPr>
                  <w:tcW w:w="792" w:type="pct"/>
                  <w:vMerge w:val="continue"/>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p>
              </w:tc>
              <w:tc>
                <w:tcPr>
                  <w:tcW w:w="730" w:type="pct"/>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规划</w:t>
                  </w:r>
                </w:p>
              </w:tc>
              <w:tc>
                <w:tcPr>
                  <w:tcW w:w="1406" w:type="pct"/>
                  <w:noWrap w:val="0"/>
                  <w:vAlign w:val="center"/>
                </w:tcPr>
                <w:p>
                  <w:pPr>
                    <w:keepNext w:val="0"/>
                    <w:keepLines w:val="0"/>
                    <w:widowControl/>
                    <w:suppressLineNumbers w:val="0"/>
                    <w:spacing w:before="0" w:beforeAutospacing="0" w:after="0" w:afterAutospacing="0"/>
                    <w:ind w:left="0" w:right="0"/>
                    <w:jc w:val="center"/>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eastAsia="zh-CN"/>
                      <w14:textFill>
                        <w14:solidFill>
                          <w14:schemeClr w14:val="tx1"/>
                        </w14:solidFill>
                      </w14:textFill>
                    </w:rPr>
                    <w:t>主线</w:t>
                  </w:r>
                  <w:r>
                    <w:rPr>
                      <w:rFonts w:hint="eastAsia"/>
                      <w:color w:val="000000" w:themeColor="text1"/>
                      <w:kern w:val="0"/>
                      <w:sz w:val="21"/>
                      <w:szCs w:val="21"/>
                      <w:highlight w:val="none"/>
                      <w14:textFill>
                        <w14:solidFill>
                          <w14:schemeClr w14:val="tx1"/>
                        </w14:solidFill>
                      </w14:textFill>
                    </w:rPr>
                    <w:t>上跨</w:t>
                  </w:r>
                </w:p>
              </w:tc>
              <w:tc>
                <w:tcPr>
                  <w:tcW w:w="806" w:type="pct"/>
                  <w:vMerge w:val="continue"/>
                  <w:noWrap w:val="0"/>
                  <w:vAlign w:val="top"/>
                </w:tcPr>
                <w:p>
                  <w:pPr>
                    <w:keepNext w:val="0"/>
                    <w:keepLines w:val="0"/>
                    <w:widowControl/>
                    <w:suppressLineNumbers w:val="0"/>
                    <w:spacing w:before="0" w:beforeAutospacing="0" w:after="0" w:afterAutospacing="0"/>
                    <w:ind w:left="0" w:right="0"/>
                    <w:jc w:val="center"/>
                    <w:rPr>
                      <w:rFonts w:hint="eastAsia"/>
                      <w:color w:val="000000" w:themeColor="text1"/>
                      <w:ker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50" w:type="pct"/>
                  <w:noWrap w:val="0"/>
                  <w:vAlign w:val="center"/>
                </w:tcPr>
                <w:p>
                  <w:pPr>
                    <w:keepNext w:val="0"/>
                    <w:keepLines w:val="0"/>
                    <w:suppressLineNumbers w:val="0"/>
                    <w:spacing w:before="0" w:beforeAutospacing="0" w:after="0" w:afterAutospacing="0" w:line="360" w:lineRule="auto"/>
                    <w:ind w:left="0" w:right="0" w:firstLine="189" w:firstLineChars="90"/>
                    <w:rPr>
                      <w:rFonts w:hint="eastAsia"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2</w:t>
                  </w:r>
                </w:p>
              </w:tc>
              <w:tc>
                <w:tcPr>
                  <w:tcW w:w="913" w:type="pct"/>
                  <w:noWrap w:val="0"/>
                  <w:vAlign w:val="center"/>
                </w:tcPr>
                <w:p>
                  <w:pPr>
                    <w:keepNext w:val="0"/>
                    <w:keepLines w:val="0"/>
                    <w:suppressLineNumbers w:val="0"/>
                    <w:spacing w:before="0" w:beforeAutospacing="0" w:after="0" w:afterAutospacing="0"/>
                    <w:ind w:left="0" w:right="0"/>
                    <w:rPr>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K0+644.7</w:t>
                  </w:r>
                </w:p>
              </w:tc>
              <w:tc>
                <w:tcPr>
                  <w:tcW w:w="792" w:type="pct"/>
                  <w:noWrap w:val="0"/>
                  <w:vAlign w:val="center"/>
                </w:tcPr>
                <w:p>
                  <w:pPr>
                    <w:keepNext w:val="0"/>
                    <w:keepLines w:val="0"/>
                    <w:widowControl/>
                    <w:suppressLineNumbers w:val="0"/>
                    <w:spacing w:before="0" w:beforeAutospacing="0" w:after="0" w:afterAutospacing="0"/>
                    <w:ind w:left="0" w:right="0"/>
                    <w:jc w:val="center"/>
                    <w:rPr>
                      <w:rFonts w:hint="default"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好一新（G542）</w:t>
                  </w:r>
                </w:p>
              </w:tc>
              <w:tc>
                <w:tcPr>
                  <w:tcW w:w="730" w:type="pct"/>
                  <w:noWrap w:val="0"/>
                  <w:vAlign w:val="center"/>
                </w:tcPr>
                <w:p>
                  <w:pPr>
                    <w:keepNext w:val="0"/>
                    <w:keepLines w:val="0"/>
                    <w:widowControl/>
                    <w:suppressLineNumbers w:val="0"/>
                    <w:spacing w:before="0" w:beforeAutospacing="0" w:after="0" w:afterAutospacing="0"/>
                    <w:ind w:left="0" w:right="0"/>
                    <w:jc w:val="center"/>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eastAsia="zh-CN"/>
                      <w14:textFill>
                        <w14:solidFill>
                          <w14:schemeClr w14:val="tx1"/>
                        </w14:solidFill>
                      </w14:textFill>
                    </w:rPr>
                    <w:t>改建</w:t>
                  </w:r>
                </w:p>
              </w:tc>
              <w:tc>
                <w:tcPr>
                  <w:tcW w:w="1406" w:type="pct"/>
                  <w:noWrap w:val="0"/>
                  <w:vAlign w:val="center"/>
                </w:tcPr>
                <w:p>
                  <w:pPr>
                    <w:keepNext w:val="0"/>
                    <w:keepLines w:val="0"/>
                    <w:widowControl/>
                    <w:suppressLineNumbers w:val="0"/>
                    <w:spacing w:before="0" w:beforeAutospacing="0" w:after="0" w:afterAutospacing="0"/>
                    <w:ind w:left="0" w:right="0"/>
                    <w:jc w:val="center"/>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eastAsia="zh-CN"/>
                      <w14:textFill>
                        <w14:solidFill>
                          <w14:schemeClr w14:val="tx1"/>
                        </w14:solidFill>
                      </w14:textFill>
                    </w:rPr>
                    <w:t>斜交（底平层）</w:t>
                  </w:r>
                </w:p>
              </w:tc>
              <w:tc>
                <w:tcPr>
                  <w:tcW w:w="806" w:type="pct"/>
                  <w:noWrap w:val="0"/>
                  <w:vAlign w:val="center"/>
                </w:tcPr>
                <w:p>
                  <w:pPr>
                    <w:keepNext w:val="0"/>
                    <w:keepLines w:val="0"/>
                    <w:widowControl/>
                    <w:suppressLineNumbers w:val="0"/>
                    <w:spacing w:before="0" w:beforeAutospacing="0" w:after="0" w:afterAutospacing="0"/>
                    <w:ind w:left="0" w:right="0"/>
                    <w:jc w:val="center"/>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eastAsia="zh-CN"/>
                      <w14:textFill>
                        <w14:solidFill>
                          <w14:schemeClr w14:val="tx1"/>
                        </w14:solidFill>
                      </w14:textFill>
                    </w:rPr>
                    <w:t>国道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50" w:type="pct"/>
                  <w:vMerge w:val="restart"/>
                  <w:noWrap w:val="0"/>
                  <w:vAlign w:val="center"/>
                </w:tcPr>
                <w:p>
                  <w:pPr>
                    <w:keepNext w:val="0"/>
                    <w:keepLines w:val="0"/>
                    <w:suppressLineNumbers w:val="0"/>
                    <w:spacing w:before="0" w:beforeAutospacing="0" w:after="0" w:afterAutospacing="0" w:line="360" w:lineRule="auto"/>
                    <w:ind w:left="0" w:right="0" w:firstLine="189" w:firstLineChars="90"/>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3</w:t>
                  </w:r>
                </w:p>
              </w:tc>
              <w:tc>
                <w:tcPr>
                  <w:tcW w:w="913" w:type="pct"/>
                  <w:vMerge w:val="restart"/>
                  <w:noWrap w:val="0"/>
                  <w:vAlign w:val="center"/>
                </w:tcPr>
                <w:p>
                  <w:pPr>
                    <w:keepNext w:val="0"/>
                    <w:keepLines w:val="0"/>
                    <w:suppressLineNumbers w:val="0"/>
                    <w:spacing w:before="0" w:beforeAutospacing="0" w:after="0" w:afterAutospacing="0"/>
                    <w:ind w:left="0" w:right="0"/>
                    <w:rPr>
                      <w:rFonts w:hint="default" w:eastAsia="宋体"/>
                      <w:color w:val="000000" w:themeColor="text1"/>
                      <w:kern w:val="0"/>
                      <w:sz w:val="21"/>
                      <w:szCs w:val="21"/>
                      <w:highlight w:val="none"/>
                      <w:lang w:val="en-US" w:eastAsia="zh-CN"/>
                      <w14:textFill>
                        <w14:solidFill>
                          <w14:schemeClr w14:val="tx1"/>
                        </w14:solidFill>
                      </w14:textFill>
                    </w:rPr>
                  </w:pPr>
                  <w:r>
                    <w:rPr>
                      <w:color w:val="000000" w:themeColor="text1"/>
                      <w:kern w:val="0"/>
                      <w:sz w:val="21"/>
                      <w:szCs w:val="21"/>
                      <w:highlight w:val="none"/>
                      <w14:textFill>
                        <w14:solidFill>
                          <w14:schemeClr w14:val="tx1"/>
                        </w14:solidFill>
                      </w14:textFill>
                    </w:rPr>
                    <w:t>K</w:t>
                  </w:r>
                  <w:r>
                    <w:rPr>
                      <w:rFonts w:hint="eastAsia"/>
                      <w:color w:val="000000" w:themeColor="text1"/>
                      <w:kern w:val="0"/>
                      <w:sz w:val="21"/>
                      <w:szCs w:val="21"/>
                      <w:highlight w:val="none"/>
                      <w:lang w:val="en-US" w:eastAsia="zh-CN"/>
                      <w14:textFill>
                        <w14:solidFill>
                          <w14:schemeClr w14:val="tx1"/>
                        </w14:solidFill>
                      </w14:textFill>
                    </w:rPr>
                    <w:t>1+065.694</w:t>
                  </w:r>
                </w:p>
              </w:tc>
              <w:tc>
                <w:tcPr>
                  <w:tcW w:w="792" w:type="pct"/>
                  <w:vMerge w:val="restart"/>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规划道路</w:t>
                  </w:r>
                </w:p>
              </w:tc>
              <w:tc>
                <w:tcPr>
                  <w:tcW w:w="730" w:type="pct"/>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规划</w:t>
                  </w:r>
                </w:p>
              </w:tc>
              <w:tc>
                <w:tcPr>
                  <w:tcW w:w="1406" w:type="pct"/>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十字平交</w:t>
                  </w:r>
                  <w:r>
                    <w:rPr>
                      <w:rFonts w:hint="eastAsia"/>
                      <w:color w:val="000000" w:themeColor="text1"/>
                      <w:kern w:val="0"/>
                      <w:sz w:val="21"/>
                      <w:szCs w:val="21"/>
                      <w:highlight w:val="none"/>
                      <w:lang w:eastAsia="zh-CN"/>
                      <w14:textFill>
                        <w14:solidFill>
                          <w14:schemeClr w14:val="tx1"/>
                        </w14:solidFill>
                      </w14:textFill>
                    </w:rPr>
                    <w:t>（底平层）</w:t>
                  </w:r>
                </w:p>
              </w:tc>
              <w:tc>
                <w:tcPr>
                  <w:tcW w:w="806" w:type="pct"/>
                  <w:vMerge w:val="restart"/>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次干路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50" w:type="pct"/>
                  <w:vMerge w:val="continue"/>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p>
              </w:tc>
              <w:tc>
                <w:tcPr>
                  <w:tcW w:w="913" w:type="pct"/>
                  <w:vMerge w:val="continue"/>
                  <w:noWrap w:val="0"/>
                  <w:vAlign w:val="center"/>
                </w:tcPr>
                <w:p>
                  <w:pPr>
                    <w:keepNext w:val="0"/>
                    <w:keepLines w:val="0"/>
                    <w:widowControl/>
                    <w:suppressLineNumbers w:val="0"/>
                    <w:spacing w:before="0" w:beforeAutospacing="0" w:after="0" w:afterAutospacing="0"/>
                    <w:ind w:left="0" w:right="0"/>
                    <w:rPr>
                      <w:color w:val="000000" w:themeColor="text1"/>
                      <w:kern w:val="0"/>
                      <w:sz w:val="21"/>
                      <w:szCs w:val="21"/>
                      <w:highlight w:val="none"/>
                      <w14:textFill>
                        <w14:solidFill>
                          <w14:schemeClr w14:val="tx1"/>
                        </w14:solidFill>
                      </w14:textFill>
                    </w:rPr>
                  </w:pPr>
                </w:p>
              </w:tc>
              <w:tc>
                <w:tcPr>
                  <w:tcW w:w="792" w:type="pct"/>
                  <w:vMerge w:val="continue"/>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p>
              </w:tc>
              <w:tc>
                <w:tcPr>
                  <w:tcW w:w="730" w:type="pct"/>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规划</w:t>
                  </w:r>
                </w:p>
              </w:tc>
              <w:tc>
                <w:tcPr>
                  <w:tcW w:w="1406" w:type="pct"/>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lang w:eastAsia="zh-CN"/>
                      <w14:textFill>
                        <w14:solidFill>
                          <w14:schemeClr w14:val="tx1"/>
                        </w14:solidFill>
                      </w14:textFill>
                    </w:rPr>
                    <w:t>主线</w:t>
                  </w:r>
                  <w:r>
                    <w:rPr>
                      <w:rFonts w:hint="eastAsia"/>
                      <w:color w:val="000000" w:themeColor="text1"/>
                      <w:kern w:val="0"/>
                      <w:sz w:val="21"/>
                      <w:szCs w:val="21"/>
                      <w:highlight w:val="none"/>
                      <w14:textFill>
                        <w14:solidFill>
                          <w14:schemeClr w14:val="tx1"/>
                        </w14:solidFill>
                      </w14:textFill>
                    </w:rPr>
                    <w:t>上跨</w:t>
                  </w:r>
                </w:p>
              </w:tc>
              <w:tc>
                <w:tcPr>
                  <w:tcW w:w="806" w:type="pct"/>
                  <w:vMerge w:val="continue"/>
                  <w:noWrap w:val="0"/>
                  <w:vAlign w:val="center"/>
                </w:tcPr>
                <w:p>
                  <w:pPr>
                    <w:keepNext w:val="0"/>
                    <w:keepLines w:val="0"/>
                    <w:widowControl/>
                    <w:suppressLineNumbers w:val="0"/>
                    <w:spacing w:before="0" w:beforeAutospacing="0" w:after="0" w:afterAutospacing="0"/>
                    <w:ind w:left="0" w:right="0"/>
                    <w:jc w:val="center"/>
                    <w:rPr>
                      <w:rFonts w:hint="eastAsia"/>
                      <w:color w:val="000000" w:themeColor="text1"/>
                      <w:ker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50" w:type="pct"/>
                  <w:vMerge w:val="restart"/>
                  <w:noWrap w:val="0"/>
                  <w:vAlign w:val="center"/>
                </w:tcPr>
                <w:p>
                  <w:pPr>
                    <w:keepNext w:val="0"/>
                    <w:keepLines w:val="0"/>
                    <w:suppressLineNumbers w:val="0"/>
                    <w:spacing w:before="0" w:beforeAutospacing="0" w:after="0" w:afterAutospacing="0" w:line="360" w:lineRule="auto"/>
                    <w:ind w:left="0" w:right="0" w:firstLine="189" w:firstLineChars="90"/>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4</w:t>
                  </w:r>
                </w:p>
              </w:tc>
              <w:tc>
                <w:tcPr>
                  <w:tcW w:w="913" w:type="pct"/>
                  <w:vMerge w:val="restart"/>
                  <w:noWrap w:val="0"/>
                  <w:vAlign w:val="center"/>
                </w:tcPr>
                <w:p>
                  <w:pPr>
                    <w:keepNext w:val="0"/>
                    <w:keepLines w:val="0"/>
                    <w:suppressLineNumbers w:val="0"/>
                    <w:spacing w:before="0" w:beforeAutospacing="0" w:after="0" w:afterAutospacing="0"/>
                    <w:ind w:left="0" w:right="0"/>
                    <w:rPr>
                      <w:rFonts w:hint="default"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K</w:t>
                  </w:r>
                  <w:r>
                    <w:rPr>
                      <w:color w:val="000000" w:themeColor="text1"/>
                      <w:kern w:val="0"/>
                      <w:sz w:val="21"/>
                      <w:szCs w:val="21"/>
                      <w:highlight w:val="none"/>
                      <w14:textFill>
                        <w14:solidFill>
                          <w14:schemeClr w14:val="tx1"/>
                        </w14:solidFill>
                      </w14:textFill>
                    </w:rPr>
                    <w:t>1+</w:t>
                  </w:r>
                  <w:r>
                    <w:rPr>
                      <w:rFonts w:hint="eastAsia"/>
                      <w:color w:val="000000" w:themeColor="text1"/>
                      <w:kern w:val="0"/>
                      <w:sz w:val="21"/>
                      <w:szCs w:val="21"/>
                      <w:highlight w:val="none"/>
                      <w:lang w:val="en-US" w:eastAsia="zh-CN"/>
                      <w14:textFill>
                        <w14:solidFill>
                          <w14:schemeClr w14:val="tx1"/>
                        </w14:solidFill>
                      </w14:textFill>
                    </w:rPr>
                    <w:t>339.437</w:t>
                  </w:r>
                </w:p>
              </w:tc>
              <w:tc>
                <w:tcPr>
                  <w:tcW w:w="792" w:type="pct"/>
                  <w:vMerge w:val="restart"/>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规划道路</w:t>
                  </w:r>
                </w:p>
              </w:tc>
              <w:tc>
                <w:tcPr>
                  <w:tcW w:w="730" w:type="pct"/>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规划</w:t>
                  </w:r>
                </w:p>
              </w:tc>
              <w:tc>
                <w:tcPr>
                  <w:tcW w:w="1406" w:type="pct"/>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lang w:val="en-US" w:eastAsia="zh-CN" w:bidi="ar-SA"/>
                      <w14:textFill>
                        <w14:solidFill>
                          <w14:schemeClr w14:val="tx1"/>
                        </w14:solidFill>
                      </w14:textFill>
                    </w:rPr>
                  </w:pPr>
                  <w:r>
                    <w:rPr>
                      <w:color w:val="000000" w:themeColor="text1"/>
                      <w:kern w:val="0"/>
                      <w:sz w:val="21"/>
                      <w:szCs w:val="21"/>
                      <w:highlight w:val="none"/>
                      <w14:textFill>
                        <w14:solidFill>
                          <w14:schemeClr w14:val="tx1"/>
                        </w14:solidFill>
                      </w14:textFill>
                    </w:rPr>
                    <w:t>十字平交</w:t>
                  </w:r>
                  <w:r>
                    <w:rPr>
                      <w:rFonts w:hint="eastAsia"/>
                      <w:color w:val="000000" w:themeColor="text1"/>
                      <w:kern w:val="0"/>
                      <w:sz w:val="21"/>
                      <w:szCs w:val="21"/>
                      <w:highlight w:val="none"/>
                      <w:lang w:eastAsia="zh-CN"/>
                      <w14:textFill>
                        <w14:solidFill>
                          <w14:schemeClr w14:val="tx1"/>
                        </w14:solidFill>
                      </w14:textFill>
                    </w:rPr>
                    <w:t>（底平层）</w:t>
                  </w:r>
                </w:p>
              </w:tc>
              <w:tc>
                <w:tcPr>
                  <w:tcW w:w="806" w:type="pct"/>
                  <w:vMerge w:val="restart"/>
                  <w:noWrap w:val="0"/>
                  <w:vAlign w:val="center"/>
                </w:tcPr>
                <w:p>
                  <w:pPr>
                    <w:keepNext w:val="0"/>
                    <w:keepLines w:val="0"/>
                    <w:widowControl/>
                    <w:suppressLineNumbers w:val="0"/>
                    <w:spacing w:before="0" w:beforeAutospacing="0" w:after="0" w:afterAutospacing="0"/>
                    <w:ind w:left="0" w:right="0"/>
                    <w:jc w:val="center"/>
                    <w:rPr>
                      <w:rFonts w:hint="eastAsia"/>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次干路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50" w:type="pct"/>
                  <w:vMerge w:val="continue"/>
                  <w:noWrap w:val="0"/>
                  <w:vAlign w:val="center"/>
                </w:tcPr>
                <w:p>
                  <w:pPr>
                    <w:keepNext w:val="0"/>
                    <w:keepLines w:val="0"/>
                    <w:suppressLineNumbers w:val="0"/>
                    <w:spacing w:before="0" w:beforeAutospacing="0" w:after="0" w:afterAutospacing="0" w:line="360" w:lineRule="auto"/>
                    <w:ind w:left="0" w:right="0" w:firstLine="189" w:firstLineChars="90"/>
                    <w:rPr>
                      <w:rFonts w:hint="eastAsia"/>
                      <w:color w:val="000000" w:themeColor="text1"/>
                      <w:kern w:val="0"/>
                      <w:sz w:val="21"/>
                      <w:szCs w:val="21"/>
                      <w:highlight w:val="none"/>
                      <w14:textFill>
                        <w14:solidFill>
                          <w14:schemeClr w14:val="tx1"/>
                        </w14:solidFill>
                      </w14:textFill>
                    </w:rPr>
                  </w:pPr>
                </w:p>
              </w:tc>
              <w:tc>
                <w:tcPr>
                  <w:tcW w:w="913" w:type="pct"/>
                  <w:vMerge w:val="continue"/>
                  <w:noWrap w:val="0"/>
                  <w:vAlign w:val="center"/>
                </w:tcPr>
                <w:p>
                  <w:pPr>
                    <w:keepNext w:val="0"/>
                    <w:keepLines w:val="0"/>
                    <w:suppressLineNumbers w:val="0"/>
                    <w:spacing w:before="0" w:beforeAutospacing="0" w:after="0" w:afterAutospacing="0"/>
                    <w:ind w:left="0" w:right="0"/>
                    <w:rPr>
                      <w:rFonts w:hint="eastAsia"/>
                      <w:color w:val="000000" w:themeColor="text1"/>
                      <w:kern w:val="0"/>
                      <w:sz w:val="21"/>
                      <w:szCs w:val="21"/>
                      <w:highlight w:val="none"/>
                      <w14:textFill>
                        <w14:solidFill>
                          <w14:schemeClr w14:val="tx1"/>
                        </w14:solidFill>
                      </w14:textFill>
                    </w:rPr>
                  </w:pPr>
                </w:p>
              </w:tc>
              <w:tc>
                <w:tcPr>
                  <w:tcW w:w="792" w:type="pct"/>
                  <w:vMerge w:val="continue"/>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p>
              </w:tc>
              <w:tc>
                <w:tcPr>
                  <w:tcW w:w="730" w:type="pct"/>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lang w:val="en-US" w:eastAsia="zh-CN" w:bidi="ar-SA"/>
                      <w14:textFill>
                        <w14:solidFill>
                          <w14:schemeClr w14:val="tx1"/>
                        </w14:solidFill>
                      </w14:textFill>
                    </w:rPr>
                  </w:pPr>
                  <w:r>
                    <w:rPr>
                      <w:color w:val="000000" w:themeColor="text1"/>
                      <w:kern w:val="0"/>
                      <w:sz w:val="21"/>
                      <w:szCs w:val="21"/>
                      <w:highlight w:val="none"/>
                      <w14:textFill>
                        <w14:solidFill>
                          <w14:schemeClr w14:val="tx1"/>
                        </w14:solidFill>
                      </w14:textFill>
                    </w:rPr>
                    <w:t>规划</w:t>
                  </w:r>
                </w:p>
              </w:tc>
              <w:tc>
                <w:tcPr>
                  <w:tcW w:w="1406" w:type="pct"/>
                  <w:noWrap w:val="0"/>
                  <w:vAlign w:val="center"/>
                </w:tcPr>
                <w:p>
                  <w:pPr>
                    <w:keepNext w:val="0"/>
                    <w:keepLines w:val="0"/>
                    <w:widowControl/>
                    <w:suppressLineNumbers w:val="0"/>
                    <w:spacing w:before="0" w:beforeAutospacing="0" w:after="0" w:afterAutospacing="0"/>
                    <w:ind w:left="0" w:right="0"/>
                    <w:jc w:val="center"/>
                    <w:rPr>
                      <w:rFonts w:hint="eastAsia"/>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eastAsia="zh-CN"/>
                      <w14:textFill>
                        <w14:solidFill>
                          <w14:schemeClr w14:val="tx1"/>
                        </w14:solidFill>
                      </w14:textFill>
                    </w:rPr>
                    <w:t>主线</w:t>
                  </w:r>
                  <w:r>
                    <w:rPr>
                      <w:rFonts w:hint="eastAsia"/>
                      <w:color w:val="000000" w:themeColor="text1"/>
                      <w:kern w:val="0"/>
                      <w:sz w:val="21"/>
                      <w:szCs w:val="21"/>
                      <w:highlight w:val="none"/>
                      <w14:textFill>
                        <w14:solidFill>
                          <w14:schemeClr w14:val="tx1"/>
                        </w14:solidFill>
                      </w14:textFill>
                    </w:rPr>
                    <w:t>上跨</w:t>
                  </w:r>
                </w:p>
              </w:tc>
              <w:tc>
                <w:tcPr>
                  <w:tcW w:w="806" w:type="pct"/>
                  <w:vMerge w:val="continue"/>
                  <w:noWrap w:val="0"/>
                  <w:vAlign w:val="center"/>
                </w:tcPr>
                <w:p>
                  <w:pPr>
                    <w:keepNext w:val="0"/>
                    <w:keepLines w:val="0"/>
                    <w:widowControl/>
                    <w:suppressLineNumbers w:val="0"/>
                    <w:spacing w:before="0" w:beforeAutospacing="0" w:after="0" w:afterAutospacing="0"/>
                    <w:ind w:left="0" w:right="0"/>
                    <w:jc w:val="center"/>
                    <w:rPr>
                      <w:rFonts w:hint="eastAsia"/>
                      <w:color w:val="000000" w:themeColor="text1"/>
                      <w:ker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50" w:type="pct"/>
                  <w:noWrap w:val="0"/>
                  <w:vAlign w:val="center"/>
                </w:tcPr>
                <w:p>
                  <w:pPr>
                    <w:keepNext w:val="0"/>
                    <w:keepLines w:val="0"/>
                    <w:suppressLineNumbers w:val="0"/>
                    <w:spacing w:before="0" w:beforeAutospacing="0" w:after="0" w:afterAutospacing="0" w:line="360" w:lineRule="auto"/>
                    <w:ind w:left="0" w:right="0" w:firstLine="189" w:firstLineChars="90"/>
                    <w:rPr>
                      <w:rFonts w:hint="eastAsia"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5</w:t>
                  </w:r>
                </w:p>
              </w:tc>
              <w:tc>
                <w:tcPr>
                  <w:tcW w:w="913" w:type="pct"/>
                  <w:noWrap w:val="0"/>
                  <w:vAlign w:val="center"/>
                </w:tcPr>
                <w:p>
                  <w:pPr>
                    <w:keepNext w:val="0"/>
                    <w:keepLines w:val="0"/>
                    <w:suppressLineNumbers w:val="0"/>
                    <w:spacing w:before="0" w:beforeAutospacing="0" w:after="0" w:afterAutospacing="0"/>
                    <w:ind w:left="0" w:right="0"/>
                    <w:rPr>
                      <w:rFonts w:hint="default"/>
                      <w:color w:val="000000" w:themeColor="text1"/>
                      <w:kern w:val="0"/>
                      <w:sz w:val="21"/>
                      <w:szCs w:val="21"/>
                      <w:highlight w:val="none"/>
                      <w:lang w:val="en-US"/>
                      <w14:textFill>
                        <w14:solidFill>
                          <w14:schemeClr w14:val="tx1"/>
                        </w14:solidFill>
                      </w14:textFill>
                    </w:rPr>
                  </w:pPr>
                  <w:r>
                    <w:rPr>
                      <w:rFonts w:ascii="宋体" w:hAnsi="宋体" w:cs="宋体"/>
                      <w:color w:val="000000" w:themeColor="text1"/>
                      <w:sz w:val="21"/>
                      <w:szCs w:val="21"/>
                      <w:highlight w:val="none"/>
                      <w14:textFill>
                        <w14:solidFill>
                          <w14:schemeClr w14:val="tx1"/>
                        </w14:solidFill>
                      </w14:textFill>
                    </w:rPr>
                    <w:t>K1+</w:t>
                  </w:r>
                  <w:r>
                    <w:rPr>
                      <w:rFonts w:hint="eastAsia" w:ascii="宋体" w:hAnsi="宋体" w:cs="宋体"/>
                      <w:color w:val="000000" w:themeColor="text1"/>
                      <w:sz w:val="21"/>
                      <w:szCs w:val="21"/>
                      <w:highlight w:val="none"/>
                      <w:lang w:val="en-US" w:eastAsia="zh-CN"/>
                      <w14:textFill>
                        <w14:solidFill>
                          <w14:schemeClr w14:val="tx1"/>
                        </w14:solidFill>
                      </w14:textFill>
                    </w:rPr>
                    <w:t>547.902</w:t>
                  </w:r>
                </w:p>
              </w:tc>
              <w:tc>
                <w:tcPr>
                  <w:tcW w:w="792" w:type="pct"/>
                  <w:noWrap w:val="0"/>
                  <w:vAlign w:val="center"/>
                </w:tcPr>
                <w:p>
                  <w:pPr>
                    <w:keepNext w:val="0"/>
                    <w:keepLines w:val="0"/>
                    <w:widowControl/>
                    <w:suppressLineNumbers w:val="0"/>
                    <w:spacing w:before="0" w:beforeAutospacing="0" w:after="0" w:afterAutospacing="0"/>
                    <w:ind w:left="0" w:right="0"/>
                    <w:jc w:val="center"/>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eastAsia="zh-CN"/>
                      <w14:textFill>
                        <w14:solidFill>
                          <w14:schemeClr w14:val="tx1"/>
                        </w14:solidFill>
                      </w14:textFill>
                    </w:rPr>
                    <w:t>外环快速</w:t>
                  </w:r>
                </w:p>
              </w:tc>
              <w:tc>
                <w:tcPr>
                  <w:tcW w:w="730" w:type="pct"/>
                  <w:noWrap w:val="0"/>
                  <w:vAlign w:val="center"/>
                </w:tcPr>
                <w:p>
                  <w:pPr>
                    <w:keepNext w:val="0"/>
                    <w:keepLines w:val="0"/>
                    <w:widowControl/>
                    <w:suppressLineNumbers w:val="0"/>
                    <w:spacing w:before="0" w:beforeAutospacing="0" w:after="0" w:afterAutospacing="0"/>
                    <w:ind w:left="0" w:right="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规划</w:t>
                  </w:r>
                </w:p>
              </w:tc>
              <w:tc>
                <w:tcPr>
                  <w:tcW w:w="1406" w:type="pct"/>
                  <w:noWrap w:val="0"/>
                  <w:vAlign w:val="center"/>
                </w:tcPr>
                <w:p>
                  <w:pPr>
                    <w:keepNext w:val="0"/>
                    <w:keepLines w:val="0"/>
                    <w:suppressLineNumbers w:val="0"/>
                    <w:spacing w:before="0" w:beforeAutospacing="0" w:after="0" w:afterAutospacing="0" w:line="360" w:lineRule="auto"/>
                    <w:ind w:left="0" w:right="0"/>
                    <w:jc w:val="center"/>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eastAsia="zh-CN"/>
                      <w14:textFill>
                        <w14:solidFill>
                          <w14:schemeClr w14:val="tx1"/>
                        </w14:solidFill>
                      </w14:textFill>
                    </w:rPr>
                    <w:t>主线上跨</w:t>
                  </w:r>
                </w:p>
              </w:tc>
              <w:tc>
                <w:tcPr>
                  <w:tcW w:w="806" w:type="pct"/>
                  <w:noWrap w:val="0"/>
                  <w:vAlign w:val="center"/>
                </w:tcPr>
                <w:p>
                  <w:pPr>
                    <w:keepNext w:val="0"/>
                    <w:keepLines w:val="0"/>
                    <w:widowControl/>
                    <w:suppressLineNumbers w:val="0"/>
                    <w:spacing w:before="0" w:beforeAutospacing="0" w:after="0" w:afterAutospacing="0"/>
                    <w:ind w:left="0" w:right="0"/>
                    <w:jc w:val="center"/>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eastAsia="zh-CN"/>
                      <w14:textFill>
                        <w14:solidFill>
                          <w14:schemeClr w14:val="tx1"/>
                        </w14:solidFill>
                      </w14:textFill>
                    </w:rPr>
                    <w:t>一级公路</w:t>
                  </w:r>
                </w:p>
              </w:tc>
            </w:tr>
          </w:tbl>
          <w:p>
            <w:pPr>
              <w:pStyle w:val="19"/>
              <w:keepNext w:val="0"/>
              <w:keepLines w:val="0"/>
              <w:widowControl w:val="0"/>
              <w:suppressLineNumbers w:val="0"/>
              <w:spacing w:before="0" w:beforeAutospacing="0" w:after="0" w:afterAutospacing="0" w:line="360" w:lineRule="auto"/>
              <w:ind w:left="0" w:leftChars="0" w:right="0" w:firstLine="482" w:firstLineChars="200"/>
              <w:jc w:val="left"/>
              <w:rPr>
                <w:rFonts w:hint="eastAsia" w:cs="宋体"/>
                <w:b/>
                <w:bCs/>
                <w:color w:val="000000" w:themeColor="text1"/>
                <w:kern w:val="2"/>
                <w:sz w:val="24"/>
                <w:szCs w:val="24"/>
                <w:highlight w:val="none"/>
                <w:lang w:val="en-US" w:eastAsia="zh-CN" w:bidi="ar"/>
                <w14:textFill>
                  <w14:solidFill>
                    <w14:schemeClr w14:val="tx1"/>
                  </w14:solidFill>
                </w14:textFill>
              </w:rPr>
            </w:pPr>
          </w:p>
          <w:p>
            <w:pPr>
              <w:pStyle w:val="19"/>
              <w:keepNext w:val="0"/>
              <w:keepLines w:val="0"/>
              <w:widowControl w:val="0"/>
              <w:suppressLineNumbers w:val="0"/>
              <w:spacing w:before="0" w:beforeAutospacing="0" w:after="0" w:afterAutospacing="0" w:line="360" w:lineRule="auto"/>
              <w:ind w:left="0" w:leftChars="0" w:right="0" w:firstLine="482" w:firstLineChars="200"/>
              <w:jc w:val="left"/>
              <w:rPr>
                <w:rFonts w:hint="default" w:ascii="宋体" w:hAnsi="宋体" w:eastAsia="宋体" w:cs="宋体"/>
                <w:b/>
                <w:bCs/>
                <w:color w:val="000000" w:themeColor="text1"/>
                <w:kern w:val="2"/>
                <w:sz w:val="24"/>
                <w:szCs w:val="24"/>
                <w:highlight w:val="none"/>
                <w:lang w:val="en-US" w:eastAsia="zh-CN" w:bidi="ar"/>
                <w14:textFill>
                  <w14:solidFill>
                    <w14:schemeClr w14:val="tx1"/>
                  </w14:solidFill>
                </w14:textFill>
              </w:rPr>
            </w:pPr>
            <w:r>
              <w:rPr>
                <w:rFonts w:hint="eastAsia" w:cs="宋体"/>
                <w:b/>
                <w:bCs/>
                <w:color w:val="000000" w:themeColor="text1"/>
                <w:kern w:val="2"/>
                <w:sz w:val="24"/>
                <w:szCs w:val="24"/>
                <w:highlight w:val="none"/>
                <w:lang w:val="en-US" w:eastAsia="zh-CN" w:bidi="ar"/>
                <w14:textFill>
                  <w14:solidFill>
                    <w14:schemeClr w14:val="tx1"/>
                  </w14:solidFill>
                </w14:textFill>
              </w:rPr>
              <w:t>5、匝道设计</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Times New Roman"/>
                <w:color w:val="000000" w:themeColor="text1"/>
                <w:sz w:val="24"/>
                <w:highlight w:val="none"/>
                <w:lang w:val="en-US" w:eastAsia="zh-CN"/>
                <w14:textFill>
                  <w14:solidFill>
                    <w14:schemeClr w14:val="tx1"/>
                  </w14:solidFill>
                </w14:textFill>
              </w:rPr>
            </w:pPr>
            <w:r>
              <w:rPr>
                <w:rFonts w:hint="eastAsia" w:ascii="宋体" w:hAnsi="宋体" w:eastAsia="宋体" w:cs="Times New Roman"/>
                <w:color w:val="000000" w:themeColor="text1"/>
                <w:sz w:val="24"/>
                <w:highlight w:val="none"/>
                <w:lang w:val="en-US" w:eastAsia="zh-CN"/>
                <w14:textFill>
                  <w14:solidFill>
                    <w14:schemeClr w14:val="tx1"/>
                  </w14:solidFill>
                </w14:textFill>
              </w:rPr>
              <w:t>本项目在K0+736.39处设置上下行匝道通过匝道进行主线桥上下行交通转换,匝道设计速度为40Km/h，匝道设计范围为AK0+736.39～AK1+042.103；BK0+736.39～BK1+042.103，,与K1+042.103接入主线桥。匝道进出口形式均为渐变式。</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Times New Roman"/>
                <w:color w:val="000000" w:themeColor="text1"/>
                <w:sz w:val="24"/>
                <w:highlight w:val="none"/>
                <w:lang w:val="en-US" w:eastAsia="zh-CN"/>
                <w14:textFill>
                  <w14:solidFill>
                    <w14:schemeClr w14:val="tx1"/>
                  </w14:solidFill>
                </w14:textFill>
              </w:rPr>
            </w:pPr>
            <w:r>
              <w:rPr>
                <w:rFonts w:hint="eastAsia" w:ascii="宋体" w:hAnsi="宋体" w:eastAsia="宋体" w:cs="Times New Roman"/>
                <w:color w:val="000000" w:themeColor="text1"/>
                <w:sz w:val="24"/>
                <w:highlight w:val="none"/>
                <w:lang w:val="en-US" w:eastAsia="zh-CN"/>
                <w14:textFill>
                  <w14:solidFill>
                    <w14:schemeClr w14:val="tx1"/>
                  </w14:solidFill>
                </w14:textFill>
              </w:rPr>
              <w:t>匝道平面线型为直线，匝道桥最大纵坡4%。</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宋体" w:hAnsi="宋体" w:eastAsia="宋体" w:cs="Times New Roman"/>
                <w:color w:val="000000" w:themeColor="text1"/>
                <w:sz w:val="24"/>
                <w:highlight w:val="none"/>
                <w:lang w:val="en-US" w:eastAsia="zh-CN"/>
                <w14:textFill>
                  <w14:solidFill>
                    <w14:schemeClr w14:val="tx1"/>
                  </w14:solidFill>
                </w14:textFill>
              </w:rPr>
              <w:t>匝道为两车道，宽度为9m。</w:t>
            </w:r>
          </w:p>
          <w:p>
            <w:pPr>
              <w:pStyle w:val="19"/>
              <w:keepNext w:val="0"/>
              <w:keepLines w:val="0"/>
              <w:widowControl w:val="0"/>
              <w:suppressLineNumbers w:val="0"/>
              <w:spacing w:before="0" w:beforeAutospacing="0" w:after="0" w:afterAutospacing="0" w:line="360" w:lineRule="auto"/>
              <w:ind w:left="0" w:leftChars="0" w:right="0" w:firstLine="482" w:firstLineChars="200"/>
              <w:jc w:val="left"/>
              <w:rPr>
                <w:rFonts w:hint="default" w:ascii="宋体" w:hAnsi="宋体" w:eastAsia="宋体" w:cs="宋体"/>
                <w:b/>
                <w:bCs/>
                <w:color w:val="000000" w:themeColor="text1"/>
                <w:kern w:val="2"/>
                <w:sz w:val="24"/>
                <w:szCs w:val="24"/>
                <w:highlight w:val="none"/>
                <w:lang w:val="en-US" w:eastAsia="zh-CN" w:bidi="ar"/>
                <w14:textFill>
                  <w14:solidFill>
                    <w14:schemeClr w14:val="tx1"/>
                  </w14:solidFill>
                </w14:textFill>
              </w:rPr>
            </w:pPr>
            <w:r>
              <w:rPr>
                <w:rFonts w:hint="eastAsia" w:cs="宋体"/>
                <w:b/>
                <w:bCs/>
                <w:color w:val="000000" w:themeColor="text1"/>
                <w:kern w:val="2"/>
                <w:sz w:val="24"/>
                <w:szCs w:val="24"/>
                <w:highlight w:val="none"/>
                <w:lang w:val="en-US" w:eastAsia="zh-CN" w:bidi="ar"/>
                <w14:textFill>
                  <w14:solidFill>
                    <w14:schemeClr w14:val="tx1"/>
                  </w14:solidFill>
                </w14:textFill>
              </w:rPr>
              <w:t>6、路基设计</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设计标高：</w:t>
            </w:r>
            <w:r>
              <w:rPr>
                <w:rFonts w:hint="eastAsia" w:ascii="宋体" w:hAnsi="宋体"/>
                <w:color w:val="000000" w:themeColor="text1"/>
                <w:sz w:val="24"/>
                <w:highlight w:val="none"/>
                <w14:textFill>
                  <w14:solidFill>
                    <w14:schemeClr w14:val="tx1"/>
                  </w14:solidFill>
                </w14:textFill>
              </w:rPr>
              <w:t>道路平层设计标高为中央分隔带边缘路面标高。高架</w:t>
            </w:r>
            <w:r>
              <w:rPr>
                <w:rFonts w:ascii="宋体" w:hAnsi="宋体"/>
                <w:color w:val="000000" w:themeColor="text1"/>
                <w:sz w:val="24"/>
                <w:highlight w:val="none"/>
                <w14:textFill>
                  <w14:solidFill>
                    <w14:schemeClr w14:val="tx1"/>
                  </w14:solidFill>
                </w14:textFill>
              </w:rPr>
              <w:t>桥设计标高为路中线</w:t>
            </w:r>
            <w:r>
              <w:rPr>
                <w:rFonts w:hint="eastAsia" w:ascii="宋体" w:hAnsi="宋体"/>
                <w:color w:val="000000" w:themeColor="text1"/>
                <w:sz w:val="24"/>
                <w:highlight w:val="none"/>
                <w14:textFill>
                  <w14:solidFill>
                    <w14:schemeClr w14:val="tx1"/>
                  </w14:solidFill>
                </w14:textFill>
              </w:rPr>
              <w:t>标高。</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cs="宋体"/>
                <w:color w:val="000000" w:themeColor="text1"/>
                <w:kern w:val="2"/>
                <w:sz w:val="24"/>
                <w:szCs w:val="24"/>
                <w:highlight w:val="none"/>
                <w:lang w:val="en-US" w:eastAsia="zh-CN" w:bidi="ar"/>
                <w14:textFill>
                  <w14:solidFill>
                    <w14:schemeClr w14:val="tx1"/>
                  </w14:solidFill>
                </w14:textFill>
              </w:rPr>
              <w:t>填料要求：</w:t>
            </w:r>
            <w:r>
              <w:rPr>
                <w:rFonts w:hint="eastAsia" w:ascii="宋体" w:hAnsi="宋体"/>
                <w:color w:val="000000" w:themeColor="text1"/>
                <w:sz w:val="24"/>
                <w:highlight w:val="none"/>
                <w14:textFill>
                  <w14:solidFill>
                    <w14:schemeClr w14:val="tx1"/>
                  </w14:solidFill>
                </w14:textFill>
              </w:rPr>
              <w:t>路基填料采用路基挖方中的土、石方填筑，Ⅰ类土除外，填料最大粒径应小于150mm</w:t>
            </w:r>
            <w:r>
              <w:rPr>
                <w:rFonts w:hint="eastAsia" w:ascii="宋体" w:hAnsi="宋体"/>
                <w:color w:val="000000" w:themeColor="text1"/>
                <w:sz w:val="24"/>
                <w:highlight w:val="none"/>
                <w:lang w:eastAsia="zh-CN"/>
                <w14:textFill>
                  <w14:solidFill>
                    <w14:schemeClr w14:val="tx1"/>
                  </w14:solidFill>
                </w14:textFill>
              </w:rPr>
              <w:t>。</w:t>
            </w:r>
          </w:p>
          <w:p>
            <w:pPr>
              <w:pStyle w:val="19"/>
              <w:keepNext w:val="0"/>
              <w:keepLines w:val="0"/>
              <w:widowControl w:val="0"/>
              <w:suppressLineNumbers w:val="0"/>
              <w:spacing w:before="0" w:beforeAutospacing="0" w:after="0" w:afterAutospacing="0" w:line="360" w:lineRule="auto"/>
              <w:ind w:left="0" w:leftChars="0" w:right="0" w:firstLine="482" w:firstLineChars="200"/>
              <w:jc w:val="left"/>
              <w:rPr>
                <w:rFonts w:hint="eastAsia" w:ascii="宋体" w:hAnsi="宋体" w:eastAsia="宋体" w:cs="宋体"/>
                <w:b/>
                <w:bCs/>
                <w:color w:val="000000" w:themeColor="text1"/>
                <w:kern w:val="2"/>
                <w:sz w:val="24"/>
                <w:szCs w:val="24"/>
                <w:highlight w:val="none"/>
                <w:lang w:val="en-US" w:eastAsia="zh-CN" w:bidi="ar"/>
                <w14:textFill>
                  <w14:solidFill>
                    <w14:schemeClr w14:val="tx1"/>
                  </w14:solidFill>
                </w14:textFill>
              </w:rPr>
            </w:pPr>
            <w:r>
              <w:rPr>
                <w:rFonts w:hint="eastAsia" w:cs="宋体"/>
                <w:b/>
                <w:bCs/>
                <w:color w:val="000000" w:themeColor="text1"/>
                <w:kern w:val="2"/>
                <w:sz w:val="24"/>
                <w:szCs w:val="24"/>
                <w:highlight w:val="none"/>
                <w:lang w:val="en-US" w:eastAsia="zh-CN" w:bidi="ar"/>
                <w14:textFill>
                  <w14:solidFill>
                    <w14:schemeClr w14:val="tx1"/>
                  </w14:solidFill>
                </w14:textFill>
              </w:rPr>
              <w:t>（1）</w:t>
            </w:r>
            <w:r>
              <w:rPr>
                <w:rFonts w:hint="eastAsia" w:ascii="宋体" w:hAnsi="宋体" w:eastAsia="宋体" w:cs="宋体"/>
                <w:b/>
                <w:bCs/>
                <w:color w:val="000000" w:themeColor="text1"/>
                <w:kern w:val="2"/>
                <w:sz w:val="24"/>
                <w:szCs w:val="24"/>
                <w:highlight w:val="none"/>
                <w:lang w:val="en-US" w:eastAsia="zh-CN" w:bidi="ar"/>
                <w14:textFill>
                  <w14:solidFill>
                    <w14:schemeClr w14:val="tx1"/>
                  </w14:solidFill>
                </w14:textFill>
              </w:rPr>
              <w:t>一般填方路堤</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填方路基通过一般土质路段，路基填筑前必须清除地表面耕植土、腐植土、淤泥等软弱土质，拟定清表处理厚度60cm，清出的表土供绿化用土。路堤填筑采用土工格栅加固路堤边坡，原地面的坑、洞、墓穴等应用原地合格土或砂性土回填，并进行压实，其压实度不小于95%。</w:t>
            </w:r>
          </w:p>
          <w:p>
            <w:pPr>
              <w:pStyle w:val="19"/>
              <w:keepNext w:val="0"/>
              <w:keepLines w:val="0"/>
              <w:widowControl w:val="0"/>
              <w:suppressLineNumbers w:val="0"/>
              <w:spacing w:before="0" w:beforeAutospacing="0" w:after="0" w:afterAutospacing="0" w:line="360" w:lineRule="auto"/>
              <w:ind w:left="0" w:leftChars="0" w:right="0" w:firstLine="482" w:firstLineChars="200"/>
              <w:jc w:val="left"/>
              <w:rPr>
                <w:rFonts w:hint="eastAsia" w:ascii="宋体" w:hAnsi="宋体" w:eastAsia="宋体" w:cs="宋体"/>
                <w:b/>
                <w:bCs/>
                <w:color w:val="000000" w:themeColor="text1"/>
                <w:kern w:val="2"/>
                <w:sz w:val="24"/>
                <w:szCs w:val="24"/>
                <w:highlight w:val="none"/>
                <w:lang w:val="en-US" w:eastAsia="zh-CN" w:bidi="ar"/>
                <w14:textFill>
                  <w14:solidFill>
                    <w14:schemeClr w14:val="tx1"/>
                  </w14:solidFill>
                </w14:textFill>
              </w:rPr>
            </w:pPr>
            <w:r>
              <w:rPr>
                <w:rFonts w:hint="eastAsia" w:cs="宋体"/>
                <w:b/>
                <w:bCs/>
                <w:color w:val="000000" w:themeColor="text1"/>
                <w:kern w:val="2"/>
                <w:sz w:val="24"/>
                <w:szCs w:val="24"/>
                <w:highlight w:val="none"/>
                <w:lang w:val="en-US" w:eastAsia="zh-CN" w:bidi="ar"/>
                <w14:textFill>
                  <w14:solidFill>
                    <w14:schemeClr w14:val="tx1"/>
                  </w14:solidFill>
                </w14:textFill>
              </w:rPr>
              <w:t>（2）</w:t>
            </w:r>
            <w:r>
              <w:rPr>
                <w:rFonts w:hint="eastAsia" w:ascii="宋体" w:hAnsi="宋体" w:eastAsia="宋体" w:cs="宋体"/>
                <w:b/>
                <w:bCs/>
                <w:color w:val="000000" w:themeColor="text1"/>
                <w:kern w:val="2"/>
                <w:sz w:val="24"/>
                <w:szCs w:val="24"/>
                <w:highlight w:val="none"/>
                <w:lang w:val="en-US" w:eastAsia="zh-CN" w:bidi="ar"/>
                <w14:textFill>
                  <w14:solidFill>
                    <w14:schemeClr w14:val="tx1"/>
                  </w14:solidFill>
                </w14:textFill>
              </w:rPr>
              <w:t>一般挖方路堑</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挖方路堑坡脚设置1.0m宽平台（碎落台），每8m一级，各级之间设置2.0m宽平台，每三级边坡设加宽平台，宽度6m，平台设2～4%的外倾横坡，利于排水。挖方边坡上侧山坡汇水面积大时，应于坡口5m以外适当位置设置截水沟</w:t>
            </w: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路基开挖必须按设计断面自上而下开挖，不得乱挖、超挖及欠挖，开挖至路基顶面时应注意预留碾压沉降高度。</w:t>
            </w:r>
          </w:p>
          <w:p>
            <w:pPr>
              <w:pStyle w:val="19"/>
              <w:keepNext w:val="0"/>
              <w:keepLines w:val="0"/>
              <w:widowControl w:val="0"/>
              <w:suppressLineNumbers w:val="0"/>
              <w:spacing w:before="0" w:beforeAutospacing="0" w:after="0" w:afterAutospacing="0" w:line="360" w:lineRule="auto"/>
              <w:ind w:left="0" w:leftChars="0" w:right="0" w:firstLine="482" w:firstLineChars="200"/>
              <w:jc w:val="left"/>
              <w:rPr>
                <w:rFonts w:hint="eastAsia" w:cs="宋体"/>
                <w:b/>
                <w:bCs/>
                <w:color w:val="000000" w:themeColor="text1"/>
                <w:kern w:val="2"/>
                <w:sz w:val="24"/>
                <w:szCs w:val="24"/>
                <w:highlight w:val="none"/>
                <w:lang w:val="en-US" w:eastAsia="zh-CN" w:bidi="ar"/>
                <w14:textFill>
                  <w14:solidFill>
                    <w14:schemeClr w14:val="tx1"/>
                  </w14:solidFill>
                </w14:textFill>
              </w:rPr>
            </w:pPr>
            <w:r>
              <w:rPr>
                <w:rFonts w:hint="eastAsia" w:cs="宋体"/>
                <w:b/>
                <w:bCs/>
                <w:color w:val="000000" w:themeColor="text1"/>
                <w:kern w:val="2"/>
                <w:sz w:val="24"/>
                <w:szCs w:val="24"/>
                <w:highlight w:val="none"/>
                <w:lang w:val="en-US" w:eastAsia="zh-CN" w:bidi="ar"/>
                <w14:textFill>
                  <w14:solidFill>
                    <w14:schemeClr w14:val="tx1"/>
                  </w14:solidFill>
                </w14:textFill>
              </w:rPr>
              <w:t>（3）低填浅挖路基</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当填方高度小于80cm+路面结构层厚时，视为低填路基，应对上、下路床范围内的填料或表土采取换填处理，换填材料选择级配碎石，含泥量小于5%，最大粒径10cm，路床填料及压实度要求应满足规范要求。</w:t>
            </w:r>
          </w:p>
          <w:p>
            <w:pPr>
              <w:pStyle w:val="19"/>
              <w:keepNext w:val="0"/>
              <w:keepLines w:val="0"/>
              <w:widowControl w:val="0"/>
              <w:suppressLineNumbers w:val="0"/>
              <w:spacing w:before="0" w:beforeAutospacing="0" w:after="0" w:afterAutospacing="0" w:line="360" w:lineRule="auto"/>
              <w:ind w:left="0" w:leftChars="0" w:right="0" w:firstLine="482" w:firstLineChars="200"/>
              <w:jc w:val="left"/>
              <w:rPr>
                <w:rFonts w:hint="eastAsia" w:cs="宋体"/>
                <w:b/>
                <w:bCs/>
                <w:color w:val="000000" w:themeColor="text1"/>
                <w:kern w:val="2"/>
                <w:sz w:val="24"/>
                <w:szCs w:val="24"/>
                <w:highlight w:val="none"/>
                <w:lang w:val="en-US" w:eastAsia="zh-CN" w:bidi="ar"/>
                <w14:textFill>
                  <w14:solidFill>
                    <w14:schemeClr w14:val="tx1"/>
                  </w14:solidFill>
                </w14:textFill>
              </w:rPr>
            </w:pPr>
            <w:r>
              <w:rPr>
                <w:rFonts w:hint="eastAsia" w:cs="宋体"/>
                <w:b/>
                <w:bCs/>
                <w:color w:val="000000" w:themeColor="text1"/>
                <w:kern w:val="2"/>
                <w:sz w:val="24"/>
                <w:szCs w:val="24"/>
                <w:highlight w:val="none"/>
                <w:lang w:val="en-US" w:eastAsia="zh-CN" w:bidi="ar"/>
                <w14:textFill>
                  <w14:solidFill>
                    <w14:schemeClr w14:val="tx1"/>
                  </w14:solidFill>
                </w14:textFill>
              </w:rPr>
              <w:t>（4）纵、横向填挖交界处理</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当地面横坡陡于1：5时，要求在原地表开挖成向内倾斜2～4％的反向台阶，台阶宽度不得小于3m。为避免交界处路基不均匀沉降过大造成拉裂破坏，除要求开挖台阶外，还应在路面底面以下铺设3层双向聚丙烯土工格栅，抗拉强度≥80kN/m，断裂(屈服)延伸率≤10％。填挖交界处应酌情设置排水渗沟，并于适当位置引出。</w:t>
            </w:r>
          </w:p>
          <w:p>
            <w:pPr>
              <w:pStyle w:val="19"/>
              <w:keepNext w:val="0"/>
              <w:keepLines w:val="0"/>
              <w:widowControl w:val="0"/>
              <w:suppressLineNumbers w:val="0"/>
              <w:spacing w:before="0" w:beforeAutospacing="0" w:after="0" w:afterAutospacing="0" w:line="360" w:lineRule="auto"/>
              <w:ind w:left="0" w:leftChars="0" w:right="0" w:firstLine="482" w:firstLineChars="200"/>
              <w:jc w:val="left"/>
              <w:rPr>
                <w:rFonts w:hint="eastAsia" w:cs="宋体"/>
                <w:b/>
                <w:bCs/>
                <w:color w:val="000000" w:themeColor="text1"/>
                <w:kern w:val="2"/>
                <w:sz w:val="24"/>
                <w:szCs w:val="24"/>
                <w:highlight w:val="none"/>
                <w:lang w:val="en-US" w:eastAsia="zh-CN" w:bidi="ar"/>
                <w14:textFill>
                  <w14:solidFill>
                    <w14:schemeClr w14:val="tx1"/>
                  </w14:solidFill>
                </w14:textFill>
              </w:rPr>
            </w:pPr>
            <w:r>
              <w:rPr>
                <w:rFonts w:hint="eastAsia" w:cs="宋体"/>
                <w:b/>
                <w:bCs/>
                <w:color w:val="000000" w:themeColor="text1"/>
                <w:kern w:val="2"/>
                <w:sz w:val="24"/>
                <w:szCs w:val="24"/>
                <w:highlight w:val="none"/>
                <w:lang w:val="en-US" w:eastAsia="zh-CN" w:bidi="ar"/>
                <w14:textFill>
                  <w14:solidFill>
                    <w14:schemeClr w14:val="tx1"/>
                  </w14:solidFill>
                </w14:textFill>
              </w:rPr>
              <w:t>（5）特殊路基</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1）跨鱼塘水田软基填方路基</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本项目所涉及的特殊路基主要为跨水田和鱼塘的软弱路基，道路通过水田及鱼塘时，一般应对所侵占的水田及鱼塘先作放水疏干或围堰抽水后进行挖除并换填片块石，在超过水位线50cm后回填普通土。</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2）填方堆积区处理</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部分填方路段通过弃土或新近填土地区，存在碎块石土，其结构松散，承载力低，压缩变形大，不能直接作为路基持力层，需做翻挖回填处理，并进行强夯，使其在一定范围内与周边路基的强度和刚度基本一致。</w:t>
            </w:r>
          </w:p>
          <w:p>
            <w:pPr>
              <w:pStyle w:val="19"/>
              <w:keepNext w:val="0"/>
              <w:keepLines w:val="0"/>
              <w:widowControl w:val="0"/>
              <w:suppressLineNumbers w:val="0"/>
              <w:spacing w:before="0" w:beforeAutospacing="0" w:after="0" w:afterAutospacing="0" w:line="360" w:lineRule="auto"/>
              <w:ind w:left="0" w:leftChars="0" w:right="0" w:firstLine="482" w:firstLineChars="200"/>
              <w:jc w:val="left"/>
              <w:rPr>
                <w:rFonts w:hint="eastAsia" w:cs="宋体"/>
                <w:b/>
                <w:bCs/>
                <w:color w:val="000000" w:themeColor="text1"/>
                <w:kern w:val="2"/>
                <w:sz w:val="24"/>
                <w:szCs w:val="24"/>
                <w:highlight w:val="none"/>
                <w:lang w:val="en-US" w:eastAsia="zh-CN" w:bidi="ar"/>
                <w14:textFill>
                  <w14:solidFill>
                    <w14:schemeClr w14:val="tx1"/>
                  </w14:solidFill>
                </w14:textFill>
              </w:rPr>
            </w:pPr>
            <w:r>
              <w:rPr>
                <w:rFonts w:hint="eastAsia" w:cs="宋体"/>
                <w:b/>
                <w:bCs/>
                <w:color w:val="000000" w:themeColor="text1"/>
                <w:kern w:val="2"/>
                <w:sz w:val="24"/>
                <w:szCs w:val="24"/>
                <w:highlight w:val="none"/>
                <w:lang w:val="en-US" w:eastAsia="zh-CN" w:bidi="ar"/>
                <w14:textFill>
                  <w14:solidFill>
                    <w14:schemeClr w14:val="tx1"/>
                  </w14:solidFill>
                </w14:textFill>
              </w:rPr>
              <w:t>（6）桥、涵过渡段路基</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为了减少路基在构造物两侧产生不均匀沉降，减轻跳车现象，提高公路车辆行驶的舒适性，对桥梁和涵洞两侧路基填筑需进行加强处理。台后路基处理范围内的路基填料要求采用砂砾石填筑，分层夯实。明涵和桥台高度≥5m时，在路床范围内铺设</w:t>
            </w:r>
            <w:r>
              <w:rPr>
                <w:rFonts w:hint="eastAsia" w:cs="宋体"/>
                <w:color w:val="000000" w:themeColor="text1"/>
                <w:kern w:val="2"/>
                <w:sz w:val="24"/>
                <w:szCs w:val="24"/>
                <w:highlight w:val="none"/>
                <w:lang w:val="en-US" w:eastAsia="zh-CN" w:bidi="ar"/>
                <w14:textFill>
                  <w14:solidFill>
                    <w14:schemeClr w14:val="tx1"/>
                  </w14:solidFill>
                </w14:textFill>
              </w:rPr>
              <w:t>2</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层双向聚丙烯土工格栅，抗拉强度≥80kN/m，断裂(屈服)延伸率≤10％。</w:t>
            </w:r>
          </w:p>
          <w:p>
            <w:pPr>
              <w:pStyle w:val="19"/>
              <w:keepNext w:val="0"/>
              <w:keepLines w:val="0"/>
              <w:widowControl w:val="0"/>
              <w:suppressLineNumbers w:val="0"/>
              <w:spacing w:before="0" w:beforeAutospacing="0" w:after="0" w:afterAutospacing="0" w:line="360" w:lineRule="auto"/>
              <w:ind w:left="0" w:leftChars="0" w:right="0" w:firstLine="482" w:firstLineChars="200"/>
              <w:jc w:val="left"/>
              <w:rPr>
                <w:rFonts w:hint="eastAsia" w:cs="宋体"/>
                <w:b/>
                <w:bCs/>
                <w:color w:val="000000" w:themeColor="text1"/>
                <w:kern w:val="2"/>
                <w:sz w:val="24"/>
                <w:szCs w:val="24"/>
                <w:highlight w:val="none"/>
                <w:lang w:val="en-US" w:eastAsia="zh-CN" w:bidi="ar"/>
                <w14:textFill>
                  <w14:solidFill>
                    <w14:schemeClr w14:val="tx1"/>
                  </w14:solidFill>
                </w14:textFill>
              </w:rPr>
            </w:pPr>
            <w:r>
              <w:rPr>
                <w:rFonts w:hint="eastAsia" w:cs="宋体"/>
                <w:b/>
                <w:bCs/>
                <w:color w:val="000000" w:themeColor="text1"/>
                <w:kern w:val="2"/>
                <w:sz w:val="24"/>
                <w:szCs w:val="24"/>
                <w:highlight w:val="none"/>
                <w:lang w:val="en-US" w:eastAsia="zh-CN" w:bidi="ar"/>
                <w14:textFill>
                  <w14:solidFill>
                    <w14:schemeClr w14:val="tx1"/>
                  </w14:solidFill>
                </w14:textFill>
              </w:rPr>
              <w:t>（7）路基防护方案</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w:t>
            </w: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一般路基防护</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本项目路基防护主要以植物防护为主，辅以少量工程防护。</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w:t>
            </w: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路基支挡防护</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本项目部分填方坡脚位于斜坡地段，为保证路基整体稳定，同时为收缩坡脚、减少占地，在部分斜坡填方地段设置C20砼衡重式挡墙。</w:t>
            </w:r>
          </w:p>
          <w:p>
            <w:pPr>
              <w:pStyle w:val="19"/>
              <w:keepNext w:val="0"/>
              <w:keepLines w:val="0"/>
              <w:widowControl w:val="0"/>
              <w:suppressLineNumbers w:val="0"/>
              <w:spacing w:before="0" w:beforeAutospacing="0" w:after="0" w:afterAutospacing="0" w:line="360" w:lineRule="auto"/>
              <w:ind w:left="0" w:leftChars="0" w:right="0" w:firstLine="482" w:firstLineChars="200"/>
              <w:jc w:val="left"/>
              <w:rPr>
                <w:rFonts w:hint="eastAsia" w:cs="宋体"/>
                <w:b/>
                <w:bCs/>
                <w:color w:val="000000" w:themeColor="text1"/>
                <w:kern w:val="2"/>
                <w:sz w:val="24"/>
                <w:szCs w:val="24"/>
                <w:highlight w:val="none"/>
                <w:lang w:val="en-US" w:eastAsia="zh-CN" w:bidi="ar"/>
                <w14:textFill>
                  <w14:solidFill>
                    <w14:schemeClr w14:val="tx1"/>
                  </w14:solidFill>
                </w14:textFill>
              </w:rPr>
            </w:pPr>
            <w:r>
              <w:rPr>
                <w:rFonts w:hint="eastAsia" w:cs="宋体"/>
                <w:b/>
                <w:bCs/>
                <w:color w:val="000000" w:themeColor="text1"/>
                <w:kern w:val="2"/>
                <w:sz w:val="24"/>
                <w:szCs w:val="24"/>
                <w:highlight w:val="none"/>
                <w:lang w:val="en-US" w:eastAsia="zh-CN" w:bidi="ar"/>
                <w14:textFill>
                  <w14:solidFill>
                    <w14:schemeClr w14:val="tx1"/>
                  </w14:solidFill>
                </w14:textFill>
              </w:rPr>
              <w:t>（8）路基路面排水</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w:t>
            </w: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路面排水</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一般路段路面水通过路面横坡排至雨水篦子，收集雨水至雨水管网。</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w:t>
            </w: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路基排水</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cs="宋体"/>
                <w:color w:val="000000" w:themeColor="text1"/>
                <w:kern w:val="2"/>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路基两侧设置边沟、排水沟等措施，边沟形式为盖板矩形沟，断面尺寸60cm×60cm，壁厚30cm，采用C20混凝土浇筑,盖板厚度15cm，采用C30混凝土预制</w:t>
            </w:r>
            <w:r>
              <w:rPr>
                <w:rFonts w:hint="eastAsia" w:cs="宋体"/>
                <w:color w:val="000000" w:themeColor="text1"/>
                <w:kern w:val="2"/>
                <w:sz w:val="24"/>
                <w:szCs w:val="24"/>
                <w:highlight w:val="none"/>
                <w:lang w:val="en-US" w:eastAsia="zh-CN" w:bidi="ar"/>
                <w14:textFill>
                  <w14:solidFill>
                    <w14:schemeClr w14:val="tx1"/>
                  </w14:solidFill>
                </w14:textFill>
              </w:rPr>
              <w:t>。</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路堤处设置排水沟，排水沟形式为梯形沟，坡比1:0.5，断面尺寸60cm×60cm，壁厚30cm，采用C20混凝土浇筑。</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当挖方边坡上侧山坡汇水面积大时，应于坡口5m以外适当位置设置截水沟，截水沟为40cm×40cm梯形沟，坡比1:0.5，壁厚25cm，采用C20混凝土浇筑。</w:t>
            </w:r>
          </w:p>
          <w:p>
            <w:pPr>
              <w:pStyle w:val="19"/>
              <w:keepNext w:val="0"/>
              <w:keepLines w:val="0"/>
              <w:widowControl w:val="0"/>
              <w:suppressLineNumbers w:val="0"/>
              <w:spacing w:before="0" w:beforeAutospacing="0" w:after="0" w:afterAutospacing="0" w:line="360" w:lineRule="auto"/>
              <w:ind w:left="0" w:leftChars="0" w:right="0" w:firstLine="482" w:firstLineChars="200"/>
              <w:jc w:val="left"/>
              <w:rPr>
                <w:rFonts w:hint="default" w:ascii="宋体" w:hAnsi="宋体" w:eastAsia="宋体" w:cs="宋体"/>
                <w:b/>
                <w:bCs/>
                <w:color w:val="000000" w:themeColor="text1"/>
                <w:kern w:val="2"/>
                <w:sz w:val="24"/>
                <w:szCs w:val="24"/>
                <w:highlight w:val="none"/>
                <w:lang w:val="en-US" w:eastAsia="zh-CN" w:bidi="ar"/>
                <w14:textFill>
                  <w14:solidFill>
                    <w14:schemeClr w14:val="tx1"/>
                  </w14:solidFill>
                </w14:textFill>
              </w:rPr>
            </w:pPr>
            <w:r>
              <w:rPr>
                <w:rFonts w:hint="eastAsia" w:cs="宋体"/>
                <w:b/>
                <w:bCs/>
                <w:color w:val="000000" w:themeColor="text1"/>
                <w:kern w:val="2"/>
                <w:sz w:val="24"/>
                <w:szCs w:val="24"/>
                <w:highlight w:val="none"/>
                <w:lang w:val="en-US" w:eastAsia="zh-CN" w:bidi="ar"/>
                <w14:textFill>
                  <w14:solidFill>
                    <w14:schemeClr w14:val="tx1"/>
                  </w14:solidFill>
                </w14:textFill>
              </w:rPr>
              <w:t>7、路面设计</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cs="宋体"/>
                <w:color w:val="000000" w:themeColor="text1"/>
                <w:kern w:val="2"/>
                <w:sz w:val="24"/>
                <w:szCs w:val="24"/>
                <w:highlight w:val="none"/>
                <w:lang w:val="en-US" w:eastAsia="zh-CN" w:bidi="ar"/>
                <w14:textFill>
                  <w14:solidFill>
                    <w14:schemeClr w14:val="tx1"/>
                  </w14:solidFill>
                </w14:textFill>
              </w:rPr>
              <w:t>（1）车行道</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路面设计方案比选</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表2-7  路面设计方案比选表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57"/>
              <w:gridCol w:w="695"/>
              <w:gridCol w:w="4394"/>
              <w:gridCol w:w="313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0" w:hRule="atLeast"/>
                <w:jc w:val="center"/>
              </w:trPr>
              <w:tc>
                <w:tcPr>
                  <w:tcW w:w="370" w:type="pct"/>
                  <w:vMerge w:val="restart"/>
                  <w:tcBorders>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outlineLvl w:val="1"/>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路</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outlineLvl w:val="1"/>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outlineLvl w:val="1"/>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outlineLvl w:val="1"/>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outlineLvl w:val="1"/>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outlineLvl w:val="1"/>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式</w:t>
                  </w:r>
                </w:p>
              </w:tc>
              <w:tc>
                <w:tcPr>
                  <w:tcW w:w="391" w:type="pct"/>
                  <w:vMerge w:val="restart"/>
                  <w:tcBorders>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color w:val="000000" w:themeColor="text1"/>
                      <w:sz w:val="21"/>
                      <w:szCs w:val="21"/>
                      <w:highlight w:val="none"/>
                      <w14:textFill>
                        <w14:solidFill>
                          <w14:schemeClr w14:val="tx1"/>
                        </w14:solidFill>
                      </w14:textFill>
                    </w:rPr>
                  </w:pPr>
                  <w:r>
                    <w:rPr>
                      <w:rFonts w:hint="eastAsia" w:cs="宋体"/>
                      <w:b/>
                      <w:bCs/>
                      <w:color w:val="000000" w:themeColor="text1"/>
                      <w:sz w:val="21"/>
                      <w:szCs w:val="21"/>
                      <w:highlight w:val="none"/>
                      <w14:textFill>
                        <w14:solidFill>
                          <w14:schemeClr w14:val="tx1"/>
                        </w14:solidFill>
                      </w14:textFill>
                    </w:rPr>
                    <w:t>沥沥青混凝土路面</w:t>
                  </w:r>
                </w:p>
              </w:tc>
              <w:tc>
                <w:tcPr>
                  <w:tcW w:w="4238" w:type="pct"/>
                  <w:gridSpan w:val="2"/>
                  <w:tcBorders>
                    <w:left w:val="single" w:color="auto" w:sz="4" w:space="0"/>
                    <w:bottom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方案比较（土基回弹模量36MPa）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370" w:type="pct"/>
                  <w:vMerge w:val="continue"/>
                  <w:tcBorders>
                    <w:top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color w:val="000000" w:themeColor="text1"/>
                      <w:sz w:val="21"/>
                      <w:szCs w:val="21"/>
                      <w:highlight w:val="none"/>
                      <w14:textFill>
                        <w14:solidFill>
                          <w14:schemeClr w14:val="tx1"/>
                        </w14:solidFill>
                      </w14:textFill>
                    </w:rPr>
                  </w:pPr>
                </w:p>
              </w:tc>
              <w:tc>
                <w:tcPr>
                  <w:tcW w:w="391" w:type="pct"/>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color w:val="000000" w:themeColor="text1"/>
                      <w:sz w:val="21"/>
                      <w:szCs w:val="21"/>
                      <w:highlight w:val="none"/>
                      <w14:textFill>
                        <w14:solidFill>
                          <w14:schemeClr w14:val="tx1"/>
                        </w14:solidFill>
                      </w14:textFill>
                    </w:rPr>
                  </w:pPr>
                </w:p>
              </w:tc>
              <w:tc>
                <w:tcPr>
                  <w:tcW w:w="247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1"/>
                    <w:rPr>
                      <w:rFonts w:hint="eastAsia" w:cs="宋体"/>
                      <w:b/>
                      <w:bCs/>
                      <w:color w:val="000000" w:themeColor="text1"/>
                      <w:sz w:val="21"/>
                      <w:szCs w:val="21"/>
                      <w:highlight w:val="none"/>
                      <w14:textFill>
                        <w14:solidFill>
                          <w14:schemeClr w14:val="tx1"/>
                        </w14:solidFill>
                      </w14:textFill>
                    </w:rPr>
                  </w:pPr>
                  <w:r>
                    <w:rPr>
                      <w:rFonts w:hint="eastAsia" w:cs="宋体"/>
                      <w:b/>
                      <w:bCs/>
                      <w:color w:val="000000" w:themeColor="text1"/>
                      <w:sz w:val="21"/>
                      <w:szCs w:val="21"/>
                      <w:highlight w:val="none"/>
                      <w14:textFill>
                        <w14:solidFill>
                          <w14:schemeClr w14:val="tx1"/>
                        </w14:solidFill>
                      </w14:textFill>
                    </w:rPr>
                    <w:t>总厚度：78</w:t>
                  </w:r>
                  <w:r>
                    <w:rPr>
                      <w:rFonts w:hint="eastAsia" w:cs="宋体"/>
                      <w:b/>
                      <w:bCs/>
                      <w:color w:val="000000" w:themeColor="text1"/>
                      <w:sz w:val="21"/>
                      <w:szCs w:val="21"/>
                      <w:highlight w:val="none"/>
                      <w:lang w:val="en-US" w:eastAsia="zh-CN"/>
                      <w14:textFill>
                        <w14:solidFill>
                          <w14:schemeClr w14:val="tx1"/>
                        </w14:solidFill>
                      </w14:textFill>
                    </w:rPr>
                    <w:t>.7</w:t>
                  </w:r>
                  <w:r>
                    <w:rPr>
                      <w:rFonts w:hint="eastAsia" w:cs="宋体"/>
                      <w:b/>
                      <w:bCs/>
                      <w:color w:val="000000" w:themeColor="text1"/>
                      <w:sz w:val="21"/>
                      <w:szCs w:val="21"/>
                      <w:highlight w:val="none"/>
                      <w14:textFill>
                        <w14:solidFill>
                          <w14:schemeClr w14:val="tx1"/>
                        </w14:solidFill>
                      </w14:textFill>
                    </w:rPr>
                    <w:t>cm</w:t>
                  </w:r>
                </w:p>
              </w:tc>
              <w:tc>
                <w:tcPr>
                  <w:tcW w:w="1764" w:type="pct"/>
                  <w:vMerge w:val="restart"/>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优点：表面平整，无接缝、行车舒适、耐磨、振动小、噪音低、施工周期短、养护维修方便，成型后即可开放交通，特别是对路基变形有较好的适应能力。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1"/>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缺点：抗弯强度较低，对路基及基层的要求较高，造价偏高。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370" w:type="pct"/>
                  <w:vMerge w:val="continue"/>
                  <w:tcBorders>
                    <w:top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b/>
                      <w:color w:val="000000" w:themeColor="text1"/>
                      <w:sz w:val="21"/>
                      <w:szCs w:val="21"/>
                      <w:highlight w:val="none"/>
                      <w14:textFill>
                        <w14:solidFill>
                          <w14:schemeClr w14:val="tx1"/>
                        </w14:solidFill>
                      </w14:textFill>
                    </w:rPr>
                  </w:pPr>
                </w:p>
              </w:tc>
              <w:tc>
                <w:tcPr>
                  <w:tcW w:w="391" w:type="pct"/>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b/>
                      <w:color w:val="000000" w:themeColor="text1"/>
                      <w:sz w:val="21"/>
                      <w:szCs w:val="21"/>
                      <w:highlight w:val="none"/>
                      <w14:textFill>
                        <w14:solidFill>
                          <w14:schemeClr w14:val="tx1"/>
                        </w14:solidFill>
                      </w14:textFill>
                    </w:rPr>
                  </w:pPr>
                </w:p>
              </w:tc>
              <w:tc>
                <w:tcPr>
                  <w:tcW w:w="2473" w:type="pct"/>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b/>
                      <w:bCs/>
                      <w:color w:val="000000" w:themeColor="text1"/>
                      <w:sz w:val="21"/>
                      <w:szCs w:val="21"/>
                      <w:highlight w:val="none"/>
                      <w14:textFill>
                        <w14:solidFill>
                          <w14:schemeClr w14:val="tx1"/>
                        </w14:solidFill>
                      </w14:textFill>
                    </w:rPr>
                  </w:pPr>
                  <w:r>
                    <w:rPr>
                      <w:rFonts w:hint="eastAsia" w:cs="宋体"/>
                      <w:b/>
                      <w:bCs/>
                      <w:color w:val="000000" w:themeColor="text1"/>
                      <w:sz w:val="21"/>
                      <w:szCs w:val="21"/>
                      <w:highlight w:val="none"/>
                      <w14:textFill>
                        <w14:solidFill>
                          <w14:schemeClr w14:val="tx1"/>
                        </w14:solidFill>
                      </w14:textFill>
                    </w:rPr>
                    <w:t>上面层：4cm改性沥青玛蹄脂碎石(SMA-13)</w:t>
                  </w:r>
                </w:p>
              </w:tc>
              <w:tc>
                <w:tcPr>
                  <w:tcW w:w="1764" w:type="pct"/>
                  <w:vMerge w:val="continue"/>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8" w:hRule="atLeast"/>
                <w:jc w:val="center"/>
              </w:trPr>
              <w:tc>
                <w:tcPr>
                  <w:tcW w:w="370" w:type="pct"/>
                  <w:vMerge w:val="continue"/>
                  <w:tcBorders>
                    <w:top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b/>
                      <w:color w:val="000000" w:themeColor="text1"/>
                      <w:sz w:val="21"/>
                      <w:szCs w:val="21"/>
                      <w:highlight w:val="none"/>
                      <w14:textFill>
                        <w14:solidFill>
                          <w14:schemeClr w14:val="tx1"/>
                        </w14:solidFill>
                      </w14:textFill>
                    </w:rPr>
                  </w:pPr>
                </w:p>
              </w:tc>
              <w:tc>
                <w:tcPr>
                  <w:tcW w:w="391" w:type="pct"/>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b/>
                      <w:color w:val="000000" w:themeColor="text1"/>
                      <w:sz w:val="21"/>
                      <w:szCs w:val="21"/>
                      <w:highlight w:val="none"/>
                      <w14:textFill>
                        <w14:solidFill>
                          <w14:schemeClr w14:val="tx1"/>
                        </w14:solidFill>
                      </w14:textFill>
                    </w:rPr>
                  </w:pPr>
                </w:p>
              </w:tc>
              <w:tc>
                <w:tcPr>
                  <w:tcW w:w="247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b/>
                      <w:bCs/>
                      <w:color w:val="000000" w:themeColor="text1"/>
                      <w:sz w:val="21"/>
                      <w:szCs w:val="21"/>
                      <w:highlight w:val="none"/>
                      <w14:textFill>
                        <w14:solidFill>
                          <w14:schemeClr w14:val="tx1"/>
                        </w14:solidFill>
                      </w14:textFill>
                    </w:rPr>
                  </w:pPr>
                  <w:r>
                    <w:rPr>
                      <w:rFonts w:hint="eastAsia" w:cs="宋体"/>
                      <w:b/>
                      <w:bCs/>
                      <w:color w:val="000000" w:themeColor="text1"/>
                      <w:sz w:val="21"/>
                      <w:szCs w:val="21"/>
                      <w:highlight w:val="none"/>
                      <w14:textFill>
                        <w14:solidFill>
                          <w14:schemeClr w14:val="tx1"/>
                        </w14:solidFill>
                      </w14:textFill>
                    </w:rPr>
                    <w:t>中面层：6cm中粒式沥青混凝土（AC-20C）</w:t>
                  </w:r>
                </w:p>
              </w:tc>
              <w:tc>
                <w:tcPr>
                  <w:tcW w:w="1764" w:type="pct"/>
                  <w:vMerge w:val="continue"/>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8" w:hRule="atLeast"/>
                <w:jc w:val="center"/>
              </w:trPr>
              <w:tc>
                <w:tcPr>
                  <w:tcW w:w="370" w:type="pct"/>
                  <w:vMerge w:val="continue"/>
                  <w:tcBorders>
                    <w:top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b/>
                      <w:color w:val="000000" w:themeColor="text1"/>
                      <w:sz w:val="21"/>
                      <w:szCs w:val="21"/>
                      <w:highlight w:val="none"/>
                      <w14:textFill>
                        <w14:solidFill>
                          <w14:schemeClr w14:val="tx1"/>
                        </w14:solidFill>
                      </w14:textFill>
                    </w:rPr>
                  </w:pPr>
                </w:p>
              </w:tc>
              <w:tc>
                <w:tcPr>
                  <w:tcW w:w="391" w:type="pct"/>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b/>
                      <w:color w:val="000000" w:themeColor="text1"/>
                      <w:sz w:val="21"/>
                      <w:szCs w:val="21"/>
                      <w:highlight w:val="none"/>
                      <w14:textFill>
                        <w14:solidFill>
                          <w14:schemeClr w14:val="tx1"/>
                        </w14:solidFill>
                      </w14:textFill>
                    </w:rPr>
                  </w:pPr>
                </w:p>
              </w:tc>
              <w:tc>
                <w:tcPr>
                  <w:tcW w:w="247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b/>
                      <w:bCs/>
                      <w:color w:val="000000" w:themeColor="text1"/>
                      <w:sz w:val="21"/>
                      <w:szCs w:val="21"/>
                      <w:highlight w:val="none"/>
                      <w14:textFill>
                        <w14:solidFill>
                          <w14:schemeClr w14:val="tx1"/>
                        </w14:solidFill>
                      </w14:textFill>
                    </w:rPr>
                  </w:pPr>
                  <w:r>
                    <w:rPr>
                      <w:rFonts w:hint="eastAsia" w:cs="宋体"/>
                      <w:b/>
                      <w:bCs/>
                      <w:color w:val="000000" w:themeColor="text1"/>
                      <w:sz w:val="21"/>
                      <w:szCs w:val="21"/>
                      <w:highlight w:val="none"/>
                      <w14:textFill>
                        <w14:solidFill>
                          <w14:schemeClr w14:val="tx1"/>
                        </w14:solidFill>
                      </w14:textFill>
                    </w:rPr>
                    <w:t>下面层：8cm粗粒式沥青混凝土（AC-25C）</w:t>
                  </w:r>
                </w:p>
              </w:tc>
              <w:tc>
                <w:tcPr>
                  <w:tcW w:w="1764" w:type="pct"/>
                  <w:vMerge w:val="continue"/>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370" w:type="pct"/>
                  <w:vMerge w:val="continue"/>
                  <w:tcBorders>
                    <w:top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b/>
                      <w:color w:val="000000" w:themeColor="text1"/>
                      <w:sz w:val="21"/>
                      <w:szCs w:val="21"/>
                      <w:highlight w:val="none"/>
                      <w14:textFill>
                        <w14:solidFill>
                          <w14:schemeClr w14:val="tx1"/>
                        </w14:solidFill>
                      </w14:textFill>
                    </w:rPr>
                  </w:pPr>
                </w:p>
              </w:tc>
              <w:tc>
                <w:tcPr>
                  <w:tcW w:w="391" w:type="pct"/>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b/>
                      <w:color w:val="000000" w:themeColor="text1"/>
                      <w:sz w:val="21"/>
                      <w:szCs w:val="21"/>
                      <w:highlight w:val="none"/>
                      <w14:textFill>
                        <w14:solidFill>
                          <w14:schemeClr w14:val="tx1"/>
                        </w14:solidFill>
                      </w14:textFill>
                    </w:rPr>
                  </w:pPr>
                </w:p>
              </w:tc>
              <w:tc>
                <w:tcPr>
                  <w:tcW w:w="247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7"/>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cs="宋体"/>
                      <w:b/>
                      <w:bCs/>
                      <w:color w:val="000000" w:themeColor="text1"/>
                      <w:sz w:val="21"/>
                      <w:szCs w:val="21"/>
                      <w:highlight w:val="none"/>
                      <w14:textFill>
                        <w14:solidFill>
                          <w14:schemeClr w14:val="tx1"/>
                        </w14:solidFill>
                      </w14:textFill>
                    </w:rPr>
                  </w:pPr>
                  <w:r>
                    <w:rPr>
                      <w:rFonts w:hint="eastAsia" w:cs="宋体"/>
                      <w:b/>
                      <w:bCs/>
                      <w:color w:val="000000" w:themeColor="text1"/>
                      <w:sz w:val="21"/>
                      <w:szCs w:val="21"/>
                      <w:highlight w:val="none"/>
                      <w14:textFill>
                        <w14:solidFill>
                          <w14:schemeClr w14:val="tx1"/>
                        </w14:solidFill>
                      </w14:textFill>
                    </w:rPr>
                    <w:t>0.7cmES-2乳化沥青稀浆封层+透层油</w:t>
                  </w:r>
                </w:p>
              </w:tc>
              <w:tc>
                <w:tcPr>
                  <w:tcW w:w="1764" w:type="pct"/>
                  <w:vMerge w:val="continue"/>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370" w:type="pct"/>
                  <w:vMerge w:val="continue"/>
                  <w:tcBorders>
                    <w:top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b/>
                      <w:color w:val="000000" w:themeColor="text1"/>
                      <w:sz w:val="21"/>
                      <w:szCs w:val="21"/>
                      <w:highlight w:val="none"/>
                      <w14:textFill>
                        <w14:solidFill>
                          <w14:schemeClr w14:val="tx1"/>
                        </w14:solidFill>
                      </w14:textFill>
                    </w:rPr>
                  </w:pPr>
                </w:p>
              </w:tc>
              <w:tc>
                <w:tcPr>
                  <w:tcW w:w="391" w:type="pct"/>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b/>
                      <w:color w:val="000000" w:themeColor="text1"/>
                      <w:sz w:val="21"/>
                      <w:szCs w:val="21"/>
                      <w:highlight w:val="none"/>
                      <w14:textFill>
                        <w14:solidFill>
                          <w14:schemeClr w14:val="tx1"/>
                        </w14:solidFill>
                      </w14:textFill>
                    </w:rPr>
                  </w:pPr>
                </w:p>
              </w:tc>
              <w:tc>
                <w:tcPr>
                  <w:tcW w:w="247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7"/>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cs="宋体"/>
                      <w:b/>
                      <w:bCs/>
                      <w:color w:val="000000" w:themeColor="text1"/>
                      <w:sz w:val="21"/>
                      <w:szCs w:val="21"/>
                      <w:highlight w:val="none"/>
                      <w14:textFill>
                        <w14:solidFill>
                          <w14:schemeClr w14:val="tx1"/>
                        </w14:solidFill>
                      </w14:textFill>
                    </w:rPr>
                  </w:pPr>
                  <w:r>
                    <w:rPr>
                      <w:rFonts w:hint="eastAsia" w:cs="宋体"/>
                      <w:b/>
                      <w:bCs/>
                      <w:color w:val="000000" w:themeColor="text1"/>
                      <w:sz w:val="21"/>
                      <w:szCs w:val="21"/>
                      <w:highlight w:val="none"/>
                      <w14:textFill>
                        <w14:solidFill>
                          <w14:schemeClr w14:val="tx1"/>
                        </w14:solidFill>
                      </w14:textFill>
                    </w:rPr>
                    <w:t>基层：20cm5%水泥稳定碎石</w:t>
                  </w:r>
                </w:p>
              </w:tc>
              <w:tc>
                <w:tcPr>
                  <w:tcW w:w="1764" w:type="pct"/>
                  <w:vMerge w:val="continue"/>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370" w:type="pct"/>
                  <w:vMerge w:val="continue"/>
                  <w:tcBorders>
                    <w:top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b/>
                      <w:color w:val="000000" w:themeColor="text1"/>
                      <w:sz w:val="21"/>
                      <w:szCs w:val="21"/>
                      <w:highlight w:val="none"/>
                      <w14:textFill>
                        <w14:solidFill>
                          <w14:schemeClr w14:val="tx1"/>
                        </w14:solidFill>
                      </w14:textFill>
                    </w:rPr>
                  </w:pPr>
                </w:p>
              </w:tc>
              <w:tc>
                <w:tcPr>
                  <w:tcW w:w="391" w:type="pct"/>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b/>
                      <w:color w:val="000000" w:themeColor="text1"/>
                      <w:sz w:val="21"/>
                      <w:szCs w:val="21"/>
                      <w:highlight w:val="none"/>
                      <w14:textFill>
                        <w14:solidFill>
                          <w14:schemeClr w14:val="tx1"/>
                        </w14:solidFill>
                      </w14:textFill>
                    </w:rPr>
                  </w:pPr>
                </w:p>
              </w:tc>
              <w:tc>
                <w:tcPr>
                  <w:tcW w:w="247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7"/>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cs="宋体"/>
                      <w:b/>
                      <w:bCs/>
                      <w:color w:val="000000" w:themeColor="text1"/>
                      <w:sz w:val="21"/>
                      <w:szCs w:val="21"/>
                      <w:highlight w:val="none"/>
                      <w14:textFill>
                        <w14:solidFill>
                          <w14:schemeClr w14:val="tx1"/>
                        </w14:solidFill>
                      </w14:textFill>
                    </w:rPr>
                  </w:pPr>
                  <w:r>
                    <w:rPr>
                      <w:rFonts w:hint="eastAsia" w:cs="宋体"/>
                      <w:b/>
                      <w:bCs/>
                      <w:color w:val="000000" w:themeColor="text1"/>
                      <w:sz w:val="21"/>
                      <w:szCs w:val="21"/>
                      <w:highlight w:val="none"/>
                      <w14:textFill>
                        <w14:solidFill>
                          <w14:schemeClr w14:val="tx1"/>
                        </w14:solidFill>
                      </w14:textFill>
                    </w:rPr>
                    <w:t>底基层：20cm</w:t>
                  </w:r>
                  <w:r>
                    <w:rPr>
                      <w:rFonts w:hint="eastAsia" w:cs="宋体"/>
                      <w:b/>
                      <w:bCs/>
                      <w:color w:val="000000" w:themeColor="text1"/>
                      <w:sz w:val="21"/>
                      <w:szCs w:val="21"/>
                      <w:highlight w:val="none"/>
                      <w:lang w:val="en-US" w:eastAsia="zh-CN"/>
                      <w14:textFill>
                        <w14:solidFill>
                          <w14:schemeClr w14:val="tx1"/>
                        </w14:solidFill>
                      </w14:textFill>
                    </w:rPr>
                    <w:t>4</w:t>
                  </w:r>
                  <w:r>
                    <w:rPr>
                      <w:rFonts w:hint="eastAsia" w:cs="宋体"/>
                      <w:b/>
                      <w:bCs/>
                      <w:color w:val="000000" w:themeColor="text1"/>
                      <w:sz w:val="21"/>
                      <w:szCs w:val="21"/>
                      <w:highlight w:val="none"/>
                      <w14:textFill>
                        <w14:solidFill>
                          <w14:schemeClr w14:val="tx1"/>
                        </w14:solidFill>
                      </w14:textFill>
                    </w:rPr>
                    <w:t>%水泥稳定碎石</w:t>
                  </w:r>
                </w:p>
              </w:tc>
              <w:tc>
                <w:tcPr>
                  <w:tcW w:w="1764" w:type="pct"/>
                  <w:vMerge w:val="continue"/>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color w:val="000000" w:themeColor="text1"/>
                      <w:ker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370" w:type="pct"/>
                  <w:vMerge w:val="continue"/>
                  <w:tcBorders>
                    <w:top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b/>
                      <w:color w:val="000000" w:themeColor="text1"/>
                      <w:sz w:val="21"/>
                      <w:szCs w:val="21"/>
                      <w:highlight w:val="none"/>
                      <w14:textFill>
                        <w14:solidFill>
                          <w14:schemeClr w14:val="tx1"/>
                        </w14:solidFill>
                      </w14:textFill>
                    </w:rPr>
                  </w:pPr>
                </w:p>
              </w:tc>
              <w:tc>
                <w:tcPr>
                  <w:tcW w:w="391" w:type="pct"/>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b/>
                      <w:color w:val="000000" w:themeColor="text1"/>
                      <w:sz w:val="21"/>
                      <w:szCs w:val="21"/>
                      <w:highlight w:val="none"/>
                      <w14:textFill>
                        <w14:solidFill>
                          <w14:schemeClr w14:val="tx1"/>
                        </w14:solidFill>
                      </w14:textFill>
                    </w:rPr>
                  </w:pPr>
                </w:p>
              </w:tc>
              <w:tc>
                <w:tcPr>
                  <w:tcW w:w="247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7"/>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cs="宋体"/>
                      <w:b/>
                      <w:bCs/>
                      <w:color w:val="000000" w:themeColor="text1"/>
                      <w:sz w:val="21"/>
                      <w:szCs w:val="21"/>
                      <w:highlight w:val="none"/>
                      <w14:textFill>
                        <w14:solidFill>
                          <w14:schemeClr w14:val="tx1"/>
                        </w14:solidFill>
                      </w14:textFill>
                    </w:rPr>
                  </w:pPr>
                  <w:r>
                    <w:rPr>
                      <w:rFonts w:hint="eastAsia" w:cs="宋体"/>
                      <w:b/>
                      <w:bCs/>
                      <w:color w:val="000000" w:themeColor="text1"/>
                      <w:sz w:val="21"/>
                      <w:szCs w:val="21"/>
                      <w:highlight w:val="none"/>
                      <w14:textFill>
                        <w14:solidFill>
                          <w14:schemeClr w14:val="tx1"/>
                        </w14:solidFill>
                      </w14:textFill>
                    </w:rPr>
                    <w:t>垫层：20cm级配碎石</w:t>
                  </w:r>
                </w:p>
              </w:tc>
              <w:tc>
                <w:tcPr>
                  <w:tcW w:w="1764" w:type="pct"/>
                  <w:vMerge w:val="continue"/>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color w:val="000000" w:themeColor="text1"/>
                      <w:ker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370" w:type="pct"/>
                  <w:vMerge w:val="continue"/>
                  <w:tcBorders>
                    <w:top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color w:val="000000" w:themeColor="text1"/>
                      <w:sz w:val="21"/>
                      <w:szCs w:val="21"/>
                      <w:highlight w:val="none"/>
                      <w14:textFill>
                        <w14:solidFill>
                          <w14:schemeClr w14:val="tx1"/>
                        </w14:solidFill>
                      </w14:textFill>
                    </w:rPr>
                  </w:pPr>
                </w:p>
              </w:tc>
              <w:tc>
                <w:tcPr>
                  <w:tcW w:w="391" w:type="pct"/>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水水泥混凝土路面</w:t>
                  </w:r>
                </w:p>
              </w:tc>
              <w:tc>
                <w:tcPr>
                  <w:tcW w:w="247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1"/>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总厚度：77cm</w:t>
                  </w:r>
                </w:p>
              </w:tc>
              <w:tc>
                <w:tcPr>
                  <w:tcW w:w="1764" w:type="pct"/>
                  <w:vMerge w:val="restart"/>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suppressLineNumbers w:val="0"/>
                    <w:tabs>
                      <w:tab w:val="left" w:pos="735"/>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优点：路面色泽鲜明、能见度好、强度高、稳定性好、耐久性好、养护费用少。</w:t>
                  </w:r>
                </w:p>
                <w:p>
                  <w:pPr>
                    <w:keepNext w:val="0"/>
                    <w:keepLines w:val="0"/>
                    <w:pageBreakBefore w:val="0"/>
                    <w:widowControl w:val="0"/>
                    <w:suppressLineNumbers w:val="0"/>
                    <w:tabs>
                      <w:tab w:val="left" w:pos="735"/>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缺点：对水泥和水的需要量大，有接缝，施工周期长，对地基不均匀沉降敏感，容易引起行车跳动，开放交通迟，破坏后维修困难，对路基的稳定性要求高，噪音和路面扬尘大。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70" w:type="pct"/>
                  <w:vMerge w:val="continue"/>
                  <w:tcBorders>
                    <w:top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tabs>
                      <w:tab w:val="left" w:pos="735"/>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color w:val="000000" w:themeColor="text1"/>
                      <w:sz w:val="21"/>
                      <w:szCs w:val="21"/>
                      <w:highlight w:val="none"/>
                      <w14:textFill>
                        <w14:solidFill>
                          <w14:schemeClr w14:val="tx1"/>
                        </w14:solidFill>
                      </w14:textFill>
                    </w:rPr>
                  </w:pPr>
                </w:p>
              </w:tc>
              <w:tc>
                <w:tcPr>
                  <w:tcW w:w="391" w:type="pct"/>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tabs>
                      <w:tab w:val="left" w:pos="735"/>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color w:val="000000" w:themeColor="text1"/>
                      <w:sz w:val="21"/>
                      <w:szCs w:val="21"/>
                      <w:highlight w:val="none"/>
                      <w14:textFill>
                        <w14:solidFill>
                          <w14:schemeClr w14:val="tx1"/>
                        </w14:solidFill>
                      </w14:textFill>
                    </w:rPr>
                  </w:pPr>
                </w:p>
              </w:tc>
              <w:tc>
                <w:tcPr>
                  <w:tcW w:w="247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tabs>
                      <w:tab w:val="left" w:pos="735"/>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上面层：22cm厚水泥混凝土（</w:t>
                  </w:r>
                  <w:r>
                    <w:rPr>
                      <w:rFonts w:cs="宋体"/>
                      <w:color w:val="000000" w:themeColor="text1"/>
                      <w:sz w:val="21"/>
                      <w:szCs w:val="21"/>
                      <w:highlight w:val="none"/>
                      <w14:textFill>
                        <w14:solidFill>
                          <w14:schemeClr w14:val="tx1"/>
                        </w14:solidFill>
                      </w14:textFill>
                    </w:rPr>
                    <w:t>混凝土弯拉强度标准值5MPa）</w:t>
                  </w:r>
                </w:p>
              </w:tc>
              <w:tc>
                <w:tcPr>
                  <w:tcW w:w="1764" w:type="pct"/>
                  <w:vMerge w:val="continue"/>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suppressLineNumbers w:val="0"/>
                    <w:tabs>
                      <w:tab w:val="left" w:pos="735"/>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9" w:hRule="atLeast"/>
                <w:jc w:val="center"/>
              </w:trPr>
              <w:tc>
                <w:tcPr>
                  <w:tcW w:w="370" w:type="pct"/>
                  <w:vMerge w:val="continue"/>
                  <w:tcBorders>
                    <w:top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tabs>
                      <w:tab w:val="left" w:pos="735"/>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color w:val="000000" w:themeColor="text1"/>
                      <w:sz w:val="21"/>
                      <w:szCs w:val="21"/>
                      <w:highlight w:val="none"/>
                      <w14:textFill>
                        <w14:solidFill>
                          <w14:schemeClr w14:val="tx1"/>
                        </w14:solidFill>
                      </w14:textFill>
                    </w:rPr>
                  </w:pPr>
                </w:p>
              </w:tc>
              <w:tc>
                <w:tcPr>
                  <w:tcW w:w="391" w:type="pct"/>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tabs>
                      <w:tab w:val="left" w:pos="735"/>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color w:val="000000" w:themeColor="text1"/>
                      <w:sz w:val="21"/>
                      <w:szCs w:val="21"/>
                      <w:highlight w:val="none"/>
                      <w14:textFill>
                        <w14:solidFill>
                          <w14:schemeClr w14:val="tx1"/>
                        </w14:solidFill>
                      </w14:textFill>
                    </w:rPr>
                  </w:pPr>
                </w:p>
              </w:tc>
              <w:tc>
                <w:tcPr>
                  <w:tcW w:w="247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tabs>
                      <w:tab w:val="left" w:pos="735"/>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基层：20cm5%水泥稳定碎石</w:t>
                  </w:r>
                </w:p>
              </w:tc>
              <w:tc>
                <w:tcPr>
                  <w:tcW w:w="1764" w:type="pct"/>
                  <w:vMerge w:val="continue"/>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suppressLineNumbers w:val="0"/>
                    <w:tabs>
                      <w:tab w:val="left" w:pos="735"/>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370" w:type="pct"/>
                  <w:vMerge w:val="continue"/>
                  <w:tcBorders>
                    <w:top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tabs>
                      <w:tab w:val="left" w:pos="735"/>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color w:val="000000" w:themeColor="text1"/>
                      <w:sz w:val="21"/>
                      <w:szCs w:val="21"/>
                      <w:highlight w:val="none"/>
                      <w14:textFill>
                        <w14:solidFill>
                          <w14:schemeClr w14:val="tx1"/>
                        </w14:solidFill>
                      </w14:textFill>
                    </w:rPr>
                  </w:pPr>
                </w:p>
              </w:tc>
              <w:tc>
                <w:tcPr>
                  <w:tcW w:w="391" w:type="pct"/>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tabs>
                      <w:tab w:val="left" w:pos="735"/>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color w:val="000000" w:themeColor="text1"/>
                      <w:sz w:val="21"/>
                      <w:szCs w:val="21"/>
                      <w:highlight w:val="none"/>
                      <w14:textFill>
                        <w14:solidFill>
                          <w14:schemeClr w14:val="tx1"/>
                        </w14:solidFill>
                      </w14:textFill>
                    </w:rPr>
                  </w:pPr>
                </w:p>
              </w:tc>
              <w:tc>
                <w:tcPr>
                  <w:tcW w:w="247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底基层：20cm4%水泥稳定碎石</w:t>
                  </w:r>
                </w:p>
              </w:tc>
              <w:tc>
                <w:tcPr>
                  <w:tcW w:w="1764" w:type="pct"/>
                  <w:vMerge w:val="continue"/>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suppressLineNumbers w:val="0"/>
                    <w:tabs>
                      <w:tab w:val="left" w:pos="735"/>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370" w:type="pct"/>
                  <w:vMerge w:val="continue"/>
                  <w:tcBorders>
                    <w:top w:val="single" w:color="auto" w:sz="4" w:space="0"/>
                    <w:right w:val="single" w:color="auto" w:sz="4" w:space="0"/>
                  </w:tcBorders>
                  <w:shd w:val="clear" w:color="auto" w:fill="FFFFFF"/>
                  <w:noWrap w:val="0"/>
                  <w:vAlign w:val="center"/>
                </w:tcPr>
                <w:p>
                  <w:pPr>
                    <w:keepNext w:val="0"/>
                    <w:keepLines w:val="0"/>
                    <w:pageBreakBefore w:val="0"/>
                    <w:widowControl w:val="0"/>
                    <w:suppressLineNumbers w:val="0"/>
                    <w:tabs>
                      <w:tab w:val="left" w:pos="735"/>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color w:val="000000" w:themeColor="text1"/>
                      <w:sz w:val="21"/>
                      <w:szCs w:val="21"/>
                      <w:highlight w:val="none"/>
                      <w14:textFill>
                        <w14:solidFill>
                          <w14:schemeClr w14:val="tx1"/>
                        </w14:solidFill>
                      </w14:textFill>
                    </w:rPr>
                  </w:pPr>
                </w:p>
              </w:tc>
              <w:tc>
                <w:tcPr>
                  <w:tcW w:w="391" w:type="pct"/>
                  <w:vMerge w:val="continue"/>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suppressLineNumbers w:val="0"/>
                    <w:tabs>
                      <w:tab w:val="left" w:pos="735"/>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color w:val="000000" w:themeColor="text1"/>
                      <w:sz w:val="21"/>
                      <w:szCs w:val="21"/>
                      <w:highlight w:val="none"/>
                      <w14:textFill>
                        <w14:solidFill>
                          <w14:schemeClr w14:val="tx1"/>
                        </w14:solidFill>
                      </w14:textFill>
                    </w:rPr>
                  </w:pPr>
                </w:p>
              </w:tc>
              <w:tc>
                <w:tcPr>
                  <w:tcW w:w="2473" w:type="pct"/>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垫层：15cm级配碎石垫层</w:t>
                  </w:r>
                </w:p>
              </w:tc>
              <w:tc>
                <w:tcPr>
                  <w:tcW w:w="1764" w:type="pct"/>
                  <w:vMerge w:val="continue"/>
                  <w:tcBorders>
                    <w:top w:val="single" w:color="auto" w:sz="4" w:space="0"/>
                    <w:left w:val="single" w:color="auto" w:sz="4" w:space="0"/>
                  </w:tcBorders>
                  <w:shd w:val="clear" w:color="auto" w:fill="FFFFFF"/>
                  <w:noWrap w:val="0"/>
                  <w:vAlign w:val="center"/>
                </w:tcPr>
                <w:p>
                  <w:pPr>
                    <w:keepNext w:val="0"/>
                    <w:keepLines w:val="0"/>
                    <w:pageBreakBefore w:val="0"/>
                    <w:widowControl w:val="0"/>
                    <w:suppressLineNumbers w:val="0"/>
                    <w:tabs>
                      <w:tab w:val="left" w:pos="735"/>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rFonts w:hint="eastAsia" w:cs="宋体"/>
                      <w:color w:val="000000" w:themeColor="text1"/>
                      <w:sz w:val="21"/>
                      <w:szCs w:val="21"/>
                      <w:highlight w:val="none"/>
                      <w14:textFill>
                        <w14:solidFill>
                          <w14:schemeClr w14:val="tx1"/>
                        </w14:solidFill>
                      </w14:textFill>
                    </w:rPr>
                  </w:pPr>
                </w:p>
              </w:tc>
            </w:tr>
          </w:tbl>
          <w:p>
            <w:pPr>
              <w:pStyle w:val="19"/>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leftChars="0" w:right="0" w:firstLine="480" w:firstLineChars="200"/>
              <w:jc w:val="left"/>
              <w:textAlignment w:val="auto"/>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综上所述，道路路面</w:t>
            </w:r>
            <w:r>
              <w:rPr>
                <w:rFonts w:hint="eastAsia" w:cs="宋体"/>
                <w:color w:val="000000" w:themeColor="text1"/>
                <w:kern w:val="2"/>
                <w:sz w:val="24"/>
                <w:szCs w:val="24"/>
                <w:highlight w:val="none"/>
                <w:lang w:val="en-US" w:eastAsia="zh-CN" w:bidi="ar"/>
                <w14:textFill>
                  <w14:solidFill>
                    <w14:schemeClr w14:val="tx1"/>
                  </w14:solidFill>
                </w14:textFill>
              </w:rPr>
              <w:t>选择</w:t>
            </w:r>
            <w:r>
              <w:rPr>
                <w:rFonts w:hint="eastAsia" w:ascii="宋体" w:hAnsi="宋体" w:eastAsia="宋体" w:cs="宋体"/>
                <w:b/>
                <w:bCs/>
                <w:color w:val="000000" w:themeColor="text1"/>
                <w:kern w:val="2"/>
                <w:sz w:val="24"/>
                <w:szCs w:val="24"/>
                <w:highlight w:val="none"/>
                <w:lang w:val="en-US" w:eastAsia="zh-CN" w:bidi="ar"/>
                <w14:textFill>
                  <w14:solidFill>
                    <w14:schemeClr w14:val="tx1"/>
                  </w14:solidFill>
                </w14:textFill>
              </w:rPr>
              <w:t>沥青混凝土路面</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r>
              <w:rPr>
                <w:rFonts w:hint="eastAsia" w:cs="宋体"/>
                <w:color w:val="000000" w:themeColor="text1"/>
                <w:kern w:val="2"/>
                <w:sz w:val="24"/>
                <w:szCs w:val="24"/>
                <w:highlight w:val="none"/>
                <w:lang w:val="en-US" w:eastAsia="zh-CN" w:bidi="ar"/>
                <w14:textFill>
                  <w14:solidFill>
                    <w14:schemeClr w14:val="tx1"/>
                  </w14:solidFill>
                </w14:textFill>
              </w:rPr>
              <w:t>2</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）人行道</w:t>
            </w:r>
            <w:r>
              <w:rPr>
                <w:rFonts w:hint="eastAsia" w:cs="宋体"/>
                <w:color w:val="000000" w:themeColor="text1"/>
                <w:kern w:val="2"/>
                <w:sz w:val="24"/>
                <w:szCs w:val="24"/>
                <w:highlight w:val="none"/>
                <w:lang w:val="en-US" w:eastAsia="zh-CN" w:bidi="ar"/>
                <w14:textFill>
                  <w14:solidFill>
                    <w14:schemeClr w14:val="tx1"/>
                  </w14:solidFill>
                </w14:textFill>
              </w:rPr>
              <w:t>路面</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设计方案比选</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表2-8  人行道结构设计方案比选表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547"/>
              <w:gridCol w:w="649"/>
              <w:gridCol w:w="4462"/>
              <w:gridCol w:w="322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08" w:type="pct"/>
                  <w:vMerge w:val="restart"/>
                  <w:tcBorders>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路</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式</w:t>
                  </w:r>
                </w:p>
              </w:tc>
              <w:tc>
                <w:tcPr>
                  <w:tcW w:w="365" w:type="pct"/>
                  <w:vMerge w:val="restart"/>
                  <w:tcBorders>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水泥砼面层</w:t>
                  </w:r>
                </w:p>
              </w:tc>
              <w:tc>
                <w:tcPr>
                  <w:tcW w:w="4326" w:type="pct"/>
                  <w:gridSpan w:val="2"/>
                  <w:tcBorders>
                    <w:left w:val="single" w:color="auto" w:sz="4" w:space="0"/>
                    <w:bottom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方案比较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jc w:val="center"/>
              </w:trPr>
              <w:tc>
                <w:tcPr>
                  <w:tcW w:w="308" w:type="pct"/>
                  <w:vMerge w:val="continue"/>
                  <w:tcBorders>
                    <w:top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color w:val="000000" w:themeColor="text1"/>
                      <w:sz w:val="21"/>
                      <w:szCs w:val="21"/>
                      <w:highlight w:val="none"/>
                      <w14:textFill>
                        <w14:solidFill>
                          <w14:schemeClr w14:val="tx1"/>
                        </w14:solidFill>
                      </w14:textFill>
                    </w:rPr>
                  </w:pPr>
                </w:p>
              </w:tc>
              <w:tc>
                <w:tcPr>
                  <w:tcW w:w="365" w:type="pct"/>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color w:val="000000" w:themeColor="text1"/>
                      <w:sz w:val="21"/>
                      <w:szCs w:val="21"/>
                      <w:highlight w:val="none"/>
                      <w14:textFill>
                        <w14:solidFill>
                          <w14:schemeClr w14:val="tx1"/>
                        </w14:solidFill>
                      </w14:textFill>
                    </w:rPr>
                  </w:pPr>
                </w:p>
              </w:tc>
              <w:tc>
                <w:tcPr>
                  <w:tcW w:w="251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总厚度：2</w:t>
                  </w:r>
                  <w:r>
                    <w:rPr>
                      <w:rFonts w:hint="eastAsia"/>
                      <w:color w:val="000000" w:themeColor="text1"/>
                      <w:sz w:val="21"/>
                      <w:szCs w:val="21"/>
                      <w:highlight w:val="none"/>
                      <w14:textFill>
                        <w14:solidFill>
                          <w14:schemeClr w14:val="tx1"/>
                        </w14:solidFill>
                      </w14:textFill>
                    </w:rPr>
                    <w:t>8</w:t>
                  </w:r>
                  <w:r>
                    <w:rPr>
                      <w:color w:val="000000" w:themeColor="text1"/>
                      <w:sz w:val="21"/>
                      <w:szCs w:val="21"/>
                      <w:highlight w:val="none"/>
                      <w14:textFill>
                        <w14:solidFill>
                          <w14:schemeClr w14:val="tx1"/>
                        </w14:solidFill>
                      </w14:textFill>
                    </w:rPr>
                    <w:t>cm</w:t>
                  </w:r>
                </w:p>
              </w:tc>
              <w:tc>
                <w:tcPr>
                  <w:tcW w:w="1816" w:type="pct"/>
                  <w:vMerge w:val="restart"/>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优点：表面防滑、外形美观大方，价格比较经济。</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缺点：表面容易脏。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3" w:hRule="atLeast"/>
                <w:jc w:val="center"/>
              </w:trPr>
              <w:tc>
                <w:tcPr>
                  <w:tcW w:w="308" w:type="pct"/>
                  <w:vMerge w:val="continue"/>
                  <w:tcBorders>
                    <w:top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b/>
                      <w:color w:val="000000" w:themeColor="text1"/>
                      <w:sz w:val="21"/>
                      <w:szCs w:val="21"/>
                      <w:highlight w:val="none"/>
                      <w14:textFill>
                        <w14:solidFill>
                          <w14:schemeClr w14:val="tx1"/>
                        </w14:solidFill>
                      </w14:textFill>
                    </w:rPr>
                  </w:pPr>
                </w:p>
              </w:tc>
              <w:tc>
                <w:tcPr>
                  <w:tcW w:w="365" w:type="pct"/>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b/>
                      <w:color w:val="000000" w:themeColor="text1"/>
                      <w:sz w:val="21"/>
                      <w:szCs w:val="21"/>
                      <w:highlight w:val="none"/>
                      <w14:textFill>
                        <w14:solidFill>
                          <w14:schemeClr w14:val="tx1"/>
                        </w14:solidFill>
                      </w14:textFill>
                    </w:rPr>
                  </w:pPr>
                </w:p>
              </w:tc>
              <w:tc>
                <w:tcPr>
                  <w:tcW w:w="2510" w:type="pct"/>
                  <w:tcBorders>
                    <w:top w:val="single" w:color="auto" w:sz="4" w:space="0"/>
                    <w:left w:val="single" w:color="auto" w:sz="4" w:space="0"/>
                    <w:right w:val="single" w:color="auto" w:sz="4" w:space="0"/>
                  </w:tcBorders>
                  <w:shd w:val="clear" w:color="auto" w:fill="FFFFFF"/>
                  <w:noWrap w:val="0"/>
                  <w:vAlign w:val="center"/>
                </w:tcPr>
                <w:p>
                  <w:pPr>
                    <w:pStyle w:val="17"/>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面层：</w:t>
                  </w:r>
                  <w:r>
                    <w:rPr>
                      <w:rFonts w:hint="eastAsia"/>
                      <w:color w:val="000000" w:themeColor="text1"/>
                      <w:sz w:val="21"/>
                      <w:szCs w:val="21"/>
                      <w:highlight w:val="none"/>
                      <w14:textFill>
                        <w14:solidFill>
                          <w14:schemeClr w14:val="tx1"/>
                        </w14:solidFill>
                      </w14:textFill>
                    </w:rPr>
                    <w:t>30</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30</w:t>
                  </w:r>
                  <w:r>
                    <w:rPr>
                      <w:color w:val="000000" w:themeColor="text1"/>
                      <w:sz w:val="21"/>
                      <w:szCs w:val="21"/>
                      <w:highlight w:val="none"/>
                      <w14:textFill>
                        <w14:solidFill>
                          <w14:schemeClr w14:val="tx1"/>
                        </w14:solidFill>
                      </w14:textFill>
                    </w:rPr>
                    <w:t>×5cm水泥砼面砖</w:t>
                  </w:r>
                </w:p>
              </w:tc>
              <w:tc>
                <w:tcPr>
                  <w:tcW w:w="1816" w:type="pct"/>
                  <w:vMerge w:val="continue"/>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308" w:type="pct"/>
                  <w:vMerge w:val="continue"/>
                  <w:tcBorders>
                    <w:top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b/>
                      <w:color w:val="000000" w:themeColor="text1"/>
                      <w:sz w:val="21"/>
                      <w:szCs w:val="21"/>
                      <w:highlight w:val="none"/>
                      <w14:textFill>
                        <w14:solidFill>
                          <w14:schemeClr w14:val="tx1"/>
                        </w14:solidFill>
                      </w14:textFill>
                    </w:rPr>
                  </w:pPr>
                </w:p>
              </w:tc>
              <w:tc>
                <w:tcPr>
                  <w:tcW w:w="365" w:type="pct"/>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b/>
                      <w:color w:val="000000" w:themeColor="text1"/>
                      <w:sz w:val="21"/>
                      <w:szCs w:val="21"/>
                      <w:highlight w:val="none"/>
                      <w14:textFill>
                        <w14:solidFill>
                          <w14:schemeClr w14:val="tx1"/>
                        </w14:solidFill>
                      </w14:textFill>
                    </w:rPr>
                  </w:pPr>
                </w:p>
              </w:tc>
              <w:tc>
                <w:tcPr>
                  <w:tcW w:w="251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7"/>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找平层：</w:t>
                  </w:r>
                  <w:r>
                    <w:rPr>
                      <w:rFonts w:hint="eastAsia"/>
                      <w:color w:val="000000" w:themeColor="text1"/>
                      <w:sz w:val="21"/>
                      <w:szCs w:val="21"/>
                      <w:highlight w:val="none"/>
                      <w14:textFill>
                        <w14:solidFill>
                          <w14:schemeClr w14:val="tx1"/>
                        </w14:solidFill>
                      </w14:textFill>
                    </w:rPr>
                    <w:t>3</w:t>
                  </w:r>
                  <w:r>
                    <w:rPr>
                      <w:color w:val="000000" w:themeColor="text1"/>
                      <w:sz w:val="21"/>
                      <w:szCs w:val="21"/>
                      <w:highlight w:val="none"/>
                      <w14:textFill>
                        <w14:solidFill>
                          <w14:schemeClr w14:val="tx1"/>
                        </w14:solidFill>
                      </w14:textFill>
                    </w:rPr>
                    <w:t>cm1:3水泥砂浆</w:t>
                  </w:r>
                </w:p>
              </w:tc>
              <w:tc>
                <w:tcPr>
                  <w:tcW w:w="1816" w:type="pct"/>
                  <w:vMerge w:val="continue"/>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308" w:type="pct"/>
                  <w:vMerge w:val="continue"/>
                  <w:tcBorders>
                    <w:top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b/>
                      <w:color w:val="000000" w:themeColor="text1"/>
                      <w:sz w:val="21"/>
                      <w:szCs w:val="21"/>
                      <w:highlight w:val="none"/>
                      <w14:textFill>
                        <w14:solidFill>
                          <w14:schemeClr w14:val="tx1"/>
                        </w14:solidFill>
                      </w14:textFill>
                    </w:rPr>
                  </w:pPr>
                  <w:bookmarkStart w:id="3" w:name="_Hlk471376630"/>
                </w:p>
              </w:tc>
              <w:tc>
                <w:tcPr>
                  <w:tcW w:w="365" w:type="pct"/>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b/>
                      <w:color w:val="000000" w:themeColor="text1"/>
                      <w:sz w:val="21"/>
                      <w:szCs w:val="21"/>
                      <w:highlight w:val="none"/>
                      <w14:textFill>
                        <w14:solidFill>
                          <w14:schemeClr w14:val="tx1"/>
                        </w14:solidFill>
                      </w14:textFill>
                    </w:rPr>
                  </w:pPr>
                </w:p>
              </w:tc>
              <w:tc>
                <w:tcPr>
                  <w:tcW w:w="2510" w:type="pct"/>
                  <w:tcBorders>
                    <w:top w:val="single" w:color="auto" w:sz="4" w:space="0"/>
                    <w:left w:val="single" w:color="auto" w:sz="4" w:space="0"/>
                    <w:right w:val="single" w:color="auto" w:sz="4" w:space="0"/>
                  </w:tcBorders>
                  <w:shd w:val="clear" w:color="auto" w:fill="FFFFFF"/>
                  <w:noWrap w:val="0"/>
                  <w:vAlign w:val="center"/>
                </w:tcPr>
                <w:p>
                  <w:pPr>
                    <w:pStyle w:val="17"/>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基层：</w:t>
                  </w:r>
                  <w:r>
                    <w:rPr>
                      <w:rFonts w:hint="eastAsia"/>
                      <w:color w:val="000000" w:themeColor="text1"/>
                      <w:sz w:val="21"/>
                      <w:szCs w:val="21"/>
                      <w:highlight w:val="none"/>
                      <w14:textFill>
                        <w14:solidFill>
                          <w14:schemeClr w14:val="tx1"/>
                        </w14:solidFill>
                      </w14:textFill>
                    </w:rPr>
                    <w:t>20</w:t>
                  </w:r>
                  <w:r>
                    <w:rPr>
                      <w:color w:val="000000" w:themeColor="text1"/>
                      <w:sz w:val="21"/>
                      <w:szCs w:val="21"/>
                      <w:highlight w:val="none"/>
                      <w14:textFill>
                        <w14:solidFill>
                          <w14:schemeClr w14:val="tx1"/>
                        </w14:solidFill>
                      </w14:textFill>
                    </w:rPr>
                    <w:t>cm</w:t>
                  </w:r>
                  <w:r>
                    <w:rPr>
                      <w:rFonts w:hint="eastAsia"/>
                      <w:color w:val="000000" w:themeColor="text1"/>
                      <w:sz w:val="21"/>
                      <w:szCs w:val="21"/>
                      <w:highlight w:val="none"/>
                      <w14:textFill>
                        <w14:solidFill>
                          <w14:schemeClr w14:val="tx1"/>
                        </w14:solidFill>
                      </w14:textFill>
                    </w:rPr>
                    <w:t>4</w:t>
                  </w:r>
                  <w:r>
                    <w:rPr>
                      <w:color w:val="000000" w:themeColor="text1"/>
                      <w:sz w:val="21"/>
                      <w:szCs w:val="21"/>
                      <w:highlight w:val="none"/>
                      <w14:textFill>
                        <w14:solidFill>
                          <w14:schemeClr w14:val="tx1"/>
                        </w14:solidFill>
                      </w14:textFill>
                    </w:rPr>
                    <w:t>%水泥稳定碎石</w:t>
                  </w:r>
                </w:p>
              </w:tc>
              <w:tc>
                <w:tcPr>
                  <w:tcW w:w="1816" w:type="pct"/>
                  <w:vMerge w:val="continue"/>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color w:val="000000" w:themeColor="text1"/>
                      <w:sz w:val="21"/>
                      <w:szCs w:val="21"/>
                      <w:highlight w:val="none"/>
                      <w14:textFill>
                        <w14:solidFill>
                          <w14:schemeClr w14:val="tx1"/>
                        </w14:solidFill>
                      </w14:textFill>
                    </w:rPr>
                  </w:pPr>
                </w:p>
              </w:tc>
            </w:tr>
            <w:bookmarkEnd w:id="3"/>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2" w:hRule="atLeast"/>
                <w:jc w:val="center"/>
              </w:trPr>
              <w:tc>
                <w:tcPr>
                  <w:tcW w:w="308" w:type="pct"/>
                  <w:vMerge w:val="continue"/>
                  <w:tcBorders>
                    <w:top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color w:val="000000" w:themeColor="text1"/>
                      <w:sz w:val="21"/>
                      <w:szCs w:val="21"/>
                      <w:highlight w:val="none"/>
                      <w14:textFill>
                        <w14:solidFill>
                          <w14:schemeClr w14:val="tx1"/>
                        </w14:solidFill>
                      </w14:textFill>
                    </w:rPr>
                  </w:pPr>
                </w:p>
              </w:tc>
              <w:tc>
                <w:tcPr>
                  <w:tcW w:w="365" w:type="pct"/>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花岗石面层</w:t>
                  </w:r>
                </w:p>
              </w:tc>
              <w:tc>
                <w:tcPr>
                  <w:tcW w:w="251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总厚度：2</w:t>
                  </w:r>
                  <w:r>
                    <w:rPr>
                      <w:rFonts w:hint="eastAsia"/>
                      <w:color w:val="000000" w:themeColor="text1"/>
                      <w:sz w:val="21"/>
                      <w:szCs w:val="21"/>
                      <w:highlight w:val="none"/>
                      <w14:textFill>
                        <w14:solidFill>
                          <w14:schemeClr w14:val="tx1"/>
                        </w14:solidFill>
                      </w14:textFill>
                    </w:rPr>
                    <w:t>8</w:t>
                  </w:r>
                  <w:r>
                    <w:rPr>
                      <w:color w:val="000000" w:themeColor="text1"/>
                      <w:sz w:val="21"/>
                      <w:szCs w:val="21"/>
                      <w:highlight w:val="none"/>
                      <w14:textFill>
                        <w14:solidFill>
                          <w14:schemeClr w14:val="tx1"/>
                        </w14:solidFill>
                      </w14:textFill>
                    </w:rPr>
                    <w:t>cm</w:t>
                  </w:r>
                </w:p>
              </w:tc>
              <w:tc>
                <w:tcPr>
                  <w:tcW w:w="1816" w:type="pct"/>
                  <w:vMerge w:val="restart"/>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suppressLineNumbers w:val="0"/>
                    <w:tabs>
                      <w:tab w:val="left" w:pos="735"/>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优点：色彩美观、成分天然、容易切割。</w:t>
                  </w:r>
                </w:p>
                <w:p>
                  <w:pPr>
                    <w:keepNext w:val="0"/>
                    <w:keepLines w:val="0"/>
                    <w:pageBreakBefore w:val="0"/>
                    <w:widowControl w:val="0"/>
                    <w:suppressLineNumbers w:val="0"/>
                    <w:tabs>
                      <w:tab w:val="left" w:pos="735"/>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缺点：价格比较昂贵。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308" w:type="pct"/>
                  <w:vMerge w:val="continue"/>
                  <w:tcBorders>
                    <w:top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tabs>
                      <w:tab w:val="left" w:pos="735"/>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color w:val="000000" w:themeColor="text1"/>
                      <w:sz w:val="21"/>
                      <w:szCs w:val="21"/>
                      <w:highlight w:val="none"/>
                      <w14:textFill>
                        <w14:solidFill>
                          <w14:schemeClr w14:val="tx1"/>
                        </w14:solidFill>
                      </w14:textFill>
                    </w:rPr>
                  </w:pPr>
                </w:p>
              </w:tc>
              <w:tc>
                <w:tcPr>
                  <w:tcW w:w="365" w:type="pct"/>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tabs>
                      <w:tab w:val="left" w:pos="735"/>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color w:val="000000" w:themeColor="text1"/>
                      <w:sz w:val="21"/>
                      <w:szCs w:val="21"/>
                      <w:highlight w:val="none"/>
                      <w14:textFill>
                        <w14:solidFill>
                          <w14:schemeClr w14:val="tx1"/>
                        </w14:solidFill>
                      </w14:textFill>
                    </w:rPr>
                  </w:pPr>
                </w:p>
              </w:tc>
              <w:tc>
                <w:tcPr>
                  <w:tcW w:w="251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tabs>
                      <w:tab w:val="left" w:pos="735"/>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面层：</w:t>
                  </w:r>
                  <w:r>
                    <w:rPr>
                      <w:rFonts w:hint="eastAsia"/>
                      <w:color w:val="000000" w:themeColor="text1"/>
                      <w:sz w:val="21"/>
                      <w:szCs w:val="21"/>
                      <w:highlight w:val="none"/>
                      <w14:textFill>
                        <w14:solidFill>
                          <w14:schemeClr w14:val="tx1"/>
                        </w14:solidFill>
                      </w14:textFill>
                    </w:rPr>
                    <w:t>3</w:t>
                  </w:r>
                  <w:r>
                    <w:rPr>
                      <w:color w:val="000000" w:themeColor="text1"/>
                      <w:sz w:val="21"/>
                      <w:szCs w:val="21"/>
                      <w:highlight w:val="none"/>
                      <w14:textFill>
                        <w14:solidFill>
                          <w14:schemeClr w14:val="tx1"/>
                        </w14:solidFill>
                      </w14:textFill>
                    </w:rPr>
                    <w:t>0×</w:t>
                  </w:r>
                  <w:r>
                    <w:rPr>
                      <w:rFonts w:hint="eastAsia"/>
                      <w:color w:val="000000" w:themeColor="text1"/>
                      <w:sz w:val="21"/>
                      <w:szCs w:val="21"/>
                      <w:highlight w:val="none"/>
                      <w14:textFill>
                        <w14:solidFill>
                          <w14:schemeClr w14:val="tx1"/>
                        </w14:solidFill>
                      </w14:textFill>
                    </w:rPr>
                    <w:t>60</w:t>
                  </w:r>
                  <w:r>
                    <w:rPr>
                      <w:color w:val="000000" w:themeColor="text1"/>
                      <w:sz w:val="21"/>
                      <w:szCs w:val="21"/>
                      <w:highlight w:val="none"/>
                      <w14:textFill>
                        <w14:solidFill>
                          <w14:schemeClr w14:val="tx1"/>
                        </w14:solidFill>
                      </w14:textFill>
                    </w:rPr>
                    <w:t>×5cm花岗石面砖</w:t>
                  </w:r>
                </w:p>
              </w:tc>
              <w:tc>
                <w:tcPr>
                  <w:tcW w:w="1816" w:type="pct"/>
                  <w:vMerge w:val="continue"/>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suppressLineNumbers w:val="0"/>
                    <w:tabs>
                      <w:tab w:val="left" w:pos="735"/>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308" w:type="pct"/>
                  <w:vMerge w:val="continue"/>
                  <w:tcBorders>
                    <w:top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tabs>
                      <w:tab w:val="left" w:pos="735"/>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color w:val="000000" w:themeColor="text1"/>
                      <w:sz w:val="21"/>
                      <w:szCs w:val="21"/>
                      <w:highlight w:val="none"/>
                      <w14:textFill>
                        <w14:solidFill>
                          <w14:schemeClr w14:val="tx1"/>
                        </w14:solidFill>
                      </w14:textFill>
                    </w:rPr>
                  </w:pPr>
                </w:p>
              </w:tc>
              <w:tc>
                <w:tcPr>
                  <w:tcW w:w="365" w:type="pct"/>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tabs>
                      <w:tab w:val="left" w:pos="735"/>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color w:val="000000" w:themeColor="text1"/>
                      <w:sz w:val="21"/>
                      <w:szCs w:val="21"/>
                      <w:highlight w:val="none"/>
                      <w14:textFill>
                        <w14:solidFill>
                          <w14:schemeClr w14:val="tx1"/>
                        </w14:solidFill>
                      </w14:textFill>
                    </w:rPr>
                  </w:pPr>
                </w:p>
              </w:tc>
              <w:tc>
                <w:tcPr>
                  <w:tcW w:w="251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tabs>
                      <w:tab w:val="left" w:pos="735"/>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找平层：</w:t>
                  </w:r>
                  <w:r>
                    <w:rPr>
                      <w:rFonts w:hint="eastAsia"/>
                      <w:color w:val="000000" w:themeColor="text1"/>
                      <w:sz w:val="21"/>
                      <w:szCs w:val="21"/>
                      <w:highlight w:val="none"/>
                      <w14:textFill>
                        <w14:solidFill>
                          <w14:schemeClr w14:val="tx1"/>
                        </w14:solidFill>
                      </w14:textFill>
                    </w:rPr>
                    <w:t>3</w:t>
                  </w:r>
                  <w:r>
                    <w:rPr>
                      <w:color w:val="000000" w:themeColor="text1"/>
                      <w:sz w:val="21"/>
                      <w:szCs w:val="21"/>
                      <w:highlight w:val="none"/>
                      <w14:textFill>
                        <w14:solidFill>
                          <w14:schemeClr w14:val="tx1"/>
                        </w14:solidFill>
                      </w14:textFill>
                    </w:rPr>
                    <w:t>cm1:3水泥砂浆</w:t>
                  </w:r>
                </w:p>
              </w:tc>
              <w:tc>
                <w:tcPr>
                  <w:tcW w:w="1816" w:type="pct"/>
                  <w:vMerge w:val="continue"/>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suppressLineNumbers w:val="0"/>
                    <w:tabs>
                      <w:tab w:val="left" w:pos="735"/>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308" w:type="pct"/>
                  <w:vMerge w:val="continue"/>
                  <w:tcBorders>
                    <w:top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tabs>
                      <w:tab w:val="left" w:pos="735"/>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color w:val="000000" w:themeColor="text1"/>
                      <w:sz w:val="21"/>
                      <w:szCs w:val="21"/>
                      <w:highlight w:val="none"/>
                      <w14:textFill>
                        <w14:solidFill>
                          <w14:schemeClr w14:val="tx1"/>
                        </w14:solidFill>
                      </w14:textFill>
                    </w:rPr>
                  </w:pPr>
                </w:p>
              </w:tc>
              <w:tc>
                <w:tcPr>
                  <w:tcW w:w="365" w:type="pct"/>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uppressLineNumbers w:val="0"/>
                    <w:tabs>
                      <w:tab w:val="left" w:pos="735"/>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color w:val="000000" w:themeColor="text1"/>
                      <w:sz w:val="21"/>
                      <w:szCs w:val="21"/>
                      <w:highlight w:val="none"/>
                      <w14:textFill>
                        <w14:solidFill>
                          <w14:schemeClr w14:val="tx1"/>
                        </w14:solidFill>
                      </w14:textFill>
                    </w:rPr>
                  </w:pPr>
                </w:p>
              </w:tc>
              <w:tc>
                <w:tcPr>
                  <w:tcW w:w="2510" w:type="pct"/>
                  <w:tcBorders>
                    <w:top w:val="single" w:color="auto" w:sz="4" w:space="0"/>
                    <w:left w:val="single" w:color="auto" w:sz="4" w:space="0"/>
                    <w:right w:val="single" w:color="auto" w:sz="4" w:space="0"/>
                  </w:tcBorders>
                  <w:shd w:val="clear" w:color="auto" w:fill="FFFFFF"/>
                  <w:noWrap w:val="0"/>
                  <w:vAlign w:val="center"/>
                </w:tcPr>
                <w:p>
                  <w:pPr>
                    <w:pStyle w:val="17"/>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基层：</w:t>
                  </w:r>
                  <w:r>
                    <w:rPr>
                      <w:rFonts w:hint="eastAsia"/>
                      <w:color w:val="000000" w:themeColor="text1"/>
                      <w:sz w:val="21"/>
                      <w:szCs w:val="21"/>
                      <w:highlight w:val="none"/>
                      <w14:textFill>
                        <w14:solidFill>
                          <w14:schemeClr w14:val="tx1"/>
                        </w14:solidFill>
                      </w14:textFill>
                    </w:rPr>
                    <w:t>20cmC20混凝土</w:t>
                  </w:r>
                </w:p>
              </w:tc>
              <w:tc>
                <w:tcPr>
                  <w:tcW w:w="1816" w:type="pct"/>
                  <w:vMerge w:val="continue"/>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suppressLineNumbers w:val="0"/>
                    <w:tabs>
                      <w:tab w:val="left" w:pos="735"/>
                    </w:tabs>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1"/>
                    <w:rPr>
                      <w:color w:val="000000" w:themeColor="text1"/>
                      <w:sz w:val="21"/>
                      <w:szCs w:val="21"/>
                      <w:highlight w:val="none"/>
                      <w14:textFill>
                        <w14:solidFill>
                          <w14:schemeClr w14:val="tx1"/>
                        </w14:solidFill>
                      </w14:textFill>
                    </w:rPr>
                  </w:pPr>
                </w:p>
              </w:tc>
            </w:tr>
          </w:tbl>
          <w:p>
            <w:pPr>
              <w:pStyle w:val="19"/>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leftChars="0" w:right="0" w:firstLine="480" w:firstLineChars="200"/>
              <w:jc w:val="left"/>
              <w:textAlignment w:val="auto"/>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同时</w:t>
            </w:r>
            <w:r>
              <w:rPr>
                <w:color w:val="000000" w:themeColor="text1"/>
                <w:sz w:val="24"/>
                <w:szCs w:val="24"/>
                <w:highlight w:val="none"/>
                <w14:textFill>
                  <w14:solidFill>
                    <w14:schemeClr w14:val="tx1"/>
                  </w14:solidFill>
                </w14:textFill>
              </w:rPr>
              <w:t>考虑</w:t>
            </w:r>
            <w:r>
              <w:rPr>
                <w:rFonts w:hint="eastAsia"/>
                <w:color w:val="000000" w:themeColor="text1"/>
                <w:sz w:val="24"/>
                <w:szCs w:val="24"/>
                <w:highlight w:val="none"/>
                <w14:textFill>
                  <w14:solidFill>
                    <w14:schemeClr w14:val="tx1"/>
                  </w14:solidFill>
                </w14:textFill>
              </w:rPr>
              <w:t>美观需要及参照已设计的金南大道西延线</w:t>
            </w:r>
            <w:r>
              <w:rPr>
                <w:rFonts w:hint="eastAsia"/>
                <w:color w:val="000000" w:themeColor="text1"/>
                <w:sz w:val="24"/>
                <w:szCs w:val="24"/>
                <w:highlight w:val="none"/>
                <w:lang w:val="en-US" w:eastAsia="zh-CN"/>
                <w14:textFill>
                  <w14:solidFill>
                    <w14:schemeClr w14:val="tx1"/>
                  </w14:solidFill>
                </w14:textFill>
              </w:rPr>
              <w:t>三</w:t>
            </w:r>
            <w:r>
              <w:rPr>
                <w:rFonts w:hint="eastAsia"/>
                <w:color w:val="000000" w:themeColor="text1"/>
                <w:sz w:val="24"/>
                <w:szCs w:val="24"/>
                <w:highlight w:val="none"/>
                <w14:textFill>
                  <w14:solidFill>
                    <w14:schemeClr w14:val="tx1"/>
                  </w14:solidFill>
                </w14:textFill>
              </w:rPr>
              <w:t>期西段道路工程</w:t>
            </w:r>
            <w:r>
              <w:rPr>
                <w:color w:val="000000" w:themeColor="text1"/>
                <w:sz w:val="24"/>
                <w:szCs w:val="24"/>
                <w:highlight w:val="none"/>
                <w14:textFill>
                  <w14:solidFill>
                    <w14:schemeClr w14:val="tx1"/>
                  </w14:solidFill>
                </w14:textFill>
              </w:rPr>
              <w:t>人行道</w:t>
            </w:r>
            <w:r>
              <w:rPr>
                <w:rFonts w:hint="eastAsia"/>
                <w:color w:val="000000" w:themeColor="text1"/>
                <w:sz w:val="24"/>
                <w:szCs w:val="24"/>
                <w:highlight w:val="none"/>
                <w14:textFill>
                  <w14:solidFill>
                    <w14:schemeClr w14:val="tx1"/>
                  </w14:solidFill>
                </w14:textFill>
              </w:rPr>
              <w:t>结构，</w:t>
            </w:r>
            <w:r>
              <w:rPr>
                <w:rFonts w:hint="eastAsia"/>
                <w:color w:val="000000" w:themeColor="text1"/>
                <w:sz w:val="24"/>
                <w:szCs w:val="24"/>
                <w:highlight w:val="none"/>
                <w:lang w:val="en-US" w:eastAsia="zh-CN"/>
                <w14:textFill>
                  <w14:solidFill>
                    <w14:schemeClr w14:val="tx1"/>
                  </w14:solidFill>
                </w14:textFill>
              </w:rPr>
              <w:t>因此，选择</w:t>
            </w:r>
            <w:r>
              <w:rPr>
                <w:rFonts w:hint="eastAsia"/>
                <w:b/>
                <w:bCs/>
                <w:color w:val="000000" w:themeColor="text1"/>
                <w:sz w:val="24"/>
                <w:szCs w:val="24"/>
                <w:highlight w:val="none"/>
                <w14:textFill>
                  <w14:solidFill>
                    <w14:schemeClr w14:val="tx1"/>
                  </w14:solidFill>
                </w14:textFill>
              </w:rPr>
              <w:t>花岗石</w:t>
            </w:r>
            <w:r>
              <w:rPr>
                <w:b/>
                <w:bCs/>
                <w:color w:val="000000" w:themeColor="text1"/>
                <w:sz w:val="24"/>
                <w:szCs w:val="24"/>
                <w:highlight w:val="none"/>
                <w14:textFill>
                  <w14:solidFill>
                    <w14:schemeClr w14:val="tx1"/>
                  </w14:solidFill>
                </w14:textFill>
              </w:rPr>
              <w:t>面层</w:t>
            </w:r>
            <w:r>
              <w:rPr>
                <w:rFonts w:hint="eastAsia"/>
                <w:color w:val="000000" w:themeColor="text1"/>
                <w:sz w:val="24"/>
                <w:szCs w:val="24"/>
                <w:highlight w:val="none"/>
                <w14:textFill>
                  <w14:solidFill>
                    <w14:schemeClr w14:val="tx1"/>
                  </w14:solidFill>
                </w14:textFill>
              </w:rPr>
              <w:t>。</w:t>
            </w:r>
          </w:p>
          <w:p>
            <w:pPr>
              <w:pStyle w:val="19"/>
              <w:keepNext w:val="0"/>
              <w:keepLines w:val="0"/>
              <w:widowControl w:val="0"/>
              <w:suppressLineNumbers w:val="0"/>
              <w:spacing w:before="0" w:beforeAutospacing="0" w:after="0" w:afterAutospacing="0" w:line="360" w:lineRule="auto"/>
              <w:ind w:left="0" w:leftChars="0" w:right="0" w:firstLine="482" w:firstLineChars="200"/>
              <w:jc w:val="left"/>
              <w:rPr>
                <w:rFonts w:hint="default" w:ascii="宋体" w:hAnsi="宋体" w:eastAsia="宋体" w:cs="宋体"/>
                <w:b/>
                <w:bCs/>
                <w:color w:val="000000" w:themeColor="text1"/>
                <w:kern w:val="2"/>
                <w:sz w:val="24"/>
                <w:szCs w:val="24"/>
                <w:highlight w:val="none"/>
                <w:lang w:val="en-US" w:eastAsia="zh-CN" w:bidi="ar"/>
                <w14:textFill>
                  <w14:solidFill>
                    <w14:schemeClr w14:val="tx1"/>
                  </w14:solidFill>
                </w14:textFill>
              </w:rPr>
            </w:pPr>
            <w:r>
              <w:rPr>
                <w:rFonts w:hint="eastAsia" w:cs="宋体"/>
                <w:b/>
                <w:bCs/>
                <w:color w:val="000000" w:themeColor="text1"/>
                <w:kern w:val="2"/>
                <w:sz w:val="24"/>
                <w:szCs w:val="24"/>
                <w:highlight w:val="none"/>
                <w:lang w:val="en-US" w:eastAsia="zh-CN" w:bidi="ar"/>
                <w14:textFill>
                  <w14:solidFill>
                    <w14:schemeClr w14:val="tx1"/>
                  </w14:solidFill>
                </w14:textFill>
              </w:rPr>
              <w:t>8、道路附属工程设计</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cs="宋体"/>
                <w:color w:val="000000" w:themeColor="text1"/>
                <w:kern w:val="2"/>
                <w:sz w:val="24"/>
                <w:szCs w:val="24"/>
                <w:highlight w:val="none"/>
                <w:lang w:val="en-US" w:eastAsia="zh-CN" w:bidi="ar"/>
                <w14:textFill>
                  <w14:solidFill>
                    <w14:schemeClr w14:val="tx1"/>
                  </w14:solidFill>
                </w14:textFill>
              </w:rPr>
            </w:pPr>
            <w:r>
              <w:rPr>
                <w:rFonts w:hint="eastAsia" w:cs="宋体"/>
                <w:color w:val="000000" w:themeColor="text1"/>
                <w:kern w:val="2"/>
                <w:sz w:val="24"/>
                <w:szCs w:val="24"/>
                <w:highlight w:val="none"/>
                <w:lang w:val="en-US" w:eastAsia="zh-CN" w:bidi="ar"/>
                <w14:textFill>
                  <w14:solidFill>
                    <w14:schemeClr w14:val="tx1"/>
                  </w14:solidFill>
                </w14:textFill>
              </w:rPr>
              <w:t>包括人行道上的无障碍设计，采用斑马线组织人行过街系统，相交道路的改线及恢复。</w:t>
            </w:r>
          </w:p>
          <w:p>
            <w:pPr>
              <w:pStyle w:val="19"/>
              <w:keepNext w:val="0"/>
              <w:keepLines w:val="0"/>
              <w:widowControl w:val="0"/>
              <w:suppressLineNumbers w:val="0"/>
              <w:spacing w:before="0" w:beforeAutospacing="0" w:after="0" w:afterAutospacing="0" w:line="360" w:lineRule="auto"/>
              <w:ind w:left="0" w:leftChars="0" w:right="0" w:firstLine="482" w:firstLineChars="200"/>
              <w:jc w:val="left"/>
              <w:rPr>
                <w:rFonts w:hint="eastAsia" w:cs="宋体"/>
                <w:color w:val="000000" w:themeColor="text1"/>
                <w:kern w:val="2"/>
                <w:sz w:val="24"/>
                <w:szCs w:val="24"/>
                <w:highlight w:val="none"/>
                <w:lang w:val="en-US" w:eastAsia="zh-CN" w:bidi="ar"/>
                <w14:textFill>
                  <w14:solidFill>
                    <w14:schemeClr w14:val="tx1"/>
                  </w14:solidFill>
                </w14:textFill>
              </w:rPr>
            </w:pPr>
            <w:r>
              <w:rPr>
                <w:rFonts w:hint="eastAsia" w:cs="宋体"/>
                <w:b/>
                <w:bCs/>
                <w:color w:val="000000" w:themeColor="text1"/>
                <w:kern w:val="2"/>
                <w:sz w:val="24"/>
                <w:szCs w:val="24"/>
                <w:highlight w:val="none"/>
                <w:lang w:val="en-US" w:eastAsia="zh-CN" w:bidi="ar"/>
                <w14:textFill>
                  <w14:solidFill>
                    <w14:schemeClr w14:val="tx1"/>
                  </w14:solidFill>
                </w14:textFill>
              </w:rPr>
              <w:t>注：</w:t>
            </w:r>
            <w:r>
              <w:rPr>
                <w:rFonts w:hint="eastAsia" w:cs="宋体"/>
                <w:color w:val="000000" w:themeColor="text1"/>
                <w:kern w:val="2"/>
                <w:sz w:val="24"/>
                <w:szCs w:val="24"/>
                <w:highlight w:val="none"/>
                <w:lang w:val="en-US" w:eastAsia="zh-CN" w:bidi="ar"/>
                <w14:textFill>
                  <w14:solidFill>
                    <w14:schemeClr w14:val="tx1"/>
                  </w14:solidFill>
                </w14:textFill>
              </w:rPr>
              <w:t>本项目涉及部分G542及村道的迁改，该部分迁改单独实施，本次评价不包含迁改段的评价。</w:t>
            </w:r>
          </w:p>
          <w:p>
            <w:pPr>
              <w:pStyle w:val="19"/>
              <w:keepNext w:val="0"/>
              <w:keepLines w:val="0"/>
              <w:widowControl w:val="0"/>
              <w:suppressLineNumbers w:val="0"/>
              <w:spacing w:before="0" w:beforeAutospacing="0" w:after="0" w:afterAutospacing="0" w:line="360" w:lineRule="auto"/>
              <w:ind w:left="0" w:leftChars="0" w:right="0" w:firstLine="482" w:firstLineChars="200"/>
              <w:jc w:val="left"/>
              <w:rPr>
                <w:rFonts w:hint="default" w:ascii="宋体" w:hAnsi="宋体" w:eastAsia="宋体" w:cs="宋体"/>
                <w:b/>
                <w:bCs/>
                <w:color w:val="000000" w:themeColor="text1"/>
                <w:kern w:val="2"/>
                <w:sz w:val="24"/>
                <w:szCs w:val="24"/>
                <w:highlight w:val="none"/>
                <w:lang w:val="en-US" w:eastAsia="zh-CN" w:bidi="ar"/>
                <w14:textFill>
                  <w14:solidFill>
                    <w14:schemeClr w14:val="tx1"/>
                  </w14:solidFill>
                </w14:textFill>
              </w:rPr>
            </w:pPr>
            <w:r>
              <w:rPr>
                <w:rFonts w:hint="eastAsia" w:cs="宋体"/>
                <w:b/>
                <w:bCs/>
                <w:color w:val="000000" w:themeColor="text1"/>
                <w:kern w:val="2"/>
                <w:sz w:val="24"/>
                <w:szCs w:val="24"/>
                <w:highlight w:val="none"/>
                <w:lang w:val="en-US" w:eastAsia="zh-CN" w:bidi="ar"/>
                <w14:textFill>
                  <w14:solidFill>
                    <w14:schemeClr w14:val="tx1"/>
                  </w14:solidFill>
                </w14:textFill>
              </w:rPr>
              <w:t>二、交安工程设计</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根据《城市道路工程设计规范》（CJJ37-2012）</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本项目交通安全和管理设施等级为A级，</w:t>
            </w:r>
            <w:r>
              <w:rPr>
                <w:rFonts w:hint="eastAsia" w:ascii="Times New Roman" w:hAnsi="Times New Roman" w:cs="Times New Roman"/>
                <w:color w:val="000000" w:themeColor="text1"/>
                <w:sz w:val="24"/>
                <w:highlight w:val="none"/>
                <w:lang w:val="en-US" w:eastAsia="zh-CN"/>
                <w14:textFill>
                  <w14:solidFill>
                    <w14:schemeClr w14:val="tx1"/>
                  </w14:solidFill>
                </w14:textFill>
              </w:rPr>
              <w:t>因此</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本项目交通安全设施设计内容包括交通标志、交通标线</w:t>
            </w:r>
            <w:r>
              <w:rPr>
                <w:rFonts w:hint="eastAsia" w:ascii="Times New Roman" w:hAnsi="Times New Roman" w:cs="Times New Roman"/>
                <w:color w:val="000000" w:themeColor="text1"/>
                <w:sz w:val="24"/>
                <w:highlight w:val="none"/>
                <w:lang w:val="en-US" w:eastAsia="zh-CN"/>
                <w14:textFill>
                  <w14:solidFill>
                    <w14:schemeClr w14:val="tx1"/>
                  </w14:solidFill>
                </w14:textFill>
              </w:rPr>
              <w:t>和</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信号灯。</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其中，</w:t>
            </w:r>
            <w:r>
              <w:rPr>
                <w:rFonts w:hint="eastAsia" w:ascii="宋体" w:hAnsi="宋体"/>
                <w:color w:val="000000" w:themeColor="text1"/>
                <w:sz w:val="24"/>
                <w:highlight w:val="none"/>
                <w14:textFill>
                  <w14:solidFill>
                    <w14:schemeClr w14:val="tx1"/>
                  </w14:solidFill>
                </w14:textFill>
              </w:rPr>
              <w:t>信号灯种类</w:t>
            </w:r>
            <w:r>
              <w:rPr>
                <w:rFonts w:hint="eastAsia"/>
                <w:color w:val="000000" w:themeColor="text1"/>
                <w:sz w:val="24"/>
                <w:highlight w:val="none"/>
                <w:lang w:val="en-US" w:eastAsia="zh-CN"/>
                <w14:textFill>
                  <w14:solidFill>
                    <w14:schemeClr w14:val="tx1"/>
                  </w14:solidFill>
                </w14:textFill>
              </w:rPr>
              <w:t>包括</w:t>
            </w:r>
            <w:r>
              <w:rPr>
                <w:rFonts w:hint="eastAsia" w:ascii="宋体" w:hAnsi="宋体"/>
                <w:color w:val="000000" w:themeColor="text1"/>
                <w:sz w:val="24"/>
                <w:highlight w:val="none"/>
                <w14:textFill>
                  <w14:solidFill>
                    <w14:schemeClr w14:val="tx1"/>
                  </w14:solidFill>
                </w14:textFill>
              </w:rPr>
              <w:t>悬臂式机动车信号灯、单立柱式机动车信号灯及单立柱式行人信号灯，信号显示设备光源均采用LED。</w:t>
            </w:r>
          </w:p>
          <w:p>
            <w:pPr>
              <w:pStyle w:val="19"/>
              <w:keepNext w:val="0"/>
              <w:keepLines w:val="0"/>
              <w:widowControl w:val="0"/>
              <w:suppressLineNumbers w:val="0"/>
              <w:spacing w:before="0" w:beforeAutospacing="0" w:after="0" w:afterAutospacing="0" w:line="360" w:lineRule="auto"/>
              <w:ind w:left="0" w:leftChars="0" w:right="0" w:firstLine="482" w:firstLineChars="200"/>
              <w:jc w:val="left"/>
              <w:rPr>
                <w:rFonts w:hint="default" w:ascii="宋体" w:hAnsi="宋体" w:eastAsia="宋体" w:cs="宋体"/>
                <w:b/>
                <w:bCs/>
                <w:color w:val="000000" w:themeColor="text1"/>
                <w:kern w:val="2"/>
                <w:sz w:val="24"/>
                <w:szCs w:val="24"/>
                <w:highlight w:val="none"/>
                <w:lang w:val="en-US" w:eastAsia="zh-CN" w:bidi="ar"/>
                <w14:textFill>
                  <w14:solidFill>
                    <w14:schemeClr w14:val="tx1"/>
                  </w14:solidFill>
                </w14:textFill>
              </w:rPr>
            </w:pPr>
            <w:r>
              <w:rPr>
                <w:rFonts w:hint="eastAsia" w:cs="宋体"/>
                <w:b/>
                <w:bCs/>
                <w:color w:val="000000" w:themeColor="text1"/>
                <w:kern w:val="2"/>
                <w:sz w:val="24"/>
                <w:szCs w:val="24"/>
                <w:highlight w:val="none"/>
                <w:lang w:val="en-US" w:eastAsia="zh-CN" w:bidi="ar"/>
                <w14:textFill>
                  <w14:solidFill>
                    <w14:schemeClr w14:val="tx1"/>
                  </w14:solidFill>
                </w14:textFill>
              </w:rPr>
              <w:t>三、桥梁工程设计</w:t>
            </w:r>
          </w:p>
          <w:p>
            <w:pPr>
              <w:pStyle w:val="19"/>
              <w:keepNext w:val="0"/>
              <w:keepLines w:val="0"/>
              <w:widowControl w:val="0"/>
              <w:suppressLineNumbers w:val="0"/>
              <w:spacing w:before="0" w:beforeAutospacing="0" w:after="0" w:afterAutospacing="0" w:line="360" w:lineRule="auto"/>
              <w:ind w:left="0" w:leftChars="0" w:right="0" w:firstLine="482" w:firstLineChars="200"/>
              <w:jc w:val="left"/>
              <w:rPr>
                <w:rFonts w:hint="eastAsia" w:ascii="宋体" w:hAnsi="宋体" w:eastAsia="宋体" w:cs="宋体"/>
                <w:b/>
                <w:bCs/>
                <w:color w:val="000000" w:themeColor="text1"/>
                <w:kern w:val="2"/>
                <w:sz w:val="24"/>
                <w:szCs w:val="24"/>
                <w:highlight w:val="none"/>
                <w:lang w:val="en-US" w:eastAsia="zh-CN" w:bidi="ar"/>
                <w14:textFill>
                  <w14:solidFill>
                    <w14:schemeClr w14:val="tx1"/>
                  </w14:solidFill>
                </w14:textFill>
              </w:rPr>
            </w:pPr>
            <w:r>
              <w:rPr>
                <w:rFonts w:hint="eastAsia" w:cs="宋体"/>
                <w:b/>
                <w:bCs/>
                <w:color w:val="000000" w:themeColor="text1"/>
                <w:kern w:val="2"/>
                <w:sz w:val="24"/>
                <w:szCs w:val="24"/>
                <w:highlight w:val="none"/>
                <w:lang w:val="en-US" w:eastAsia="zh-CN" w:bidi="ar"/>
                <w14:textFill>
                  <w14:solidFill>
                    <w14:schemeClr w14:val="tx1"/>
                  </w14:solidFill>
                </w14:textFill>
              </w:rPr>
              <w:t>1、</w:t>
            </w:r>
            <w:r>
              <w:rPr>
                <w:rFonts w:hint="eastAsia" w:ascii="宋体" w:hAnsi="宋体" w:eastAsia="宋体" w:cs="宋体"/>
                <w:b/>
                <w:bCs/>
                <w:color w:val="000000" w:themeColor="text1"/>
                <w:kern w:val="2"/>
                <w:sz w:val="24"/>
                <w:szCs w:val="24"/>
                <w:highlight w:val="none"/>
                <w:lang w:val="en-US" w:eastAsia="zh-CN" w:bidi="ar"/>
                <w14:textFill>
                  <w14:solidFill>
                    <w14:schemeClr w14:val="tx1"/>
                  </w14:solidFill>
                </w14:textFill>
              </w:rPr>
              <w:t>设计标准</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1）设计荷载：城市-A级；</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2）道路等级：城市主干道；</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3）设计行车速度：60km/h；</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4）桥面横坡：车行道2%（单幅单向）；</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5）桥面宽度：</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主线：0.5m（防撞护栏）+12m（车行道）+0.5m（中央分隔）+12m（车行道）+0.5m（防撞护栏）=25.5m；</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匝道：0.5m（防撞护栏）+8m（车行道）+0.5m（防撞护栏）=9m；</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6）桥下净空：≥5m</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7）设计基准期：100年；</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8）结构安全等级：一级；</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9）主体结构设计使用年限：100年；支座、伸缩缝等附属结构设计使用年限：15年；</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10）环境类别：I类；</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11）地震设计参数：地震动峰值加速度0.05g，对应地震基本烈度Ⅵ度，地震反应谱特征周期值0.35s。</w:t>
            </w:r>
          </w:p>
          <w:p>
            <w:pPr>
              <w:pStyle w:val="19"/>
              <w:keepNext w:val="0"/>
              <w:keepLines w:val="0"/>
              <w:widowControl w:val="0"/>
              <w:suppressLineNumbers w:val="0"/>
              <w:spacing w:before="0" w:beforeAutospacing="0" w:after="0" w:afterAutospacing="0" w:line="360" w:lineRule="auto"/>
              <w:ind w:left="0" w:leftChars="0" w:right="0" w:firstLine="482" w:firstLineChars="200"/>
              <w:jc w:val="left"/>
              <w:rPr>
                <w:rFonts w:hint="default" w:ascii="宋体" w:hAnsi="宋体" w:eastAsia="宋体" w:cs="宋体"/>
                <w:b/>
                <w:bCs/>
                <w:color w:val="000000" w:themeColor="text1"/>
                <w:kern w:val="2"/>
                <w:sz w:val="24"/>
                <w:szCs w:val="24"/>
                <w:highlight w:val="none"/>
                <w:lang w:val="en-US" w:eastAsia="zh-CN" w:bidi="ar"/>
                <w14:textFill>
                  <w14:solidFill>
                    <w14:schemeClr w14:val="tx1"/>
                  </w14:solidFill>
                </w14:textFill>
              </w:rPr>
            </w:pPr>
            <w:r>
              <w:rPr>
                <w:rFonts w:hint="eastAsia" w:cs="宋体"/>
                <w:b/>
                <w:bCs/>
                <w:color w:val="000000" w:themeColor="text1"/>
                <w:kern w:val="2"/>
                <w:sz w:val="24"/>
                <w:szCs w:val="24"/>
                <w:highlight w:val="none"/>
                <w:lang w:val="en-US" w:eastAsia="zh-CN" w:bidi="ar"/>
                <w14:textFill>
                  <w14:solidFill>
                    <w14:schemeClr w14:val="tx1"/>
                  </w14:solidFill>
                </w14:textFill>
              </w:rPr>
              <w:t>2、桥型方案</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城市高架部分主要跨越26m已建环城路、2条规划道路以及规划外环快速，结合规划道路横断面布置、桥下交通组织在相交道路处采用大跨结构进行跨越。</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为跨越26m宽已建环城路，此处采用1×47m钢箱梁，并为规划下穿框架预留空间。跨越</w:t>
            </w:r>
            <w:r>
              <w:rPr>
                <w:rFonts w:hint="eastAsia" w:cs="宋体"/>
                <w:color w:val="000000" w:themeColor="text1"/>
                <w:kern w:val="2"/>
                <w:sz w:val="24"/>
                <w:szCs w:val="24"/>
                <w:highlight w:val="none"/>
                <w:lang w:val="en-US" w:eastAsia="zh-CN" w:bidi="ar"/>
                <w14:textFill>
                  <w14:solidFill>
                    <w14:schemeClr w14:val="tx1"/>
                  </w14:solidFill>
                </w14:textFill>
              </w:rPr>
              <w:t>纵一路（</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规划</w:t>
            </w: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道路采用1×42m钢箱梁。跨越</w:t>
            </w:r>
            <w:r>
              <w:rPr>
                <w:rFonts w:hint="eastAsia" w:cs="宋体"/>
                <w:color w:val="000000" w:themeColor="text1"/>
                <w:kern w:val="2"/>
                <w:sz w:val="24"/>
                <w:szCs w:val="24"/>
                <w:highlight w:val="none"/>
                <w:lang w:val="en-US" w:eastAsia="zh-CN" w:bidi="ar"/>
                <w14:textFill>
                  <w14:solidFill>
                    <w14:schemeClr w14:val="tx1"/>
                  </w14:solidFill>
                </w14:textFill>
              </w:rPr>
              <w:t>纵二路（</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规划</w:t>
            </w: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采用（38+60+38）m混凝土现浇连续箱梁。为后期改造外环快速预留空间，采用1×65m钢箱组合梁跨越拟建外环快速。桥墩主要采用30m预制预应力简支小箱梁（桥面连续）结构</w:t>
            </w: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下部结构</w:t>
            </w:r>
            <w:r>
              <w:rPr>
                <w:rFonts w:hint="eastAsia" w:cs="宋体"/>
                <w:color w:val="000000" w:themeColor="text1"/>
                <w:kern w:val="2"/>
                <w:sz w:val="24"/>
                <w:szCs w:val="24"/>
                <w:highlight w:val="none"/>
                <w:lang w:val="en-US" w:eastAsia="zh-CN" w:bidi="ar"/>
                <w14:textFill>
                  <w14:solidFill>
                    <w14:schemeClr w14:val="tx1"/>
                  </w14:solidFill>
                </w14:textFill>
              </w:rPr>
              <w:t>采用</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大悬臂花瓶墩，最大悬臂不超过10m。</w:t>
            </w:r>
          </w:p>
          <w:p>
            <w:pPr>
              <w:keepNext w:val="0"/>
              <w:keepLines w:val="0"/>
              <w:suppressLineNumbers w:val="0"/>
              <w:spacing w:before="0" w:beforeAutospacing="0" w:after="0" w:afterAutospacing="0" w:line="360" w:lineRule="auto"/>
              <w:ind w:left="482" w:right="0"/>
              <w:rPr>
                <w:rFonts w:ascii="宋体" w:hAnsi="宋体"/>
                <w:b/>
                <w:bCs/>
                <w:color w:val="000000" w:themeColor="text1"/>
                <w:sz w:val="24"/>
                <w:highlight w:val="none"/>
                <w14:textFill>
                  <w14:solidFill>
                    <w14:schemeClr w14:val="tx1"/>
                  </w14:solidFill>
                </w14:textFill>
              </w:rPr>
            </w:pPr>
            <w:r>
              <w:rPr>
                <w:rFonts w:hint="eastAsia" w:cs="宋体"/>
                <w:b/>
                <w:bCs/>
                <w:color w:val="000000" w:themeColor="text1"/>
                <w:kern w:val="2"/>
                <w:sz w:val="24"/>
                <w:szCs w:val="24"/>
                <w:highlight w:val="none"/>
                <w:lang w:val="en-US" w:eastAsia="zh-CN" w:bidi="ar"/>
                <w14:textFill>
                  <w14:solidFill>
                    <w14:schemeClr w14:val="tx1"/>
                  </w14:solidFill>
                </w14:textFill>
              </w:rPr>
              <w:t>3、</w:t>
            </w:r>
            <w:r>
              <w:rPr>
                <w:rFonts w:hint="eastAsia" w:ascii="宋体" w:hAnsi="宋体"/>
                <w:b/>
                <w:bCs/>
                <w:color w:val="000000" w:themeColor="text1"/>
                <w:sz w:val="24"/>
                <w:highlight w:val="none"/>
                <w14:textFill>
                  <w14:solidFill>
                    <w14:schemeClr w14:val="tx1"/>
                  </w14:solidFill>
                </w14:textFill>
              </w:rPr>
              <w:t>桥跨布置</w:t>
            </w:r>
          </w:p>
          <w:p>
            <w:pPr>
              <w:keepNext w:val="0"/>
              <w:keepLines w:val="0"/>
              <w:suppressLineNumbers w:val="0"/>
              <w:spacing w:before="0" w:beforeAutospacing="0" w:after="0" w:afterAutospacing="0" w:line="360" w:lineRule="auto"/>
              <w:ind w:left="0" w:right="0"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金南大道主线桥中心桩号为K</w:t>
            </w:r>
            <w:r>
              <w:rPr>
                <w:rFonts w:ascii="宋体" w:hAnsi="宋体"/>
                <w:color w:val="000000" w:themeColor="text1"/>
                <w:sz w:val="24"/>
                <w:highlight w:val="none"/>
                <w14:textFill>
                  <w14:solidFill>
                    <w14:schemeClr w14:val="tx1"/>
                  </w14:solidFill>
                </w14:textFill>
              </w:rPr>
              <w:t>0+</w:t>
            </w:r>
            <w:r>
              <w:rPr>
                <w:rFonts w:hint="eastAsia" w:ascii="宋体" w:hAnsi="宋体"/>
                <w:color w:val="000000" w:themeColor="text1"/>
                <w:sz w:val="24"/>
                <w:highlight w:val="none"/>
                <w14:textFill>
                  <w14:solidFill>
                    <w14:schemeClr w14:val="tx1"/>
                  </w14:solidFill>
                </w14:textFill>
              </w:rPr>
              <w:t>927.803，桥跨布置为[2×（3×30）小箱梁+47m钢箱梁+5×30小箱梁+2×（4×30）小箱梁+5×30小箱梁+42m钢箱梁+6×30m小箱梁+（38+60+38）m连续现浇箱梁+4×30小箱梁+65m钢箱组合梁]</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起讫桩号为K0+268.803～K1+586.803，全长1318m。</w:t>
            </w:r>
          </w:p>
          <w:p>
            <w:pPr>
              <w:keepNext w:val="0"/>
              <w:keepLines w:val="0"/>
              <w:suppressLineNumbers w:val="0"/>
              <w:spacing w:before="0" w:beforeAutospacing="0" w:after="0" w:afterAutospacing="0" w:line="360" w:lineRule="auto"/>
              <w:ind w:left="0" w:right="0"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金南大道辅道桥中心桩号为K</w:t>
            </w:r>
            <w:r>
              <w:rPr>
                <w:rFonts w:ascii="宋体" w:hAnsi="宋体"/>
                <w:color w:val="000000" w:themeColor="text1"/>
                <w:sz w:val="24"/>
                <w:highlight w:val="none"/>
                <w14:textFill>
                  <w14:solidFill>
                    <w14:schemeClr w14:val="tx1"/>
                  </w14:solidFill>
                </w14:textFill>
              </w:rPr>
              <w:t>0+</w:t>
            </w:r>
            <w:r>
              <w:rPr>
                <w:rFonts w:hint="eastAsia" w:ascii="宋体" w:hAnsi="宋体"/>
                <w:color w:val="000000" w:themeColor="text1"/>
                <w:sz w:val="24"/>
                <w:highlight w:val="none"/>
                <w14:textFill>
                  <w14:solidFill>
                    <w14:schemeClr w14:val="tx1"/>
                  </w14:solidFill>
                </w14:textFill>
              </w:rPr>
              <w:t>917.855，桥跨布置为[4×30m预应力混凝土小箱梁+4×30m预应力混凝土小箱梁]</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起讫桩号为K0+795.855～K1+039.855</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全长244m。</w:t>
            </w:r>
          </w:p>
          <w:p>
            <w:pPr>
              <w:pStyle w:val="33"/>
              <w:keepNext w:val="0"/>
              <w:keepLines w:val="0"/>
              <w:suppressLineNumbers w:val="0"/>
              <w:spacing w:before="0" w:beforeAutospacing="0" w:after="0" w:afterAutospacing="0"/>
              <w:ind w:left="0" w:right="0" w:firstLine="482" w:firstLineChars="200"/>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注：</w:t>
            </w:r>
            <w:r>
              <w:rPr>
                <w:rFonts w:hint="eastAsia" w:ascii="宋体" w:hAnsi="宋体"/>
                <w:b/>
                <w:bCs/>
                <w:color w:val="000000" w:themeColor="text1"/>
                <w:sz w:val="24"/>
                <w:highlight w:val="none"/>
                <w14:textFill>
                  <w14:solidFill>
                    <w14:schemeClr w14:val="tx1"/>
                  </w14:solidFill>
                </w14:textFill>
              </w:rPr>
              <w:t>小箱梁</w:t>
            </w:r>
            <w:r>
              <w:rPr>
                <w:rFonts w:hint="eastAsia"/>
                <w:b/>
                <w:bCs/>
                <w:color w:val="000000" w:themeColor="text1"/>
                <w:sz w:val="24"/>
                <w:highlight w:val="none"/>
                <w:lang w:val="en-US" w:eastAsia="zh-CN"/>
                <w14:textFill>
                  <w14:solidFill>
                    <w14:schemeClr w14:val="tx1"/>
                  </w14:solidFill>
                </w14:textFill>
              </w:rPr>
              <w:t>和</w:t>
            </w:r>
            <w:r>
              <w:rPr>
                <w:rFonts w:hint="eastAsia" w:ascii="宋体" w:hAnsi="宋体"/>
                <w:b/>
                <w:bCs/>
                <w:color w:val="000000" w:themeColor="text1"/>
                <w:sz w:val="24"/>
                <w:highlight w:val="none"/>
                <w14:textFill>
                  <w14:solidFill>
                    <w14:schemeClr w14:val="tx1"/>
                  </w14:solidFill>
                </w14:textFill>
              </w:rPr>
              <w:t>钢箱梁</w:t>
            </w:r>
            <w:r>
              <w:rPr>
                <w:rFonts w:hint="eastAsia"/>
                <w:b/>
                <w:bCs/>
                <w:color w:val="000000" w:themeColor="text1"/>
                <w:sz w:val="24"/>
                <w:highlight w:val="none"/>
                <w:lang w:val="en-US" w:eastAsia="zh-CN"/>
                <w14:textFill>
                  <w14:solidFill>
                    <w14:schemeClr w14:val="tx1"/>
                  </w14:solidFill>
                </w14:textFill>
              </w:rPr>
              <w:t>均为预制结构，</w:t>
            </w:r>
            <w:r>
              <w:rPr>
                <w:rFonts w:hint="eastAsia" w:ascii="宋体" w:hAnsi="宋体"/>
                <w:b/>
                <w:bCs/>
                <w:color w:val="000000" w:themeColor="text1"/>
                <w:sz w:val="24"/>
                <w:highlight w:val="none"/>
                <w14:textFill>
                  <w14:solidFill>
                    <w14:schemeClr w14:val="tx1"/>
                  </w14:solidFill>
                </w14:textFill>
              </w:rPr>
              <w:t>分段工厂加工，运至现场后拼接。</w:t>
            </w:r>
          </w:p>
          <w:p>
            <w:pPr>
              <w:keepNext w:val="0"/>
              <w:keepLines w:val="0"/>
              <w:suppressLineNumbers w:val="0"/>
              <w:spacing w:before="0" w:beforeAutospacing="0" w:after="0" w:afterAutospacing="0" w:line="360" w:lineRule="auto"/>
              <w:ind w:left="482" w:right="0"/>
              <w:rPr>
                <w:rFonts w:ascii="宋体" w:hAnsi="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val="en-US" w:eastAsia="zh-CN"/>
                <w14:textFill>
                  <w14:solidFill>
                    <w14:schemeClr w14:val="tx1"/>
                  </w14:solidFill>
                </w14:textFill>
              </w:rPr>
              <w:t>4、</w:t>
            </w:r>
            <w:r>
              <w:rPr>
                <w:rFonts w:hint="eastAsia" w:ascii="宋体" w:hAnsi="宋体"/>
                <w:b/>
                <w:color w:val="000000" w:themeColor="text1"/>
                <w:sz w:val="24"/>
                <w:highlight w:val="none"/>
                <w14:textFill>
                  <w14:solidFill>
                    <w14:schemeClr w14:val="tx1"/>
                  </w14:solidFill>
                </w14:textFill>
              </w:rPr>
              <w:t>桥梁横断面布置</w:t>
            </w:r>
          </w:p>
          <w:p>
            <w:pPr>
              <w:keepNext w:val="0"/>
              <w:keepLines w:val="0"/>
              <w:suppressLineNumbers w:val="0"/>
              <w:spacing w:before="0" w:beforeAutospacing="0" w:after="0" w:afterAutospacing="0" w:line="360" w:lineRule="auto"/>
              <w:ind w:left="0" w:right="0"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金南大道主线桥标准宽度为：0.5m（防撞护栏）+12m（车行道）+0.5m（中央分隔）+12m（车行道）+0.5m（防撞护栏）=25.5m，桥面采用双向2%横坡。</w:t>
            </w:r>
          </w:p>
          <w:p>
            <w:pPr>
              <w:keepNext w:val="0"/>
              <w:keepLines w:val="0"/>
              <w:suppressLineNumbers w:val="0"/>
              <w:spacing w:before="0" w:beforeAutospacing="0" w:after="0" w:afterAutospacing="0" w:line="360" w:lineRule="auto"/>
              <w:ind w:left="0" w:right="0"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金南大道辅道桥标准宽度为：0.5m（防撞护栏）+8m（车行道）+0.5m（防撞护栏）=9m，桥面采用单向2%横坡。</w:t>
            </w:r>
          </w:p>
          <w:p>
            <w:pPr>
              <w:pStyle w:val="33"/>
              <w:keepNext w:val="0"/>
              <w:keepLines w:val="0"/>
              <w:suppressLineNumbers w:val="0"/>
              <w:spacing w:before="0" w:beforeAutospacing="0" w:after="0" w:afterAutospacing="0"/>
              <w:ind w:left="0" w:right="0"/>
              <w:rPr>
                <w:color w:val="000000" w:themeColor="text1"/>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176520" cy="3248660"/>
                  <wp:effectExtent l="0" t="0" r="5080" b="1270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4"/>
                          <a:stretch>
                            <a:fillRect/>
                          </a:stretch>
                        </pic:blipFill>
                        <pic:spPr>
                          <a:xfrm>
                            <a:off x="0" y="0"/>
                            <a:ext cx="5176520" cy="3248660"/>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图2-10  主线、辅道分离横断面</w:t>
            </w:r>
          </w:p>
          <w:p>
            <w:pPr>
              <w:keepNext w:val="0"/>
              <w:keepLines w:val="0"/>
              <w:suppressLineNumbers w:val="0"/>
              <w:spacing w:before="0" w:beforeAutospacing="0" w:after="0" w:afterAutospacing="0"/>
              <w:ind w:left="0" w:right="0"/>
              <w:rPr>
                <w:color w:val="000000" w:themeColor="text1"/>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996815" cy="3605530"/>
                  <wp:effectExtent l="0" t="0" r="1905" b="6350"/>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25"/>
                          <a:stretch>
                            <a:fillRect/>
                          </a:stretch>
                        </pic:blipFill>
                        <pic:spPr>
                          <a:xfrm>
                            <a:off x="0" y="0"/>
                            <a:ext cx="4996815" cy="3605530"/>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jc w:val="center"/>
              <w:rPr>
                <w:rFonts w:hint="eastAsia"/>
                <w:b/>
                <w:color w:val="000000" w:themeColor="text1"/>
                <w:sz w:val="24"/>
                <w:highlight w:val="none"/>
                <w14:textFill>
                  <w14:solidFill>
                    <w14:schemeClr w14:val="tx1"/>
                  </w14:solidFill>
                </w14:textFill>
              </w:rPr>
            </w:pP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图2-11  主线、辅道整体横断面</w:t>
            </w:r>
          </w:p>
          <w:p>
            <w:pPr>
              <w:keepNext w:val="0"/>
              <w:keepLines w:val="0"/>
              <w:suppressLineNumbers w:val="0"/>
              <w:spacing w:before="0" w:beforeAutospacing="0" w:after="0" w:afterAutospacing="0"/>
              <w:ind w:left="0" w:right="0"/>
              <w:jc w:val="center"/>
              <w:rPr>
                <w:color w:val="000000" w:themeColor="text1"/>
                <w:highlight w:val="none"/>
                <w14:textFill>
                  <w14:solidFill>
                    <w14:schemeClr w14:val="tx1"/>
                  </w14:solidFill>
                </w14:textFill>
              </w:rPr>
            </w:pPr>
          </w:p>
          <w:p>
            <w:pPr>
              <w:pStyle w:val="33"/>
              <w:keepNext w:val="0"/>
              <w:keepLines w:val="0"/>
              <w:suppressLineNumbers w:val="0"/>
              <w:spacing w:before="0" w:beforeAutospacing="0" w:after="0" w:afterAutospacing="0"/>
              <w:ind w:left="0" w:right="0"/>
              <w:rPr>
                <w:color w:val="000000" w:themeColor="text1"/>
                <w:highlight w:val="none"/>
                <w14:textFill>
                  <w14:solidFill>
                    <w14:schemeClr w14:val="tx1"/>
                  </w14:solidFill>
                </w14:textFill>
              </w:rPr>
            </w:pPr>
          </w:p>
          <w:p>
            <w:pPr>
              <w:keepNext w:val="0"/>
              <w:keepLines w:val="0"/>
              <w:suppressLineNumbers w:val="0"/>
              <w:spacing w:before="0" w:beforeAutospacing="0" w:after="0" w:afterAutospacing="0"/>
              <w:ind w:left="0" w:right="0"/>
              <w:rPr>
                <w:color w:val="000000" w:themeColor="text1"/>
                <w:highlight w:val="none"/>
                <w14:textFill>
                  <w14:solidFill>
                    <w14:schemeClr w14:val="tx1"/>
                  </w14:solidFill>
                </w14:textFill>
              </w:rPr>
            </w:pPr>
          </w:p>
          <w:p>
            <w:pPr>
              <w:pStyle w:val="33"/>
              <w:keepNext w:val="0"/>
              <w:keepLines w:val="0"/>
              <w:suppressLineNumbers w:val="0"/>
              <w:spacing w:before="0" w:beforeAutospacing="0" w:after="0" w:afterAutospacing="0"/>
              <w:ind w:left="0" w:right="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85888" behindDoc="0" locked="0" layoutInCell="1" allowOverlap="1">
                  <wp:simplePos x="0" y="0"/>
                  <wp:positionH relativeFrom="column">
                    <wp:posOffset>1016635</wp:posOffset>
                  </wp:positionH>
                  <wp:positionV relativeFrom="paragraph">
                    <wp:posOffset>50165</wp:posOffset>
                  </wp:positionV>
                  <wp:extent cx="3492500" cy="3422015"/>
                  <wp:effectExtent l="0" t="0" r="12700" b="6985"/>
                  <wp:wrapNone/>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6"/>
                          <a:stretch>
                            <a:fillRect/>
                          </a:stretch>
                        </pic:blipFill>
                        <pic:spPr>
                          <a:xfrm>
                            <a:off x="0" y="0"/>
                            <a:ext cx="3492500" cy="3422015"/>
                          </a:xfrm>
                          <a:prstGeom prst="rect">
                            <a:avLst/>
                          </a:prstGeom>
                          <a:noFill/>
                          <a:ln>
                            <a:noFill/>
                          </a:ln>
                        </pic:spPr>
                      </pic:pic>
                    </a:graphicData>
                  </a:graphic>
                </wp:anchor>
              </w:drawing>
            </w:r>
          </w:p>
          <w:p>
            <w:pPr>
              <w:keepNext w:val="0"/>
              <w:keepLines w:val="0"/>
              <w:suppressLineNumbers w:val="0"/>
              <w:spacing w:before="0" w:beforeAutospacing="0" w:after="0" w:afterAutospacing="0"/>
              <w:ind w:left="0" w:right="0"/>
              <w:rPr>
                <w:color w:val="000000" w:themeColor="text1"/>
                <w:highlight w:val="none"/>
                <w14:textFill>
                  <w14:solidFill>
                    <w14:schemeClr w14:val="tx1"/>
                  </w14:solidFill>
                </w14:textFill>
              </w:rPr>
            </w:pPr>
          </w:p>
          <w:p>
            <w:pPr>
              <w:pStyle w:val="33"/>
              <w:keepNext w:val="0"/>
              <w:keepLines w:val="0"/>
              <w:suppressLineNumbers w:val="0"/>
              <w:spacing w:before="0" w:beforeAutospacing="0" w:after="0" w:afterAutospacing="0"/>
              <w:ind w:left="0" w:right="0"/>
              <w:rPr>
                <w:color w:val="000000" w:themeColor="text1"/>
                <w:highlight w:val="none"/>
                <w14:textFill>
                  <w14:solidFill>
                    <w14:schemeClr w14:val="tx1"/>
                  </w14:solidFill>
                </w14:textFill>
              </w:rPr>
            </w:pPr>
          </w:p>
          <w:p>
            <w:pPr>
              <w:keepNext w:val="0"/>
              <w:keepLines w:val="0"/>
              <w:suppressLineNumbers w:val="0"/>
              <w:spacing w:before="0" w:beforeAutospacing="0" w:after="0" w:afterAutospacing="0"/>
              <w:ind w:left="0" w:right="0"/>
              <w:rPr>
                <w:color w:val="000000" w:themeColor="text1"/>
                <w:highlight w:val="none"/>
                <w14:textFill>
                  <w14:solidFill>
                    <w14:schemeClr w14:val="tx1"/>
                  </w14:solidFill>
                </w14:textFill>
              </w:rPr>
            </w:pPr>
          </w:p>
          <w:p>
            <w:pPr>
              <w:pStyle w:val="33"/>
              <w:keepNext w:val="0"/>
              <w:keepLines w:val="0"/>
              <w:suppressLineNumbers w:val="0"/>
              <w:spacing w:before="0" w:beforeAutospacing="0" w:after="0" w:afterAutospacing="0"/>
              <w:ind w:left="0" w:right="0"/>
              <w:rPr>
                <w:color w:val="000000" w:themeColor="text1"/>
                <w:highlight w:val="none"/>
                <w14:textFill>
                  <w14:solidFill>
                    <w14:schemeClr w14:val="tx1"/>
                  </w14:solidFill>
                </w14:textFill>
              </w:rPr>
            </w:pPr>
          </w:p>
          <w:p>
            <w:pPr>
              <w:keepNext w:val="0"/>
              <w:keepLines w:val="0"/>
              <w:suppressLineNumbers w:val="0"/>
              <w:spacing w:before="0" w:beforeAutospacing="0" w:after="0" w:afterAutospacing="0"/>
              <w:ind w:left="0" w:right="0"/>
              <w:rPr>
                <w:color w:val="000000" w:themeColor="text1"/>
                <w:highlight w:val="none"/>
                <w14:textFill>
                  <w14:solidFill>
                    <w14:schemeClr w14:val="tx1"/>
                  </w14:solidFill>
                </w14:textFill>
              </w:rPr>
            </w:pPr>
          </w:p>
          <w:p>
            <w:pPr>
              <w:pStyle w:val="33"/>
              <w:keepNext w:val="0"/>
              <w:keepLines w:val="0"/>
              <w:suppressLineNumbers w:val="0"/>
              <w:spacing w:before="0" w:beforeAutospacing="0" w:after="0" w:afterAutospacing="0"/>
              <w:ind w:left="0" w:right="0"/>
              <w:rPr>
                <w:color w:val="000000" w:themeColor="text1"/>
                <w:highlight w:val="none"/>
                <w14:textFill>
                  <w14:solidFill>
                    <w14:schemeClr w14:val="tx1"/>
                  </w14:solidFill>
                </w14:textFill>
              </w:rPr>
            </w:pPr>
          </w:p>
          <w:p>
            <w:pPr>
              <w:keepNext w:val="0"/>
              <w:keepLines w:val="0"/>
              <w:suppressLineNumbers w:val="0"/>
              <w:spacing w:before="0" w:beforeAutospacing="0" w:after="0" w:afterAutospacing="0"/>
              <w:ind w:left="0" w:right="0"/>
              <w:rPr>
                <w:color w:val="000000" w:themeColor="text1"/>
                <w:highlight w:val="none"/>
                <w14:textFill>
                  <w14:solidFill>
                    <w14:schemeClr w14:val="tx1"/>
                  </w14:solidFill>
                </w14:textFill>
              </w:rPr>
            </w:pPr>
          </w:p>
          <w:p>
            <w:pPr>
              <w:pStyle w:val="33"/>
              <w:keepNext w:val="0"/>
              <w:keepLines w:val="0"/>
              <w:suppressLineNumbers w:val="0"/>
              <w:spacing w:before="0" w:beforeAutospacing="0" w:after="0" w:afterAutospacing="0"/>
              <w:ind w:left="0" w:right="0"/>
              <w:rPr>
                <w:color w:val="000000" w:themeColor="text1"/>
                <w:highlight w:val="none"/>
                <w14:textFill>
                  <w14:solidFill>
                    <w14:schemeClr w14:val="tx1"/>
                  </w14:solidFill>
                </w14:textFill>
              </w:rPr>
            </w:pPr>
          </w:p>
          <w:p>
            <w:pPr>
              <w:keepNext w:val="0"/>
              <w:keepLines w:val="0"/>
              <w:suppressLineNumbers w:val="0"/>
              <w:spacing w:before="0" w:beforeAutospacing="0" w:after="0" w:afterAutospacing="0"/>
              <w:ind w:left="0" w:right="0"/>
              <w:rPr>
                <w:color w:val="000000" w:themeColor="text1"/>
                <w:highlight w:val="none"/>
                <w14:textFill>
                  <w14:solidFill>
                    <w14:schemeClr w14:val="tx1"/>
                  </w14:solidFill>
                </w14:textFill>
              </w:rPr>
            </w:pPr>
          </w:p>
          <w:p>
            <w:pPr>
              <w:pStyle w:val="33"/>
              <w:keepNext w:val="0"/>
              <w:keepLines w:val="0"/>
              <w:suppressLineNumbers w:val="0"/>
              <w:spacing w:before="0" w:beforeAutospacing="0" w:after="0" w:afterAutospacing="0"/>
              <w:ind w:left="0" w:right="0"/>
              <w:rPr>
                <w:color w:val="000000" w:themeColor="text1"/>
                <w:highlight w:val="none"/>
                <w14:textFill>
                  <w14:solidFill>
                    <w14:schemeClr w14:val="tx1"/>
                  </w14:solidFill>
                </w14:textFill>
              </w:rPr>
            </w:pPr>
          </w:p>
          <w:p>
            <w:pPr>
              <w:keepNext w:val="0"/>
              <w:keepLines w:val="0"/>
              <w:suppressLineNumbers w:val="0"/>
              <w:spacing w:before="0" w:beforeAutospacing="0" w:after="0" w:afterAutospacing="0"/>
              <w:ind w:left="0" w:right="0"/>
              <w:rPr>
                <w:color w:val="000000" w:themeColor="text1"/>
                <w:highlight w:val="none"/>
                <w14:textFill>
                  <w14:solidFill>
                    <w14:schemeClr w14:val="tx1"/>
                  </w14:solidFill>
                </w14:textFill>
              </w:rPr>
            </w:pPr>
          </w:p>
          <w:p>
            <w:pPr>
              <w:pStyle w:val="3"/>
              <w:suppressLineNumbers w:val="0"/>
              <w:ind w:left="0" w:right="0"/>
              <w:rPr>
                <w:color w:val="000000" w:themeColor="text1"/>
                <w:highlight w:val="none"/>
                <w14:textFill>
                  <w14:solidFill>
                    <w14:schemeClr w14:val="tx1"/>
                  </w14:solidFill>
                </w14:textFill>
              </w:rPr>
            </w:pPr>
          </w:p>
          <w:p>
            <w:pPr>
              <w:pStyle w:val="33"/>
              <w:keepNext w:val="0"/>
              <w:keepLines w:val="0"/>
              <w:suppressLineNumbers w:val="0"/>
              <w:spacing w:before="0" w:beforeAutospacing="0" w:after="0" w:afterAutospacing="0"/>
              <w:ind w:left="0" w:right="0"/>
              <w:rPr>
                <w:color w:val="000000" w:themeColor="text1"/>
                <w:highlight w:val="none"/>
                <w14:textFill>
                  <w14:solidFill>
                    <w14:schemeClr w14:val="tx1"/>
                  </w14:solidFill>
                </w14:textFill>
              </w:rPr>
            </w:pPr>
          </w:p>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图2-12  主线钢箱梁横断面</w:t>
            </w:r>
          </w:p>
          <w:p>
            <w:pPr>
              <w:keepNext w:val="0"/>
              <w:keepLines w:val="0"/>
              <w:suppressLineNumbers w:val="0"/>
              <w:spacing w:before="0" w:beforeAutospacing="0" w:after="0" w:afterAutospacing="0" w:line="360" w:lineRule="auto"/>
              <w:ind w:left="482" w:right="0"/>
              <w:rPr>
                <w:rFonts w:hint="default" w:ascii="宋体" w:hAnsi="宋体" w:eastAsia="宋体"/>
                <w:b/>
                <w:color w:val="000000" w:themeColor="text1"/>
                <w:sz w:val="24"/>
                <w:highlight w:val="none"/>
                <w:lang w:val="en-US" w:eastAsia="zh-CN"/>
                <w14:textFill>
                  <w14:solidFill>
                    <w14:schemeClr w14:val="tx1"/>
                  </w14:solidFill>
                </w14:textFill>
              </w:rPr>
            </w:pPr>
            <w:r>
              <w:rPr>
                <w:rFonts w:hint="eastAsia" w:ascii="宋体" w:hAnsi="宋体" w:cs="宋体"/>
                <w:b/>
                <w:color w:val="000000" w:themeColor="text1"/>
                <w:sz w:val="24"/>
                <w:highlight w:val="none"/>
                <w:lang w:val="en-US" w:eastAsia="zh-CN"/>
                <w14:textFill>
                  <w14:solidFill>
                    <w14:schemeClr w14:val="tx1"/>
                  </w14:solidFill>
                </w14:textFill>
              </w:rPr>
              <w:t>5、</w:t>
            </w:r>
            <w:r>
              <w:rPr>
                <w:rFonts w:hint="eastAsia" w:ascii="宋体" w:hAnsi="宋体"/>
                <w:b/>
                <w:color w:val="000000" w:themeColor="text1"/>
                <w:sz w:val="24"/>
                <w:highlight w:val="none"/>
                <w:lang w:val="en-US" w:eastAsia="zh-CN"/>
                <w14:textFill>
                  <w14:solidFill>
                    <w14:schemeClr w14:val="tx1"/>
                  </w14:solidFill>
                </w14:textFill>
              </w:rPr>
              <w:t>附属设施设计</w:t>
            </w:r>
          </w:p>
          <w:p>
            <w:pPr>
              <w:keepNext w:val="0"/>
              <w:keepLines w:val="0"/>
              <w:suppressLineNumbers w:val="0"/>
              <w:spacing w:before="0" w:beforeAutospacing="0" w:after="0" w:afterAutospacing="0" w:line="360" w:lineRule="auto"/>
              <w:ind w:left="0" w:right="0" w:firstLine="480" w:firstLineChars="200"/>
              <w:rPr>
                <w:rFonts w:ascii="宋体" w:hAnsi="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钢箱梁梁顶铺装采用45mm厚高粘度改性沥青SMA-13+25mm厚树脂沥青混凝土RA-08的形式。</w:t>
            </w:r>
            <w:r>
              <w:rPr>
                <w:rFonts w:hint="eastAsia" w:ascii="宋体" w:hAnsi="宋体"/>
                <w:color w:val="000000" w:themeColor="text1"/>
                <w:sz w:val="24"/>
                <w:highlight w:val="none"/>
                <w14:textFill>
                  <w14:solidFill>
                    <w14:schemeClr w14:val="tx1"/>
                  </w14:solidFill>
                </w14:textFill>
              </w:rPr>
              <w:t>桥梁采用80型伸缩缝</w:t>
            </w:r>
            <w:r>
              <w:rPr>
                <w:rFonts w:hint="eastAsia" w:ascii="宋体" w:hAnsi="宋体"/>
                <w:color w:val="000000" w:themeColor="text1"/>
                <w:sz w:val="24"/>
                <w:highlight w:val="none"/>
                <w:lang w:eastAsia="zh-CN"/>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在桥台及分联桥墩处小箱梁采用GYZF4d350板式橡胶支座</w:t>
            </w:r>
            <w:r>
              <w:rPr>
                <w:rFonts w:hint="eastAsia"/>
                <w:color w:val="000000" w:themeColor="text1"/>
                <w:sz w:val="24"/>
                <w:highlight w:val="none"/>
                <w:lang w:eastAsia="zh-CN"/>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桥面排水主要利用横坡排水，并通过PVC管道，将雨水交汇于桥头处排泄。桥侧防撞墙采用满足《公路交通安全设施设计细则》（JTG/TD81-2017）防撞等级SB级钢筋砼墙式护栏。</w:t>
            </w:r>
          </w:p>
          <w:p>
            <w:pPr>
              <w:pStyle w:val="19"/>
              <w:keepNext w:val="0"/>
              <w:keepLines w:val="0"/>
              <w:widowControl w:val="0"/>
              <w:suppressLineNumbers w:val="0"/>
              <w:spacing w:before="0" w:beforeAutospacing="0" w:after="0" w:afterAutospacing="0" w:line="360" w:lineRule="auto"/>
              <w:ind w:left="0" w:leftChars="0" w:right="0" w:firstLine="482" w:firstLineChars="200"/>
              <w:jc w:val="left"/>
              <w:rPr>
                <w:rFonts w:hint="default" w:ascii="宋体" w:hAnsi="宋体" w:eastAsia="宋体" w:cs="宋体"/>
                <w:b/>
                <w:bCs/>
                <w:color w:val="000000" w:themeColor="text1"/>
                <w:kern w:val="2"/>
                <w:sz w:val="24"/>
                <w:szCs w:val="24"/>
                <w:highlight w:val="none"/>
                <w:lang w:val="en-US" w:eastAsia="zh-CN" w:bidi="ar"/>
                <w14:textFill>
                  <w14:solidFill>
                    <w14:schemeClr w14:val="tx1"/>
                  </w14:solidFill>
                </w14:textFill>
              </w:rPr>
            </w:pPr>
            <w:r>
              <w:rPr>
                <w:rFonts w:hint="eastAsia" w:cs="宋体"/>
                <w:b/>
                <w:bCs/>
                <w:color w:val="000000" w:themeColor="text1"/>
                <w:kern w:val="2"/>
                <w:sz w:val="24"/>
                <w:szCs w:val="24"/>
                <w:highlight w:val="none"/>
                <w:lang w:val="en-US" w:eastAsia="zh-CN" w:bidi="ar"/>
                <w14:textFill>
                  <w14:solidFill>
                    <w14:schemeClr w14:val="tx1"/>
                  </w14:solidFill>
                </w14:textFill>
              </w:rPr>
              <w:t>四、涵洞工程设计</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本项目金南大道共设置</w:t>
            </w:r>
            <w:r>
              <w:rPr>
                <w:rFonts w:hint="eastAsia" w:ascii="宋体" w:hAnsi="宋体"/>
                <w:color w:val="000000" w:themeColor="text1"/>
                <w:sz w:val="24"/>
                <w:highlight w:val="none"/>
                <w:lang w:val="en-US" w:eastAsia="zh-CN"/>
                <w14:textFill>
                  <w14:solidFill>
                    <w14:schemeClr w14:val="tx1"/>
                  </w14:solidFill>
                </w14:textFill>
              </w:rPr>
              <w:t>8</w:t>
            </w:r>
            <w:r>
              <w:rPr>
                <w:rFonts w:hint="eastAsia" w:ascii="宋体" w:hAnsi="宋体"/>
                <w:color w:val="000000" w:themeColor="text1"/>
                <w:sz w:val="24"/>
                <w:highlight w:val="none"/>
                <w14:textFill>
                  <w14:solidFill>
                    <w14:schemeClr w14:val="tx1"/>
                  </w14:solidFill>
                </w14:textFill>
              </w:rPr>
              <w:t>道涵洞，总涵长</w:t>
            </w:r>
            <w:r>
              <w:rPr>
                <w:rFonts w:hint="eastAsia" w:ascii="宋体" w:hAnsi="宋体"/>
                <w:color w:val="000000" w:themeColor="text1"/>
                <w:sz w:val="24"/>
                <w:highlight w:val="none"/>
                <w:lang w:val="en-US" w:eastAsia="zh-CN"/>
                <w14:textFill>
                  <w14:solidFill>
                    <w14:schemeClr w14:val="tx1"/>
                  </w14:solidFill>
                </w14:textFill>
              </w:rPr>
              <w:t>1147</w:t>
            </w:r>
            <w:r>
              <w:rPr>
                <w:rFonts w:ascii="宋体" w:hAnsi="宋体"/>
                <w:color w:val="000000" w:themeColor="text1"/>
                <w:sz w:val="24"/>
                <w:highlight w:val="none"/>
                <w14:textFill>
                  <w14:solidFill>
                    <w14:schemeClr w14:val="tx1"/>
                  </w14:solidFill>
                </w14:textFill>
              </w:rPr>
              <w:t>m</w:t>
            </w:r>
            <w:r>
              <w:rPr>
                <w:rFonts w:hint="eastAsia" w:ascii="宋体" w:hAnsi="宋体"/>
                <w:color w:val="000000" w:themeColor="text1"/>
                <w:sz w:val="24"/>
                <w:highlight w:val="none"/>
                <w14:textFill>
                  <w14:solidFill>
                    <w14:schemeClr w14:val="tx1"/>
                  </w14:solidFill>
                </w14:textFill>
              </w:rPr>
              <w:t>。涵洞一览表如下表</w:t>
            </w:r>
            <w:r>
              <w:rPr>
                <w:rFonts w:hint="eastAsia"/>
                <w:color w:val="000000" w:themeColor="text1"/>
                <w:sz w:val="24"/>
                <w:highlight w:val="none"/>
                <w:lang w:eastAsia="zh-CN"/>
                <w14:textFill>
                  <w14:solidFill>
                    <w14:schemeClr w14:val="tx1"/>
                  </w14:solidFill>
                </w14:textFill>
              </w:rPr>
              <w:t>。</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表2-9  金南大道涵洞一览表</w:t>
            </w:r>
          </w:p>
          <w:tbl>
            <w:tblPr>
              <w:tblStyle w:val="24"/>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85"/>
              <w:gridCol w:w="1477"/>
              <w:gridCol w:w="2157"/>
              <w:gridCol w:w="1364"/>
              <w:gridCol w:w="1369"/>
              <w:gridCol w:w="1138"/>
              <w:gridCol w:w="6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386" w:type="pct"/>
                  <w:noWrap w:val="0"/>
                  <w:vAlign w:val="center"/>
                </w:tcPr>
                <w:p>
                  <w:pPr>
                    <w:keepNext w:val="0"/>
                    <w:keepLines w:val="0"/>
                    <w:widowControl/>
                    <w:suppressLineNumbers w:val="0"/>
                    <w:spacing w:before="0" w:beforeAutospacing="0" w:after="0" w:afterAutospacing="0"/>
                    <w:ind w:left="0" w:right="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序号</w:t>
                  </w:r>
                </w:p>
              </w:tc>
              <w:tc>
                <w:tcPr>
                  <w:tcW w:w="832" w:type="pct"/>
                  <w:noWrap w:val="0"/>
                  <w:vAlign w:val="top"/>
                </w:tcPr>
                <w:p>
                  <w:pPr>
                    <w:keepNext w:val="0"/>
                    <w:keepLines w:val="0"/>
                    <w:widowControl/>
                    <w:suppressLineNumbers w:val="0"/>
                    <w:spacing w:before="0" w:beforeAutospacing="0" w:after="0" w:afterAutospacing="0"/>
                    <w:ind w:left="0" w:right="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中心桩号</w:t>
                  </w:r>
                </w:p>
              </w:tc>
              <w:tc>
                <w:tcPr>
                  <w:tcW w:w="1215" w:type="pct"/>
                  <w:noWrap w:val="0"/>
                  <w:vAlign w:val="center"/>
                </w:tcPr>
                <w:p>
                  <w:pPr>
                    <w:keepNext w:val="0"/>
                    <w:keepLines w:val="0"/>
                    <w:widowControl/>
                    <w:suppressLineNumbers w:val="0"/>
                    <w:spacing w:before="0" w:beforeAutospacing="0" w:after="0" w:afterAutospacing="0"/>
                    <w:ind w:left="0" w:right="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孔数及孔径(孔-米)</w:t>
                  </w:r>
                </w:p>
              </w:tc>
              <w:tc>
                <w:tcPr>
                  <w:tcW w:w="768" w:type="pct"/>
                  <w:noWrap w:val="0"/>
                  <w:vAlign w:val="top"/>
                </w:tcPr>
                <w:p>
                  <w:pPr>
                    <w:keepNext w:val="0"/>
                    <w:keepLines w:val="0"/>
                    <w:widowControl/>
                    <w:suppressLineNumbers w:val="0"/>
                    <w:spacing w:before="0" w:beforeAutospacing="0" w:after="0" w:afterAutospacing="0"/>
                    <w:ind w:left="0" w:right="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交角（°）</w:t>
                  </w:r>
                </w:p>
              </w:tc>
              <w:tc>
                <w:tcPr>
                  <w:tcW w:w="768" w:type="pct"/>
                  <w:noWrap w:val="0"/>
                  <w:vAlign w:val="center"/>
                </w:tcPr>
                <w:p>
                  <w:pPr>
                    <w:keepNext w:val="0"/>
                    <w:keepLines w:val="0"/>
                    <w:widowControl/>
                    <w:suppressLineNumbers w:val="0"/>
                    <w:spacing w:before="0" w:beforeAutospacing="0" w:after="0" w:afterAutospacing="0"/>
                    <w:ind w:left="0" w:right="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结构类型</w:t>
                  </w:r>
                </w:p>
              </w:tc>
              <w:tc>
                <w:tcPr>
                  <w:tcW w:w="641" w:type="pct"/>
                  <w:noWrap w:val="0"/>
                  <w:vAlign w:val="center"/>
                </w:tcPr>
                <w:p>
                  <w:pPr>
                    <w:keepNext w:val="0"/>
                    <w:keepLines w:val="0"/>
                    <w:widowControl/>
                    <w:suppressLineNumbers w:val="0"/>
                    <w:spacing w:before="0" w:beforeAutospacing="0" w:after="0" w:afterAutospacing="0"/>
                    <w:ind w:left="0" w:right="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涵长(米)</w:t>
                  </w:r>
                </w:p>
              </w:tc>
              <w:tc>
                <w:tcPr>
                  <w:tcW w:w="386" w:type="pct"/>
                  <w:noWrap w:val="0"/>
                  <w:vAlign w:val="center"/>
                </w:tcPr>
                <w:p>
                  <w:pPr>
                    <w:keepNext w:val="0"/>
                    <w:keepLines w:val="0"/>
                    <w:widowControl/>
                    <w:suppressLineNumbers w:val="0"/>
                    <w:spacing w:before="0" w:beforeAutospacing="0" w:after="0" w:afterAutospacing="0"/>
                    <w:ind w:left="0" w:right="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386" w:type="pct"/>
                  <w:noWrap w:val="0"/>
                  <w:vAlign w:val="center"/>
                </w:tcPr>
                <w:p>
                  <w:pPr>
                    <w:keepNext w:val="0"/>
                    <w:keepLines w:val="0"/>
                    <w:widowControl/>
                    <w:suppressLineNumbers w:val="0"/>
                    <w:spacing w:before="0" w:beforeAutospacing="0" w:after="0" w:afterAutospacing="0"/>
                    <w:ind w:left="0" w:right="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p>
              </w:tc>
              <w:tc>
                <w:tcPr>
                  <w:tcW w:w="832" w:type="pct"/>
                  <w:noWrap w:val="0"/>
                  <w:vAlign w:val="top"/>
                </w:tcPr>
                <w:p>
                  <w:pPr>
                    <w:keepNext w:val="0"/>
                    <w:keepLines w:val="0"/>
                    <w:widowControl/>
                    <w:suppressLineNumbers w:val="0"/>
                    <w:spacing w:before="0" w:beforeAutospacing="0" w:after="0" w:afterAutospacing="0"/>
                    <w:ind w:left="0" w:right="0"/>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K0+668.846</w:t>
                  </w:r>
                </w:p>
              </w:tc>
              <w:tc>
                <w:tcPr>
                  <w:tcW w:w="1215" w:type="pct"/>
                  <w:noWrap w:val="0"/>
                  <w:vAlign w:val="center"/>
                </w:tcPr>
                <w:p>
                  <w:pPr>
                    <w:keepNext w:val="0"/>
                    <w:keepLines w:val="0"/>
                    <w:widowControl/>
                    <w:suppressLineNumbers w:val="0"/>
                    <w:spacing w:before="0" w:beforeAutospacing="0" w:after="0" w:afterAutospacing="0"/>
                    <w:ind w:left="0" w:right="0"/>
                    <w:jc w:val="center"/>
                    <w:rPr>
                      <w:rFonts w:ascii="宋体" w:hAnsi="宋体" w:cs="宋体"/>
                      <w:color w:val="000000" w:themeColor="text1"/>
                      <w:kern w:val="0"/>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φ</w:t>
                  </w:r>
                  <w:r>
                    <w:rPr>
                      <w:rFonts w:hint="eastAsia" w:ascii="宋体" w:hAnsi="宋体"/>
                      <w:color w:val="000000" w:themeColor="text1"/>
                      <w:szCs w:val="21"/>
                      <w:highlight w:val="none"/>
                      <w:lang w:val="en-US" w:eastAsia="zh-CN"/>
                      <w14:textFill>
                        <w14:solidFill>
                          <w14:schemeClr w14:val="tx1"/>
                        </w14:solidFill>
                      </w14:textFill>
                    </w:rPr>
                    <w:t>1.5</w:t>
                  </w:r>
                </w:p>
              </w:tc>
              <w:tc>
                <w:tcPr>
                  <w:tcW w:w="768" w:type="pct"/>
                  <w:noWrap w:val="0"/>
                  <w:vAlign w:val="top"/>
                </w:tcPr>
                <w:p>
                  <w:pPr>
                    <w:keepNext w:val="0"/>
                    <w:keepLines w:val="0"/>
                    <w:widowControl/>
                    <w:suppressLineNumbers w:val="0"/>
                    <w:spacing w:before="0" w:beforeAutospacing="0" w:after="0" w:afterAutospacing="0"/>
                    <w:ind w:left="0" w:right="0"/>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120</w:t>
                  </w:r>
                </w:p>
              </w:tc>
              <w:tc>
                <w:tcPr>
                  <w:tcW w:w="768" w:type="pct"/>
                  <w:noWrap w:val="0"/>
                  <w:vAlign w:val="center"/>
                </w:tcPr>
                <w:p>
                  <w:pPr>
                    <w:keepNext w:val="0"/>
                    <w:keepLines w:val="0"/>
                    <w:widowControl/>
                    <w:suppressLineNumbers w:val="0"/>
                    <w:spacing w:before="0" w:beforeAutospacing="0" w:after="0" w:afterAutospacing="0"/>
                    <w:ind w:left="0" w:right="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钢波纹管涵</w:t>
                  </w:r>
                </w:p>
              </w:tc>
              <w:tc>
                <w:tcPr>
                  <w:tcW w:w="641" w:type="pct"/>
                  <w:noWrap w:val="0"/>
                  <w:vAlign w:val="center"/>
                </w:tcPr>
                <w:p>
                  <w:pPr>
                    <w:keepNext w:val="0"/>
                    <w:keepLines w:val="0"/>
                    <w:widowControl/>
                    <w:suppressLineNumbers w:val="0"/>
                    <w:spacing w:before="0" w:beforeAutospacing="0" w:after="0" w:afterAutospacing="0"/>
                    <w:ind w:left="0" w:right="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8</w:t>
                  </w:r>
                  <w:r>
                    <w:rPr>
                      <w:rFonts w:hint="eastAsia" w:ascii="宋体" w:hAnsi="宋体" w:cs="宋体"/>
                      <w:color w:val="000000" w:themeColor="text1"/>
                      <w:kern w:val="0"/>
                      <w:szCs w:val="21"/>
                      <w:highlight w:val="none"/>
                      <w14:textFill>
                        <w14:solidFill>
                          <w14:schemeClr w14:val="tx1"/>
                        </w14:solidFill>
                      </w14:textFill>
                    </w:rPr>
                    <w:t>2</w:t>
                  </w:r>
                </w:p>
              </w:tc>
              <w:tc>
                <w:tcPr>
                  <w:tcW w:w="386" w:type="pct"/>
                  <w:noWrap w:val="0"/>
                  <w:vAlign w:val="center"/>
                </w:tcPr>
                <w:p>
                  <w:pPr>
                    <w:keepNext w:val="0"/>
                    <w:keepLines w:val="0"/>
                    <w:widowControl/>
                    <w:suppressLineNumbers w:val="0"/>
                    <w:spacing w:before="0" w:beforeAutospacing="0" w:after="0" w:afterAutospacing="0"/>
                    <w:ind w:left="0" w:right="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临时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386" w:type="pct"/>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2</w:t>
                  </w:r>
                </w:p>
              </w:tc>
              <w:tc>
                <w:tcPr>
                  <w:tcW w:w="832" w:type="pct"/>
                  <w:noWrap w:val="0"/>
                  <w:vAlign w:val="top"/>
                </w:tcPr>
                <w:p>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K0+932.044</w:t>
                  </w:r>
                </w:p>
              </w:tc>
              <w:tc>
                <w:tcPr>
                  <w:tcW w:w="1215" w:type="pct"/>
                  <w:noWrap w:val="0"/>
                  <w:vAlign w:val="center"/>
                </w:tcPr>
                <w:p>
                  <w:pPr>
                    <w:keepNext w:val="0"/>
                    <w:keepLines w:val="0"/>
                    <w:widowControl/>
                    <w:suppressLineNumbers w:val="0"/>
                    <w:spacing w:before="0" w:beforeAutospacing="0" w:after="0" w:afterAutospacing="0"/>
                    <w:ind w:left="0" w:right="0"/>
                    <w:jc w:val="center"/>
                    <w:rPr>
                      <w:rFonts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φ</w:t>
                  </w:r>
                  <w:r>
                    <w:rPr>
                      <w:rFonts w:hint="eastAsia" w:ascii="宋体" w:hAnsi="宋体"/>
                      <w:color w:val="000000" w:themeColor="text1"/>
                      <w:szCs w:val="21"/>
                      <w:highlight w:val="none"/>
                      <w:lang w:val="en-US" w:eastAsia="zh-CN"/>
                      <w14:textFill>
                        <w14:solidFill>
                          <w14:schemeClr w14:val="tx1"/>
                        </w14:solidFill>
                      </w14:textFill>
                    </w:rPr>
                    <w:t>1.5</w:t>
                  </w:r>
                </w:p>
              </w:tc>
              <w:tc>
                <w:tcPr>
                  <w:tcW w:w="768" w:type="pct"/>
                  <w:noWrap w:val="0"/>
                  <w:vAlign w:val="top"/>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98</w:t>
                  </w:r>
                </w:p>
              </w:tc>
              <w:tc>
                <w:tcPr>
                  <w:tcW w:w="768" w:type="pct"/>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钢波纹管涵</w:t>
                  </w:r>
                </w:p>
              </w:tc>
              <w:tc>
                <w:tcPr>
                  <w:tcW w:w="641" w:type="pct"/>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92</w:t>
                  </w:r>
                </w:p>
              </w:tc>
              <w:tc>
                <w:tcPr>
                  <w:tcW w:w="386" w:type="pct"/>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临时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386" w:type="pct"/>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Cs w:val="21"/>
                      <w:highlight w:val="none"/>
                      <w:lang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3</w:t>
                  </w:r>
                </w:p>
              </w:tc>
              <w:tc>
                <w:tcPr>
                  <w:tcW w:w="832" w:type="pct"/>
                  <w:noWrap w:val="0"/>
                  <w:vAlign w:val="top"/>
                </w:tcPr>
                <w:p>
                  <w:pPr>
                    <w:keepNext w:val="0"/>
                    <w:keepLines w:val="0"/>
                    <w:widowControl/>
                    <w:suppressLineNumbers w:val="0"/>
                    <w:spacing w:before="0" w:beforeAutospacing="0" w:after="0" w:afterAutospacing="0"/>
                    <w:ind w:left="0" w:right="0"/>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K1+065.512</w:t>
                  </w:r>
                </w:p>
              </w:tc>
              <w:tc>
                <w:tcPr>
                  <w:tcW w:w="1215" w:type="pct"/>
                  <w:noWrap w:val="0"/>
                  <w:vAlign w:val="center"/>
                </w:tcPr>
                <w:p>
                  <w:pPr>
                    <w:keepNext w:val="0"/>
                    <w:keepLines w:val="0"/>
                    <w:widowControl/>
                    <w:suppressLineNumbers w:val="0"/>
                    <w:spacing w:before="0" w:beforeAutospacing="0" w:after="0" w:afterAutospacing="0"/>
                    <w:ind w:left="0" w:right="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φ5.0</w:t>
                  </w:r>
                </w:p>
              </w:tc>
              <w:tc>
                <w:tcPr>
                  <w:tcW w:w="768" w:type="pct"/>
                  <w:noWrap w:val="0"/>
                  <w:vAlign w:val="top"/>
                </w:tcPr>
                <w:p>
                  <w:pPr>
                    <w:keepNext w:val="0"/>
                    <w:keepLines w:val="0"/>
                    <w:widowControl/>
                    <w:suppressLineNumbers w:val="0"/>
                    <w:spacing w:before="0" w:beforeAutospacing="0" w:after="0" w:afterAutospacing="0"/>
                    <w:ind w:left="0" w:right="0"/>
                    <w:jc w:val="center"/>
                    <w:rPr>
                      <w:rFonts w:hint="eastAsia"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w:t>
                  </w:r>
                  <w:r>
                    <w:rPr>
                      <w:rFonts w:hint="eastAsia" w:ascii="宋体" w:hAnsi="宋体"/>
                      <w:color w:val="000000" w:themeColor="text1"/>
                      <w:szCs w:val="21"/>
                      <w:highlight w:val="none"/>
                      <w:lang w:val="en-US" w:eastAsia="zh-CN"/>
                      <w14:textFill>
                        <w14:solidFill>
                          <w14:schemeClr w14:val="tx1"/>
                        </w14:solidFill>
                      </w14:textFill>
                    </w:rPr>
                    <w:t>6</w:t>
                  </w:r>
                </w:p>
              </w:tc>
              <w:tc>
                <w:tcPr>
                  <w:tcW w:w="768" w:type="pct"/>
                  <w:noWrap w:val="0"/>
                  <w:vAlign w:val="center"/>
                </w:tcPr>
                <w:p>
                  <w:pPr>
                    <w:keepNext w:val="0"/>
                    <w:keepLines w:val="0"/>
                    <w:widowControl/>
                    <w:suppressLineNumbers w:val="0"/>
                    <w:spacing w:before="0" w:beforeAutospacing="0" w:after="0" w:afterAutospacing="0"/>
                    <w:ind w:left="0" w:right="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钢波纹管涵</w:t>
                  </w:r>
                </w:p>
              </w:tc>
              <w:tc>
                <w:tcPr>
                  <w:tcW w:w="641" w:type="pct"/>
                  <w:noWrap w:val="0"/>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143</w:t>
                  </w:r>
                </w:p>
              </w:tc>
              <w:tc>
                <w:tcPr>
                  <w:tcW w:w="386" w:type="pct"/>
                  <w:noWrap w:val="0"/>
                  <w:vAlign w:val="center"/>
                </w:tcPr>
                <w:p>
                  <w:pPr>
                    <w:keepNext w:val="0"/>
                    <w:keepLines w:val="0"/>
                    <w:widowControl/>
                    <w:suppressLineNumbers w:val="0"/>
                    <w:spacing w:before="0" w:beforeAutospacing="0" w:after="0" w:afterAutospacing="0"/>
                    <w:ind w:left="0" w:right="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永久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386" w:type="pct"/>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4</w:t>
                  </w:r>
                </w:p>
              </w:tc>
              <w:tc>
                <w:tcPr>
                  <w:tcW w:w="832" w:type="pct"/>
                  <w:noWrap w:val="0"/>
                  <w:vAlign w:val="top"/>
                </w:tcPr>
                <w:p>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K1+155.776</w:t>
                  </w:r>
                </w:p>
              </w:tc>
              <w:tc>
                <w:tcPr>
                  <w:tcW w:w="1215" w:type="pct"/>
                  <w:noWrap w:val="0"/>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5*5.0</w:t>
                  </w:r>
                </w:p>
              </w:tc>
              <w:tc>
                <w:tcPr>
                  <w:tcW w:w="768" w:type="pct"/>
                  <w:noWrap w:val="0"/>
                  <w:vAlign w:val="top"/>
                </w:tcPr>
                <w:p>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102</w:t>
                  </w:r>
                </w:p>
              </w:tc>
              <w:tc>
                <w:tcPr>
                  <w:tcW w:w="768" w:type="pct"/>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通道箱涵</w:t>
                  </w:r>
                </w:p>
              </w:tc>
              <w:tc>
                <w:tcPr>
                  <w:tcW w:w="641" w:type="pct"/>
                  <w:noWrap w:val="0"/>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71</w:t>
                  </w:r>
                </w:p>
              </w:tc>
              <w:tc>
                <w:tcPr>
                  <w:tcW w:w="386" w:type="pct"/>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永久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386" w:type="pct"/>
                  <w:noWrap w:val="0"/>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5</w:t>
                  </w:r>
                </w:p>
              </w:tc>
              <w:tc>
                <w:tcPr>
                  <w:tcW w:w="832" w:type="pct"/>
                  <w:noWrap w:val="0"/>
                  <w:vAlign w:val="top"/>
                </w:tcPr>
                <w:p>
                  <w:pPr>
                    <w:keepNext w:val="0"/>
                    <w:keepLines w:val="0"/>
                    <w:widowControl/>
                    <w:suppressLineNumbers w:val="0"/>
                    <w:spacing w:before="0" w:beforeAutospacing="0" w:after="0" w:afterAutospacing="0"/>
                    <w:ind w:left="0" w:right="0"/>
                    <w:jc w:val="center"/>
                    <w:rPr>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K1+319.986</w:t>
                  </w:r>
                </w:p>
              </w:tc>
              <w:tc>
                <w:tcPr>
                  <w:tcW w:w="1215" w:type="pct"/>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φ</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.0</w:t>
                  </w:r>
                </w:p>
              </w:tc>
              <w:tc>
                <w:tcPr>
                  <w:tcW w:w="768" w:type="pct"/>
                  <w:noWrap w:val="0"/>
                  <w:vAlign w:val="top"/>
                </w:tcPr>
                <w:p>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06</w:t>
                  </w:r>
                </w:p>
              </w:tc>
              <w:tc>
                <w:tcPr>
                  <w:tcW w:w="768" w:type="pct"/>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钢波纹管涵</w:t>
                  </w:r>
                </w:p>
              </w:tc>
              <w:tc>
                <w:tcPr>
                  <w:tcW w:w="641" w:type="pct"/>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11</w:t>
                  </w:r>
                  <w:r>
                    <w:rPr>
                      <w:rFonts w:hint="eastAsia" w:ascii="宋体" w:hAnsi="宋体" w:cs="宋体"/>
                      <w:color w:val="000000" w:themeColor="text1"/>
                      <w:kern w:val="0"/>
                      <w:szCs w:val="21"/>
                      <w:highlight w:val="none"/>
                      <w:lang w:val="en-US" w:eastAsia="zh-CN"/>
                      <w14:textFill>
                        <w14:solidFill>
                          <w14:schemeClr w14:val="tx1"/>
                        </w14:solidFill>
                      </w14:textFill>
                    </w:rPr>
                    <w:t>3</w:t>
                  </w:r>
                </w:p>
              </w:tc>
              <w:tc>
                <w:tcPr>
                  <w:tcW w:w="386" w:type="pct"/>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永久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386" w:type="pct"/>
                  <w:noWrap w:val="0"/>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Cs w:val="21"/>
                      <w:highlight w:val="none"/>
                      <w:lang w:val="en-US"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6</w:t>
                  </w:r>
                </w:p>
              </w:tc>
              <w:tc>
                <w:tcPr>
                  <w:tcW w:w="832" w:type="pct"/>
                  <w:noWrap w:val="0"/>
                  <w:vAlign w:val="top"/>
                </w:tcPr>
                <w:p>
                  <w:pPr>
                    <w:keepNext w:val="0"/>
                    <w:keepLines w:val="0"/>
                    <w:widowControl/>
                    <w:suppressLineNumbers w:val="0"/>
                    <w:spacing w:before="0" w:beforeAutospacing="0" w:after="0" w:afterAutospacing="0"/>
                    <w:ind w:left="0" w:right="0"/>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ZK1+792.000</w:t>
                  </w:r>
                </w:p>
              </w:tc>
              <w:tc>
                <w:tcPr>
                  <w:tcW w:w="1215" w:type="pct"/>
                  <w:noWrap w:val="0"/>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φ</w:t>
                  </w:r>
                  <w:r>
                    <w:rPr>
                      <w:rFonts w:hint="eastAsia" w:ascii="宋体" w:hAnsi="宋体"/>
                      <w:color w:val="000000" w:themeColor="text1"/>
                      <w:szCs w:val="21"/>
                      <w:highlight w:val="none"/>
                      <w:lang w:val="en-US" w:eastAsia="zh-CN"/>
                      <w14:textFill>
                        <w14:solidFill>
                          <w14:schemeClr w14:val="tx1"/>
                        </w14:solidFill>
                      </w14:textFill>
                    </w:rPr>
                    <w:t>2.0</w:t>
                  </w:r>
                </w:p>
              </w:tc>
              <w:tc>
                <w:tcPr>
                  <w:tcW w:w="768" w:type="pct"/>
                  <w:noWrap w:val="0"/>
                  <w:vAlign w:val="top"/>
                </w:tcPr>
                <w:p>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128</w:t>
                  </w:r>
                </w:p>
              </w:tc>
              <w:tc>
                <w:tcPr>
                  <w:tcW w:w="768" w:type="pct"/>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钢波纹管涵</w:t>
                  </w:r>
                </w:p>
              </w:tc>
              <w:tc>
                <w:tcPr>
                  <w:tcW w:w="641" w:type="pct"/>
                  <w:noWrap w:val="0"/>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97</w:t>
                  </w:r>
                </w:p>
              </w:tc>
              <w:tc>
                <w:tcPr>
                  <w:tcW w:w="386" w:type="pct"/>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临时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386" w:type="pct"/>
                  <w:noWrap w:val="0"/>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Cs w:val="21"/>
                      <w:highlight w:val="none"/>
                      <w:lang w:val="en-US"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7</w:t>
                  </w:r>
                </w:p>
              </w:tc>
              <w:tc>
                <w:tcPr>
                  <w:tcW w:w="832" w:type="pct"/>
                  <w:noWrap w:val="0"/>
                  <w:vAlign w:val="top"/>
                </w:tcPr>
                <w:p>
                  <w:pPr>
                    <w:keepNext w:val="0"/>
                    <w:keepLines w:val="0"/>
                    <w:widowControl/>
                    <w:suppressLineNumbers w:val="0"/>
                    <w:spacing w:before="0" w:beforeAutospacing="0" w:after="0" w:afterAutospacing="0"/>
                    <w:ind w:left="0" w:right="0"/>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ZK1+945</w:t>
                  </w:r>
                  <w:r>
                    <w:rPr>
                      <w:rFonts w:hint="eastAsia" w:ascii="宋体" w:hAnsi="宋体"/>
                      <w:color w:val="000000" w:themeColor="text1"/>
                      <w:szCs w:val="21"/>
                      <w:highlight w:val="none"/>
                      <w:lang w:val="en-US" w:eastAsia="zh-CN"/>
                      <w14:textFill>
                        <w14:solidFill>
                          <w14:schemeClr w14:val="tx1"/>
                        </w14:solidFill>
                      </w14:textFill>
                    </w:rPr>
                    <w:t>.000</w:t>
                  </w:r>
                </w:p>
              </w:tc>
              <w:tc>
                <w:tcPr>
                  <w:tcW w:w="1215" w:type="pct"/>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φ</w:t>
                  </w:r>
                  <w:r>
                    <w:rPr>
                      <w:rFonts w:hint="eastAsia" w:ascii="宋体" w:hAnsi="宋体"/>
                      <w:color w:val="000000" w:themeColor="text1"/>
                      <w:szCs w:val="21"/>
                      <w:highlight w:val="none"/>
                      <w:lang w:val="en-US" w:eastAsia="zh-CN"/>
                      <w14:textFill>
                        <w14:solidFill>
                          <w14:schemeClr w14:val="tx1"/>
                        </w14:solidFill>
                      </w14:textFill>
                    </w:rPr>
                    <w:t>2.0</w:t>
                  </w:r>
                </w:p>
              </w:tc>
              <w:tc>
                <w:tcPr>
                  <w:tcW w:w="768" w:type="pct"/>
                  <w:noWrap w:val="0"/>
                  <w:vAlign w:val="top"/>
                </w:tcPr>
                <w:p>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141</w:t>
                  </w:r>
                </w:p>
              </w:tc>
              <w:tc>
                <w:tcPr>
                  <w:tcW w:w="768" w:type="pct"/>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钢波纹管涵</w:t>
                  </w:r>
                </w:p>
              </w:tc>
              <w:tc>
                <w:tcPr>
                  <w:tcW w:w="641" w:type="pct"/>
                  <w:noWrap w:val="0"/>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136</w:t>
                  </w:r>
                </w:p>
              </w:tc>
              <w:tc>
                <w:tcPr>
                  <w:tcW w:w="386" w:type="pct"/>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临时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386" w:type="pct"/>
                  <w:noWrap w:val="0"/>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Cs w:val="21"/>
                      <w:highlight w:val="none"/>
                      <w:lang w:val="en-US"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8</w:t>
                  </w:r>
                </w:p>
              </w:tc>
              <w:tc>
                <w:tcPr>
                  <w:tcW w:w="832" w:type="pct"/>
                  <w:noWrap w:val="0"/>
                  <w:vAlign w:val="top"/>
                </w:tcPr>
                <w:p>
                  <w:pPr>
                    <w:keepNext w:val="0"/>
                    <w:keepLines w:val="0"/>
                    <w:widowControl/>
                    <w:suppressLineNumbers w:val="0"/>
                    <w:spacing w:before="0" w:beforeAutospacing="0" w:after="0" w:afterAutospacing="0"/>
                    <w:ind w:left="0" w:right="0"/>
                    <w:jc w:val="center"/>
                    <w:rPr>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ZK2+231.244</w:t>
                  </w:r>
                </w:p>
              </w:tc>
              <w:tc>
                <w:tcPr>
                  <w:tcW w:w="1215" w:type="pct"/>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φ</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.0</w:t>
                  </w:r>
                </w:p>
              </w:tc>
              <w:tc>
                <w:tcPr>
                  <w:tcW w:w="768" w:type="pct"/>
                  <w:noWrap w:val="0"/>
                  <w:vAlign w:val="top"/>
                </w:tcPr>
                <w:p>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160</w:t>
                  </w:r>
                </w:p>
              </w:tc>
              <w:tc>
                <w:tcPr>
                  <w:tcW w:w="768" w:type="pct"/>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钢波纹管涵</w:t>
                  </w:r>
                </w:p>
              </w:tc>
              <w:tc>
                <w:tcPr>
                  <w:tcW w:w="641" w:type="pct"/>
                  <w:noWrap w:val="0"/>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413</w:t>
                  </w:r>
                </w:p>
              </w:tc>
              <w:tc>
                <w:tcPr>
                  <w:tcW w:w="386" w:type="pct"/>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永久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972" w:type="pct"/>
                  <w:gridSpan w:val="5"/>
                  <w:noWrap w:val="0"/>
                  <w:vAlign w:val="top"/>
                </w:tcPr>
                <w:p>
                  <w:pPr>
                    <w:keepNext w:val="0"/>
                    <w:keepLines w:val="0"/>
                    <w:suppressLineNumbers w:val="0"/>
                    <w:spacing w:before="0" w:beforeAutospacing="0" w:after="0" w:afterAutospacing="0"/>
                    <w:ind w:left="0" w:right="0"/>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合计</w:t>
                  </w:r>
                </w:p>
              </w:tc>
              <w:tc>
                <w:tcPr>
                  <w:tcW w:w="641" w:type="pct"/>
                  <w:noWrap/>
                  <w:vAlign w:val="center"/>
                </w:tcPr>
                <w:p>
                  <w:pPr>
                    <w:keepNext w:val="0"/>
                    <w:keepLines w:val="0"/>
                    <w:suppressLineNumbers w:val="0"/>
                    <w:spacing w:before="0" w:beforeAutospacing="0" w:after="0" w:afterAutospacing="0"/>
                    <w:ind w:left="0" w:right="0"/>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1147</w:t>
                  </w:r>
                </w:p>
              </w:tc>
              <w:tc>
                <w:tcPr>
                  <w:tcW w:w="386" w:type="pct"/>
                  <w:noWrap/>
                  <w:vAlign w:val="center"/>
                </w:tcPr>
                <w:p>
                  <w:pPr>
                    <w:keepNext w:val="0"/>
                    <w:keepLines w:val="0"/>
                    <w:widowControl/>
                    <w:suppressLineNumbers w:val="0"/>
                    <w:spacing w:before="0" w:beforeAutospacing="0" w:after="0" w:afterAutospacing="0"/>
                    <w:ind w:left="0" w:right="0"/>
                    <w:jc w:val="center"/>
                    <w:rPr>
                      <w:rFonts w:ascii="宋体" w:hAnsi="宋体" w:cs="宋体"/>
                      <w:color w:val="000000" w:themeColor="text1"/>
                      <w:kern w:val="0"/>
                      <w:szCs w:val="21"/>
                      <w:highlight w:val="none"/>
                      <w14:textFill>
                        <w14:solidFill>
                          <w14:schemeClr w14:val="tx1"/>
                        </w14:solidFill>
                      </w14:textFill>
                    </w:rPr>
                  </w:pPr>
                </w:p>
              </w:tc>
            </w:tr>
          </w:tbl>
          <w:p>
            <w:pPr>
              <w:pStyle w:val="19"/>
              <w:keepNext w:val="0"/>
              <w:keepLines w:val="0"/>
              <w:widowControl w:val="0"/>
              <w:suppressLineNumbers w:val="0"/>
              <w:spacing w:before="0" w:beforeAutospacing="0" w:after="0" w:afterAutospacing="0" w:line="360" w:lineRule="auto"/>
              <w:ind w:left="0" w:leftChars="0" w:right="0" w:firstLine="482" w:firstLineChars="200"/>
              <w:jc w:val="left"/>
              <w:rPr>
                <w:rFonts w:hint="default" w:ascii="宋体" w:hAnsi="宋体" w:eastAsia="宋体" w:cs="宋体"/>
                <w:b/>
                <w:bCs/>
                <w:color w:val="000000" w:themeColor="text1"/>
                <w:kern w:val="2"/>
                <w:sz w:val="24"/>
                <w:szCs w:val="24"/>
                <w:highlight w:val="none"/>
                <w:lang w:val="en-US" w:eastAsia="zh-CN" w:bidi="ar"/>
                <w14:textFill>
                  <w14:solidFill>
                    <w14:schemeClr w14:val="tx1"/>
                  </w14:solidFill>
                </w14:textFill>
              </w:rPr>
            </w:pPr>
            <w:r>
              <w:rPr>
                <w:rFonts w:hint="eastAsia" w:cs="宋体"/>
                <w:b/>
                <w:bCs/>
                <w:color w:val="000000" w:themeColor="text1"/>
                <w:kern w:val="2"/>
                <w:sz w:val="24"/>
                <w:szCs w:val="24"/>
                <w:highlight w:val="none"/>
                <w:lang w:val="en-US" w:eastAsia="zh-CN" w:bidi="ar"/>
                <w14:textFill>
                  <w14:solidFill>
                    <w14:schemeClr w14:val="tx1"/>
                  </w14:solidFill>
                </w14:textFill>
              </w:rPr>
              <w:t>五、排水工程设计</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default" w:cs="宋体"/>
                <w:color w:val="000000" w:themeColor="text1"/>
                <w:kern w:val="2"/>
                <w:sz w:val="24"/>
                <w:szCs w:val="24"/>
                <w:highlight w:val="none"/>
                <w:lang w:val="en-US" w:eastAsia="zh-CN" w:bidi="ar"/>
                <w14:textFill>
                  <w14:solidFill>
                    <w14:schemeClr w14:val="tx1"/>
                  </w14:solidFill>
                </w14:textFill>
              </w:rPr>
            </w:pPr>
            <w:r>
              <w:rPr>
                <w:rFonts w:hint="eastAsia" w:cs="宋体"/>
                <w:color w:val="000000" w:themeColor="text1"/>
                <w:kern w:val="2"/>
                <w:sz w:val="24"/>
                <w:szCs w:val="24"/>
                <w:highlight w:val="none"/>
                <w:lang w:val="en-US" w:eastAsia="zh-CN" w:bidi="ar"/>
                <w14:textFill>
                  <w14:solidFill>
                    <w14:schemeClr w14:val="tx1"/>
                  </w14:solidFill>
                </w14:textFill>
              </w:rPr>
              <w:t>1、雨水管线</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eastAsia="宋体" w:cs="宋体"/>
                <w:color w:val="000000" w:themeColor="text1"/>
                <w:kern w:val="2"/>
                <w:sz w:val="24"/>
                <w:szCs w:val="24"/>
                <w:highlight w:val="none"/>
                <w:lang w:val="en-US" w:eastAsia="zh-CN" w:bidi="ar"/>
                <w14:textFill>
                  <w14:solidFill>
                    <w14:schemeClr w14:val="tx1"/>
                  </w14:solidFill>
                </w14:textFill>
              </w:rPr>
            </w:pPr>
            <w:r>
              <w:rPr>
                <w:rFonts w:hint="eastAsia" w:cs="宋体"/>
                <w:color w:val="000000" w:themeColor="text1"/>
                <w:kern w:val="2"/>
                <w:sz w:val="24"/>
                <w:szCs w:val="24"/>
                <w:highlight w:val="none"/>
                <w:lang w:val="en-US" w:eastAsia="zh-CN" w:bidi="ar"/>
                <w14:textFill>
                  <w14:solidFill>
                    <w14:schemeClr w14:val="tx1"/>
                  </w14:solidFill>
                </w14:textFill>
              </w:rPr>
              <w:t>本项目</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雨水管单侧布置，雨水管径为d400，排至自然水系</w:t>
            </w: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本项目雨水管道设计重现期取P＝</w:t>
            </w:r>
            <w:r>
              <w:rPr>
                <w:rFonts w:hint="eastAsia" w:ascii="宋体" w:hAnsi="宋体"/>
                <w:color w:val="000000" w:themeColor="text1"/>
                <w:sz w:val="24"/>
                <w:highlight w:val="none"/>
                <w:lang w:val="en-US" w:eastAsia="zh-CN"/>
                <w14:textFill>
                  <w14:solidFill>
                    <w14:schemeClr w14:val="tx1"/>
                  </w14:solidFill>
                </w14:textFill>
              </w:rPr>
              <w:t>3</w:t>
            </w:r>
            <w:r>
              <w:rPr>
                <w:rFonts w:hint="eastAsia" w:ascii="宋体" w:hAnsi="宋体"/>
                <w:color w:val="000000" w:themeColor="text1"/>
                <w:sz w:val="24"/>
                <w:highlight w:val="none"/>
                <w14:textFill>
                  <w14:solidFill>
                    <w14:schemeClr w14:val="tx1"/>
                  </w14:solidFill>
                </w14:textFill>
              </w:rPr>
              <w:t>年</w:t>
            </w:r>
            <w:r>
              <w:rPr>
                <w:rFonts w:hint="eastAsia"/>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14:textFill>
                  <w14:solidFill>
                    <w14:schemeClr w14:val="tx1"/>
                  </w14:solidFill>
                </w14:textFill>
              </w:rPr>
              <w:t>排水管材采用</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MPVE双壁波纹管</w:t>
            </w:r>
            <w:r>
              <w:rPr>
                <w:rFonts w:hint="eastAsia" w:ascii="Times New Roman" w:hAnsi="Times New Roman" w:eastAsia="宋体" w:cs="Times New Roman"/>
                <w:color w:val="000000" w:themeColor="text1"/>
                <w:sz w:val="24"/>
                <w:highlight w:val="none"/>
                <w14:textFill>
                  <w14:solidFill>
                    <w14:schemeClr w14:val="tx1"/>
                  </w14:solidFill>
                </w14:textFill>
              </w:rPr>
              <w:t>。</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cs="宋体"/>
                <w:color w:val="000000" w:themeColor="text1"/>
                <w:kern w:val="2"/>
                <w:sz w:val="24"/>
                <w:szCs w:val="24"/>
                <w:highlight w:val="none"/>
                <w:lang w:val="en-US" w:eastAsia="zh-CN" w:bidi="ar"/>
                <w14:textFill>
                  <w14:solidFill>
                    <w14:schemeClr w14:val="tx1"/>
                  </w14:solidFill>
                </w14:textFill>
              </w:rPr>
              <w:t>2、污水管线</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污水管双侧布置</w:t>
            </w: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管径为d300-d400，经提升泵站排至环城路规划污水系统。</w:t>
            </w:r>
            <w:r>
              <w:rPr>
                <w:rFonts w:hint="eastAsia" w:ascii="Times New Roman" w:hAnsi="Times New Roman" w:eastAsia="宋体" w:cs="Times New Roman"/>
                <w:color w:val="000000" w:themeColor="text1"/>
                <w:sz w:val="24"/>
                <w:highlight w:val="none"/>
                <w14:textFill>
                  <w14:solidFill>
                    <w14:schemeClr w14:val="tx1"/>
                  </w14:solidFill>
                </w14:textFill>
              </w:rPr>
              <w:t>排水管材采用</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MPVE双壁波纹管</w:t>
            </w:r>
            <w:r>
              <w:rPr>
                <w:rFonts w:hint="eastAsia" w:ascii="Times New Roman" w:hAnsi="Times New Roman" w:eastAsia="宋体" w:cs="Times New Roman"/>
                <w:color w:val="000000" w:themeColor="text1"/>
                <w:sz w:val="24"/>
                <w:highlight w:val="none"/>
                <w14:textFill>
                  <w14:solidFill>
                    <w14:schemeClr w14:val="tx1"/>
                  </w14:solidFill>
                </w14:textFill>
              </w:rPr>
              <w:t>。</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default"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cs="宋体"/>
                <w:color w:val="000000" w:themeColor="text1"/>
                <w:kern w:val="2"/>
                <w:sz w:val="24"/>
                <w:szCs w:val="24"/>
                <w:highlight w:val="none"/>
                <w:lang w:val="en-US" w:eastAsia="zh-CN" w:bidi="ar"/>
                <w14:textFill>
                  <w14:solidFill>
                    <w14:schemeClr w14:val="tx1"/>
                  </w14:solidFill>
                </w14:textFill>
              </w:rPr>
              <w:t>3、污水提升泵站</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color w:val="000000" w:themeColor="text1"/>
                <w:sz w:val="24"/>
                <w:szCs w:val="21"/>
                <w:highlight w:val="none"/>
                <w:lang w:val="en-US" w:eastAsia="zh-CN"/>
                <w14:textFill>
                  <w14:solidFill>
                    <w14:schemeClr w14:val="tx1"/>
                  </w14:solidFill>
                </w14:textFill>
              </w:rPr>
              <w:t>本项目拟在</w:t>
            </w:r>
            <w:r>
              <w:rPr>
                <w:rFonts w:hint="eastAsia" w:ascii="宋体" w:hAnsi="宋体"/>
                <w:color w:val="000000" w:themeColor="text1"/>
                <w:sz w:val="24"/>
                <w:szCs w:val="21"/>
                <w:highlight w:val="none"/>
                <w:lang w:val="en-US" w:eastAsia="zh-CN"/>
                <w14:textFill>
                  <w14:solidFill>
                    <w14:schemeClr w14:val="tx1"/>
                  </w14:solidFill>
                </w14:textFill>
              </w:rPr>
              <w:t>道路南侧防护用地</w:t>
            </w:r>
            <w:r>
              <w:rPr>
                <w:rFonts w:hint="eastAsia"/>
                <w:color w:val="000000" w:themeColor="text1"/>
                <w:sz w:val="24"/>
                <w:szCs w:val="21"/>
                <w:highlight w:val="none"/>
                <w:lang w:val="en-US" w:eastAsia="zh-CN"/>
                <w14:textFill>
                  <w14:solidFill>
                    <w14:schemeClr w14:val="tx1"/>
                  </w14:solidFill>
                </w14:textFill>
              </w:rPr>
              <w:t>内</w:t>
            </w:r>
            <w:r>
              <w:rPr>
                <w:rFonts w:hint="eastAsia" w:ascii="宋体" w:hAnsi="宋体"/>
                <w:color w:val="000000" w:themeColor="text1"/>
                <w:sz w:val="24"/>
                <w:szCs w:val="21"/>
                <w:highlight w:val="none"/>
                <w14:textFill>
                  <w14:solidFill>
                    <w14:schemeClr w14:val="tx1"/>
                  </w14:solidFill>
                </w14:textFill>
              </w:rPr>
              <w:t>设一座一体化预制污水泵站。筒体直径为2.5</w:t>
            </w:r>
            <w:r>
              <w:rPr>
                <w:rFonts w:ascii="宋体" w:hAnsi="宋体"/>
                <w:color w:val="000000" w:themeColor="text1"/>
                <w:sz w:val="24"/>
                <w:szCs w:val="21"/>
                <w:highlight w:val="none"/>
                <w14:textFill>
                  <w14:solidFill>
                    <w14:schemeClr w14:val="tx1"/>
                  </w14:solidFill>
                </w14:textFill>
              </w:rPr>
              <w:t>m</w:t>
            </w:r>
            <w:r>
              <w:rPr>
                <w:rFonts w:hint="eastAsia" w:ascii="宋体" w:hAnsi="宋体"/>
                <w:color w:val="000000" w:themeColor="text1"/>
                <w:sz w:val="24"/>
                <w:szCs w:val="21"/>
                <w:highlight w:val="none"/>
                <w14:textFill>
                  <w14:solidFill>
                    <w14:schemeClr w14:val="tx1"/>
                  </w14:solidFill>
                </w14:textFill>
              </w:rPr>
              <w:t>，筒体高度7</w:t>
            </w:r>
            <w:r>
              <w:rPr>
                <w:rFonts w:ascii="宋体" w:hAnsi="宋体"/>
                <w:color w:val="000000" w:themeColor="text1"/>
                <w:sz w:val="24"/>
                <w:szCs w:val="21"/>
                <w:highlight w:val="none"/>
                <w14:textFill>
                  <w14:solidFill>
                    <w14:schemeClr w14:val="tx1"/>
                  </w14:solidFill>
                </w14:textFill>
              </w:rPr>
              <w:t>m</w:t>
            </w:r>
            <w:r>
              <w:rPr>
                <w:rFonts w:hint="eastAsia" w:ascii="宋体" w:hAnsi="宋体"/>
                <w:color w:val="000000" w:themeColor="text1"/>
                <w:sz w:val="24"/>
                <w:szCs w:val="21"/>
                <w:highlight w:val="none"/>
                <w14:textFill>
                  <w14:solidFill>
                    <w14:schemeClr w14:val="tx1"/>
                  </w14:solidFill>
                </w14:textFill>
              </w:rPr>
              <w:t>，内设置潜污泵3台，2用</w:t>
            </w:r>
            <w:r>
              <w:rPr>
                <w:rFonts w:ascii="宋体" w:hAnsi="宋体"/>
                <w:color w:val="000000" w:themeColor="text1"/>
                <w:sz w:val="24"/>
                <w:szCs w:val="21"/>
                <w:highlight w:val="none"/>
                <w14:textFill>
                  <w14:solidFill>
                    <w14:schemeClr w14:val="tx1"/>
                  </w14:solidFill>
                </w14:textFill>
              </w:rPr>
              <w:t>1</w:t>
            </w:r>
            <w:r>
              <w:rPr>
                <w:rFonts w:hint="eastAsia" w:ascii="宋体" w:hAnsi="宋体"/>
                <w:color w:val="000000" w:themeColor="text1"/>
                <w:sz w:val="24"/>
                <w:szCs w:val="21"/>
                <w:highlight w:val="none"/>
                <w14:textFill>
                  <w14:solidFill>
                    <w14:schemeClr w14:val="tx1"/>
                  </w14:solidFill>
                </w14:textFill>
              </w:rPr>
              <w:t>备，单台水泵流量为</w:t>
            </w:r>
            <w:r>
              <w:rPr>
                <w:rFonts w:hint="eastAsia" w:ascii="宋体" w:hAnsi="宋体"/>
                <w:color w:val="000000" w:themeColor="text1"/>
                <w:sz w:val="24"/>
                <w:szCs w:val="21"/>
                <w:highlight w:val="none"/>
                <w:lang w:val="en-US" w:eastAsia="zh-CN"/>
                <w14:textFill>
                  <w14:solidFill>
                    <w14:schemeClr w14:val="tx1"/>
                  </w14:solidFill>
                </w14:textFill>
              </w:rPr>
              <w:t>100</w:t>
            </w:r>
            <w:r>
              <w:rPr>
                <w:rFonts w:ascii="宋体" w:hAnsi="宋体"/>
                <w:color w:val="000000" w:themeColor="text1"/>
                <w:sz w:val="24"/>
                <w:szCs w:val="21"/>
                <w:highlight w:val="none"/>
                <w14:textFill>
                  <w14:solidFill>
                    <w14:schemeClr w14:val="tx1"/>
                  </w14:solidFill>
                </w14:textFill>
              </w:rPr>
              <w:t>m</w:t>
            </w:r>
            <w:r>
              <w:rPr>
                <w:rFonts w:ascii="宋体" w:hAnsi="宋体"/>
                <w:color w:val="000000" w:themeColor="text1"/>
                <w:sz w:val="24"/>
                <w:szCs w:val="21"/>
                <w:highlight w:val="none"/>
                <w:vertAlign w:val="superscript"/>
                <w14:textFill>
                  <w14:solidFill>
                    <w14:schemeClr w14:val="tx1"/>
                  </w14:solidFill>
                </w14:textFill>
              </w:rPr>
              <w:t>3</w:t>
            </w:r>
            <w:r>
              <w:rPr>
                <w:rFonts w:ascii="宋体" w:hAnsi="宋体"/>
                <w:color w:val="000000" w:themeColor="text1"/>
                <w:sz w:val="24"/>
                <w:szCs w:val="21"/>
                <w:highlight w:val="none"/>
                <w14:textFill>
                  <w14:solidFill>
                    <w14:schemeClr w14:val="tx1"/>
                  </w14:solidFill>
                </w14:textFill>
              </w:rPr>
              <w:t>/h</w:t>
            </w:r>
            <w:r>
              <w:rPr>
                <w:rFonts w:hint="eastAsia" w:ascii="宋体" w:hAnsi="宋体"/>
                <w:color w:val="000000" w:themeColor="text1"/>
                <w:sz w:val="24"/>
                <w:szCs w:val="21"/>
                <w:highlight w:val="none"/>
                <w14:textFill>
                  <w14:solidFill>
                    <w14:schemeClr w14:val="tx1"/>
                  </w14:solidFill>
                </w14:textFill>
              </w:rPr>
              <w:t>、水泵扬程为36</w:t>
            </w:r>
            <w:r>
              <w:rPr>
                <w:rFonts w:ascii="宋体" w:hAnsi="宋体"/>
                <w:color w:val="000000" w:themeColor="text1"/>
                <w:sz w:val="24"/>
                <w:szCs w:val="21"/>
                <w:highlight w:val="none"/>
                <w14:textFill>
                  <w14:solidFill>
                    <w14:schemeClr w14:val="tx1"/>
                  </w14:solidFill>
                </w14:textFill>
              </w:rPr>
              <w:t>m</w:t>
            </w:r>
            <w:r>
              <w:rPr>
                <w:rFonts w:hint="eastAsia" w:ascii="宋体" w:hAnsi="宋体"/>
                <w:color w:val="000000" w:themeColor="text1"/>
                <w:sz w:val="24"/>
                <w:szCs w:val="21"/>
                <w:highlight w:val="none"/>
                <w14:textFill>
                  <w14:solidFill>
                    <w14:schemeClr w14:val="tx1"/>
                  </w14:solidFill>
                </w14:textFill>
              </w:rPr>
              <w:t>、功率为</w:t>
            </w:r>
            <w:r>
              <w:rPr>
                <w:rFonts w:hint="eastAsia" w:ascii="宋体" w:hAnsi="宋体"/>
                <w:color w:val="000000" w:themeColor="text1"/>
                <w:sz w:val="24"/>
                <w:szCs w:val="21"/>
                <w:highlight w:val="none"/>
                <w:lang w:val="en-US" w:eastAsia="zh-CN"/>
                <w14:textFill>
                  <w14:solidFill>
                    <w14:schemeClr w14:val="tx1"/>
                  </w14:solidFill>
                </w14:textFill>
              </w:rPr>
              <w:t>20</w:t>
            </w:r>
            <w:r>
              <w:rPr>
                <w:rFonts w:ascii="宋体" w:hAnsi="宋体"/>
                <w:color w:val="000000" w:themeColor="text1"/>
                <w:sz w:val="24"/>
                <w:szCs w:val="21"/>
                <w:highlight w:val="none"/>
                <w14:textFill>
                  <w14:solidFill>
                    <w14:schemeClr w14:val="tx1"/>
                  </w14:solidFill>
                </w14:textFill>
              </w:rPr>
              <w:t>kW</w:t>
            </w:r>
            <w:r>
              <w:rPr>
                <w:rFonts w:hint="eastAsia" w:ascii="宋体" w:hAnsi="宋体"/>
                <w:color w:val="000000" w:themeColor="text1"/>
                <w:sz w:val="24"/>
                <w:szCs w:val="21"/>
                <w:highlight w:val="none"/>
                <w14:textFill>
                  <w14:solidFill>
                    <w14:schemeClr w14:val="tx1"/>
                  </w14:solidFill>
                </w14:textFill>
              </w:rPr>
              <w:t>。并在进水管处设置粉碎性格栅一套。</w:t>
            </w:r>
          </w:p>
          <w:p>
            <w:pPr>
              <w:pStyle w:val="19"/>
              <w:keepNext w:val="0"/>
              <w:keepLines w:val="0"/>
              <w:widowControl w:val="0"/>
              <w:suppressLineNumbers w:val="0"/>
              <w:spacing w:before="0" w:beforeAutospacing="0" w:after="0" w:afterAutospacing="0" w:line="360" w:lineRule="auto"/>
              <w:ind w:left="0" w:leftChars="0" w:right="0" w:firstLine="482" w:firstLineChars="200"/>
              <w:jc w:val="left"/>
              <w:rPr>
                <w:rFonts w:hint="default" w:ascii="宋体" w:hAnsi="宋体" w:eastAsia="宋体" w:cs="宋体"/>
                <w:b/>
                <w:bCs/>
                <w:color w:val="000000" w:themeColor="text1"/>
                <w:kern w:val="2"/>
                <w:sz w:val="24"/>
                <w:szCs w:val="24"/>
                <w:highlight w:val="none"/>
                <w:lang w:val="en-US" w:eastAsia="zh-CN" w:bidi="ar"/>
                <w14:textFill>
                  <w14:solidFill>
                    <w14:schemeClr w14:val="tx1"/>
                  </w14:solidFill>
                </w14:textFill>
              </w:rPr>
            </w:pPr>
            <w:r>
              <w:rPr>
                <w:rFonts w:hint="eastAsia" w:cs="宋体"/>
                <w:b/>
                <w:bCs/>
                <w:color w:val="000000" w:themeColor="text1"/>
                <w:kern w:val="2"/>
                <w:sz w:val="24"/>
                <w:szCs w:val="24"/>
                <w:highlight w:val="none"/>
                <w:lang w:val="en-US" w:eastAsia="zh-CN" w:bidi="ar"/>
                <w14:textFill>
                  <w14:solidFill>
                    <w14:schemeClr w14:val="tx1"/>
                  </w14:solidFill>
                </w14:textFill>
              </w:rPr>
              <w:t>六、照明工程设计</w:t>
            </w:r>
          </w:p>
          <w:p>
            <w:pPr>
              <w:pStyle w:val="19"/>
              <w:keepNext w:val="0"/>
              <w:keepLines w:val="0"/>
              <w:widowControl w:val="0"/>
              <w:suppressLineNumbers w:val="0"/>
              <w:spacing w:before="0" w:beforeAutospacing="0" w:after="0" w:afterAutospacing="0" w:line="360" w:lineRule="auto"/>
              <w:ind w:left="0" w:leftChars="0" w:right="0" w:firstLine="480" w:firstLineChars="200"/>
              <w:jc w:val="both"/>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本</w:t>
            </w:r>
            <w:r>
              <w:rPr>
                <w:rFonts w:hint="eastAsia" w:cs="宋体"/>
                <w:color w:val="000000" w:themeColor="text1"/>
                <w:kern w:val="2"/>
                <w:sz w:val="24"/>
                <w:szCs w:val="24"/>
                <w:highlight w:val="none"/>
                <w:lang w:val="en-US" w:eastAsia="zh-CN" w:bidi="ar"/>
                <w14:textFill>
                  <w14:solidFill>
                    <w14:schemeClr w14:val="tx1"/>
                  </w14:solidFill>
                </w14:textFill>
              </w:rPr>
              <w:t>项目</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底平层道路采用15m高玉兰灯，上部9盏20W装饰灯，下部4盏灯分别为车行道侧360W，人行道侧50W，双侧对称布置，间距50米；高架桥段桥梁上采用16m高单杆单挑LED灯，功率为360W，双侧对称布置，间距50米；匝道采用8m高单杆单挑LED灯，功率为200W；K0+390.001～K0+932.250段高架桥下层采用吸顶灯，功率为70W，间距15米；K1+480.000～YK2+148.60（ZK2+154.183）段采用16m高单杆单挑LED灯，功率为200W，双侧对称布置，间距40米；灯具类型为中配光。路灯灯杆由供应商提供三类防雷措施。</w:t>
            </w:r>
          </w:p>
          <w:p>
            <w:pPr>
              <w:pStyle w:val="19"/>
              <w:keepNext w:val="0"/>
              <w:keepLines w:val="0"/>
              <w:widowControl w:val="0"/>
              <w:suppressLineNumbers w:val="0"/>
              <w:spacing w:before="0" w:beforeAutospacing="0" w:after="0" w:afterAutospacing="0" w:line="360" w:lineRule="auto"/>
              <w:ind w:left="0" w:leftChars="0" w:right="0" w:firstLine="480" w:firstLineChars="200"/>
              <w:jc w:val="both"/>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738370" cy="2600960"/>
                  <wp:effectExtent l="0" t="0" r="1270" b="508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27"/>
                          <a:stretch>
                            <a:fillRect/>
                          </a:stretch>
                        </pic:blipFill>
                        <pic:spPr>
                          <a:xfrm>
                            <a:off x="0" y="0"/>
                            <a:ext cx="4738370" cy="2600960"/>
                          </a:xfrm>
                          <a:prstGeom prst="rect">
                            <a:avLst/>
                          </a:prstGeom>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图2-13  本项目道路照明布置图</w:t>
            </w:r>
          </w:p>
          <w:p>
            <w:pPr>
              <w:pStyle w:val="19"/>
              <w:keepNext w:val="0"/>
              <w:keepLines w:val="0"/>
              <w:widowControl w:val="0"/>
              <w:suppressLineNumbers w:val="0"/>
              <w:spacing w:before="0" w:beforeAutospacing="0" w:after="0" w:afterAutospacing="0" w:line="360" w:lineRule="auto"/>
              <w:ind w:left="0" w:leftChars="0" w:right="0" w:firstLine="482" w:firstLineChars="200"/>
              <w:jc w:val="left"/>
              <w:rPr>
                <w:rFonts w:hint="default" w:ascii="宋体" w:hAnsi="宋体" w:eastAsia="宋体" w:cs="宋体"/>
                <w:b/>
                <w:bCs/>
                <w:color w:val="000000" w:themeColor="text1"/>
                <w:kern w:val="2"/>
                <w:sz w:val="24"/>
                <w:szCs w:val="24"/>
                <w:highlight w:val="none"/>
                <w:lang w:val="en-US" w:eastAsia="zh-CN" w:bidi="ar"/>
                <w14:textFill>
                  <w14:solidFill>
                    <w14:schemeClr w14:val="tx1"/>
                  </w14:solidFill>
                </w14:textFill>
              </w:rPr>
            </w:pPr>
            <w:r>
              <w:rPr>
                <w:rFonts w:hint="eastAsia" w:cs="宋体"/>
                <w:b/>
                <w:bCs/>
                <w:color w:val="000000" w:themeColor="text1"/>
                <w:kern w:val="2"/>
                <w:sz w:val="24"/>
                <w:szCs w:val="24"/>
                <w:highlight w:val="none"/>
                <w:lang w:val="en-US" w:eastAsia="zh-CN" w:bidi="ar"/>
                <w14:textFill>
                  <w14:solidFill>
                    <w14:schemeClr w14:val="tx1"/>
                  </w14:solidFill>
                </w14:textFill>
              </w:rPr>
              <w:t>七、道路绿化工程设计</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default"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本</w:t>
            </w:r>
            <w:r>
              <w:rPr>
                <w:rFonts w:hint="eastAsia" w:cs="宋体"/>
                <w:color w:val="000000" w:themeColor="text1"/>
                <w:kern w:val="2"/>
                <w:sz w:val="24"/>
                <w:szCs w:val="24"/>
                <w:highlight w:val="none"/>
                <w:lang w:val="en-US" w:eastAsia="zh-CN" w:bidi="ar"/>
                <w14:textFill>
                  <w14:solidFill>
                    <w14:schemeClr w14:val="tx1"/>
                  </w14:solidFill>
                </w14:textFill>
              </w:rPr>
              <w:t>项目道路总长约1229米，其中包括</w:t>
            </w:r>
            <w:r>
              <w:rPr>
                <w:rFonts w:hint="eastAsia" w:ascii="宋体" w:hAnsi="宋体" w:eastAsia="宋体" w:cs="Times New Roman"/>
                <w:color w:val="000000" w:themeColor="text1"/>
                <w:sz w:val="24"/>
                <w:highlight w:val="none"/>
                <w14:textFill>
                  <w14:solidFill>
                    <w14:schemeClr w14:val="tx1"/>
                  </w14:solidFill>
                </w14:textFill>
              </w:rPr>
              <w:t>4m宽</w:t>
            </w:r>
            <w:r>
              <w:rPr>
                <w:rFonts w:hint="eastAsia" w:cs="宋体"/>
                <w:color w:val="000000" w:themeColor="text1"/>
                <w:kern w:val="2"/>
                <w:sz w:val="24"/>
                <w:szCs w:val="24"/>
                <w:highlight w:val="none"/>
                <w:lang w:val="en-US" w:eastAsia="zh-CN" w:bidi="ar"/>
                <w14:textFill>
                  <w14:solidFill>
                    <w14:schemeClr w14:val="tx1"/>
                  </w14:solidFill>
                </w14:textFill>
              </w:rPr>
              <w:t>人行道绿化设计及桥底</w:t>
            </w:r>
            <w:r>
              <w:rPr>
                <w:rFonts w:hint="eastAsia" w:ascii="宋体" w:hAnsi="宋体" w:eastAsia="宋体" w:cs="Times New Roman"/>
                <w:color w:val="000000" w:themeColor="text1"/>
                <w:sz w:val="24"/>
                <w:highlight w:val="none"/>
                <w14:textFill>
                  <w14:solidFill>
                    <w14:schemeClr w14:val="tx1"/>
                  </w14:solidFill>
                </w14:textFill>
              </w:rPr>
              <w:t>10.5米中央</w:t>
            </w:r>
            <w:r>
              <w:rPr>
                <w:rFonts w:hint="eastAsia" w:cs="宋体"/>
                <w:color w:val="000000" w:themeColor="text1"/>
                <w:kern w:val="2"/>
                <w:sz w:val="24"/>
                <w:szCs w:val="24"/>
                <w:highlight w:val="none"/>
                <w:lang w:val="en-US" w:eastAsia="zh-CN" w:bidi="ar"/>
                <w14:textFill>
                  <w14:solidFill>
                    <w14:schemeClr w14:val="tx1"/>
                  </w14:solidFill>
                </w14:textFill>
              </w:rPr>
              <w:t>绿化带的设计，总面积约为12903平方米。</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该项目绿化设计包括4m宽人行道铺装设计和33米</w:t>
            </w:r>
            <w:r>
              <w:rPr>
                <w:rFonts w:hint="eastAsia" w:ascii="宋体" w:hAnsi="宋体" w:eastAsia="宋体" w:cs="Times New Roman"/>
                <w:color w:val="000000" w:themeColor="text1"/>
                <w:sz w:val="24"/>
                <w:highlight w:val="none"/>
                <w:lang w:eastAsia="zh-CN"/>
                <w14:textFill>
                  <w14:solidFill>
                    <w14:schemeClr w14:val="tx1"/>
                  </w14:solidFill>
                </w14:textFill>
              </w:rPr>
              <w:t>（三期预留位置）</w:t>
            </w:r>
            <w:r>
              <w:rPr>
                <w:rFonts w:hint="eastAsia" w:ascii="宋体" w:hAnsi="宋体" w:eastAsia="宋体" w:cs="Times New Roman"/>
                <w:color w:val="000000" w:themeColor="text1"/>
                <w:sz w:val="24"/>
                <w:highlight w:val="none"/>
                <w14:textFill>
                  <w14:solidFill>
                    <w14:schemeClr w14:val="tx1"/>
                  </w14:solidFill>
                </w14:textFill>
              </w:rPr>
              <w:t>及10.5米中央绿化带设计。中央绿化带在高架桥下，植物选择上应选择耐阴的植被，麦冬、木春菊、海桐等距离整形搭配。行道树采用1.5X1.5米花岗石树池，内植常绿乔木香樟及麦冬，树池间距8</w:t>
            </w:r>
            <w:r>
              <w:rPr>
                <w:rFonts w:hint="eastAsia" w:ascii="宋体" w:hAnsi="宋体" w:eastAsia="宋体" w:cs="Times New Roman"/>
                <w:color w:val="000000" w:themeColor="text1"/>
                <w:sz w:val="24"/>
                <w:highlight w:val="none"/>
                <w:lang w:val="en-US" w:eastAsia="zh-CN"/>
                <w14:textFill>
                  <w14:solidFill>
                    <w14:schemeClr w14:val="tx1"/>
                  </w14:solidFill>
                </w14:textFill>
              </w:rPr>
              <w:t>.1</w:t>
            </w:r>
            <w:r>
              <w:rPr>
                <w:rFonts w:hint="eastAsia" w:ascii="宋体" w:hAnsi="宋体" w:eastAsia="宋体" w:cs="Times New Roman"/>
                <w:color w:val="000000" w:themeColor="text1"/>
                <w:sz w:val="24"/>
                <w:highlight w:val="none"/>
                <w14:textFill>
                  <w14:solidFill>
                    <w14:schemeClr w14:val="tx1"/>
                  </w14:solidFill>
                </w14:textFill>
              </w:rPr>
              <w:t>米。人行道面层采用50</w:t>
            </w:r>
            <w:r>
              <w:rPr>
                <w:rFonts w:hint="eastAsia" w:ascii="宋体" w:hAnsi="宋体" w:eastAsia="宋体" w:cs="Times New Roman"/>
                <w:color w:val="000000" w:themeColor="text1"/>
                <w:sz w:val="24"/>
                <w:highlight w:val="none"/>
                <w:lang w:val="en-US" w:eastAsia="zh-CN"/>
                <w14:textFill>
                  <w14:solidFill>
                    <w14:schemeClr w14:val="tx1"/>
                  </w14:solidFill>
                </w14:textFill>
              </w:rPr>
              <w:t>mm</w:t>
            </w:r>
            <w:r>
              <w:rPr>
                <w:rFonts w:hint="eastAsia" w:ascii="宋体" w:hAnsi="宋体" w:eastAsia="宋体" w:cs="Times New Roman"/>
                <w:color w:val="000000" w:themeColor="text1"/>
                <w:sz w:val="24"/>
                <w:highlight w:val="none"/>
                <w14:textFill>
                  <w14:solidFill>
                    <w14:schemeClr w14:val="tx1"/>
                  </w14:solidFill>
                </w14:textFill>
              </w:rPr>
              <w:t>厚花岗石烧面。</w:t>
            </w:r>
          </w:p>
          <w:p>
            <w:pPr>
              <w:keepNext w:val="0"/>
              <w:keepLines w:val="0"/>
              <w:widowControl/>
              <w:suppressLineNumbers w:val="0"/>
              <w:spacing w:before="0" w:beforeAutospacing="0" w:after="0" w:afterAutospacing="0" w:line="360" w:lineRule="auto"/>
              <w:ind w:left="0" w:right="0"/>
              <w:rPr>
                <w:b/>
                <w:color w:val="000000" w:themeColor="text1"/>
                <w:sz w:val="24"/>
                <w:szCs w:val="22"/>
                <w:highlight w:val="none"/>
                <w14:textFill>
                  <w14:solidFill>
                    <w14:schemeClr w14:val="tx1"/>
                  </w14:solidFill>
                </w14:textFill>
              </w:rPr>
            </w:pPr>
            <w:r>
              <w:rPr>
                <w:b/>
                <w:color w:val="000000" w:themeColor="text1"/>
                <w:sz w:val="24"/>
                <w:szCs w:val="22"/>
                <w:highlight w:val="none"/>
                <w14:textFill>
                  <w14:solidFill>
                    <w14:schemeClr w14:val="tx1"/>
                  </w14:solidFill>
                </w14:textFill>
              </w:rPr>
              <w:t>（</w:t>
            </w:r>
            <w:r>
              <w:rPr>
                <w:rFonts w:hint="eastAsia"/>
                <w:b/>
                <w:color w:val="000000" w:themeColor="text1"/>
                <w:sz w:val="24"/>
                <w:szCs w:val="22"/>
                <w:highlight w:val="none"/>
                <w:lang w:val="en-US" w:eastAsia="zh-CN"/>
                <w14:textFill>
                  <w14:solidFill>
                    <w14:schemeClr w14:val="tx1"/>
                  </w14:solidFill>
                </w14:textFill>
              </w:rPr>
              <w:t>六</w:t>
            </w:r>
            <w:r>
              <w:rPr>
                <w:b/>
                <w:color w:val="000000" w:themeColor="text1"/>
                <w:sz w:val="24"/>
                <w:szCs w:val="22"/>
                <w:highlight w:val="none"/>
                <w14:textFill>
                  <w14:solidFill>
                    <w14:schemeClr w14:val="tx1"/>
                  </w14:solidFill>
                </w14:textFill>
              </w:rPr>
              <w:t>）主要原辅材料及设备</w:t>
            </w:r>
          </w:p>
          <w:p>
            <w:pPr>
              <w:keepNext w:val="0"/>
              <w:keepLines w:val="0"/>
              <w:widowControl/>
              <w:suppressLineNumbers w:val="0"/>
              <w:spacing w:before="0" w:beforeAutospacing="0" w:after="0" w:afterAutospacing="0" w:line="360" w:lineRule="auto"/>
              <w:ind w:left="0" w:right="0" w:firstLine="482" w:firstLineChars="200"/>
              <w:rPr>
                <w:b/>
                <w:color w:val="000000" w:themeColor="text1"/>
                <w:sz w:val="24"/>
                <w:szCs w:val="22"/>
                <w:highlight w:val="none"/>
                <w14:textFill>
                  <w14:solidFill>
                    <w14:schemeClr w14:val="tx1"/>
                  </w14:solidFill>
                </w14:textFill>
              </w:rPr>
            </w:pPr>
            <w:r>
              <w:rPr>
                <w:rFonts w:hint="eastAsia"/>
                <w:b/>
                <w:color w:val="000000" w:themeColor="text1"/>
                <w:sz w:val="24"/>
                <w:szCs w:val="22"/>
                <w:highlight w:val="none"/>
                <w:lang w:val="en-US" w:eastAsia="zh-CN"/>
                <w14:textFill>
                  <w14:solidFill>
                    <w14:schemeClr w14:val="tx1"/>
                  </w14:solidFill>
                </w14:textFill>
              </w:rPr>
              <w:t>一</w:t>
            </w:r>
            <w:r>
              <w:rPr>
                <w:b/>
                <w:color w:val="000000" w:themeColor="text1"/>
                <w:sz w:val="24"/>
                <w:szCs w:val="22"/>
                <w:highlight w:val="none"/>
                <w14:textFill>
                  <w14:solidFill>
                    <w14:schemeClr w14:val="tx1"/>
                  </w14:solidFill>
                </w14:textFill>
              </w:rPr>
              <w:t>、原辅材料用量</w:t>
            </w:r>
          </w:p>
          <w:p>
            <w:pPr>
              <w:keepNext w:val="0"/>
              <w:keepLines w:val="0"/>
              <w:widowControl/>
              <w:suppressLineNumbers w:val="0"/>
              <w:spacing w:before="0" w:beforeAutospacing="0" w:after="0" w:afterAutospacing="0" w:line="360" w:lineRule="auto"/>
              <w:ind w:left="0" w:right="0" w:firstLine="480" w:firstLineChars="200"/>
              <w:rPr>
                <w:bCs/>
                <w:color w:val="000000" w:themeColor="text1"/>
                <w:sz w:val="24"/>
                <w:szCs w:val="22"/>
                <w:highlight w:val="none"/>
                <w14:textFill>
                  <w14:solidFill>
                    <w14:schemeClr w14:val="tx1"/>
                  </w14:solidFill>
                </w14:textFill>
              </w:rPr>
            </w:pPr>
            <w:r>
              <w:rPr>
                <w:bCs/>
                <w:color w:val="000000" w:themeColor="text1"/>
                <w:sz w:val="24"/>
                <w:szCs w:val="22"/>
                <w:highlight w:val="none"/>
                <w14:textFill>
                  <w14:solidFill>
                    <w14:schemeClr w14:val="tx1"/>
                  </w14:solidFill>
                </w14:textFill>
              </w:rPr>
              <w:t>本工程</w:t>
            </w:r>
            <w:r>
              <w:rPr>
                <w:rFonts w:hint="eastAsia"/>
                <w:bCs/>
                <w:color w:val="000000" w:themeColor="text1"/>
                <w:sz w:val="24"/>
                <w:szCs w:val="22"/>
                <w:highlight w:val="none"/>
                <w:lang w:val="en-US" w:eastAsia="zh-CN"/>
                <w14:textFill>
                  <w14:solidFill>
                    <w14:schemeClr w14:val="tx1"/>
                  </w14:solidFill>
                </w14:textFill>
              </w:rPr>
              <w:t>施工</w:t>
            </w:r>
            <w:r>
              <w:rPr>
                <w:bCs/>
                <w:color w:val="000000" w:themeColor="text1"/>
                <w:sz w:val="24"/>
                <w:szCs w:val="22"/>
                <w:highlight w:val="none"/>
                <w14:textFill>
                  <w14:solidFill>
                    <w14:schemeClr w14:val="tx1"/>
                  </w14:solidFill>
                </w14:textFill>
              </w:rPr>
              <w:t>用主要原辅材料如下表2</w:t>
            </w:r>
            <w:r>
              <w:rPr>
                <w:rFonts w:hint="eastAsia"/>
                <w:bCs/>
                <w:color w:val="000000" w:themeColor="text1"/>
                <w:sz w:val="24"/>
                <w:szCs w:val="22"/>
                <w:highlight w:val="none"/>
                <w:lang w:val="en-US" w:eastAsia="zh-CN"/>
                <w14:textFill>
                  <w14:solidFill>
                    <w14:schemeClr w14:val="tx1"/>
                  </w14:solidFill>
                </w14:textFill>
              </w:rPr>
              <w:t>-10</w:t>
            </w:r>
            <w:r>
              <w:rPr>
                <w:bCs/>
                <w:color w:val="000000" w:themeColor="text1"/>
                <w:sz w:val="24"/>
                <w:szCs w:val="22"/>
                <w:highlight w:val="none"/>
                <w14:textFill>
                  <w14:solidFill>
                    <w14:schemeClr w14:val="tx1"/>
                  </w14:solidFill>
                </w14:textFill>
              </w:rPr>
              <w:t>。</w:t>
            </w:r>
          </w:p>
          <w:p>
            <w:pPr>
              <w:keepNext w:val="0"/>
              <w:keepLines w:val="0"/>
              <w:widowControl w:val="0"/>
              <w:suppressLineNumbers w:val="0"/>
              <w:spacing w:before="0" w:beforeAutospacing="0" w:after="0" w:afterAutospacing="0" w:line="240" w:lineRule="auto"/>
              <w:ind w:left="0" w:right="0"/>
              <w:jc w:val="center"/>
              <w:rPr>
                <w:rFonts w:hint="eastAsia" w:ascii="微软雅黑" w:hAnsi="微软雅黑" w:eastAsia="微软雅黑" w:cs="微软雅黑"/>
                <w:b w:val="0"/>
                <w:bCs/>
                <w:color w:val="000000" w:themeColor="text1"/>
                <w:kern w:val="0"/>
                <w:sz w:val="21"/>
                <w:szCs w:val="21"/>
                <w:highlight w:val="none"/>
                <w:lang w:val="en-US" w:eastAsia="zh-CN" w:bidi="ar"/>
                <w14:textFill>
                  <w14:solidFill>
                    <w14:schemeClr w14:val="tx1"/>
                  </w14:solidFill>
                </w14:textFill>
              </w:rPr>
            </w:pPr>
            <w:r>
              <w:rPr>
                <w:rFonts w:hint="eastAsia" w:ascii="微软雅黑" w:hAnsi="微软雅黑" w:eastAsia="微软雅黑" w:cs="微软雅黑"/>
                <w:b w:val="0"/>
                <w:bCs/>
                <w:color w:val="000000" w:themeColor="text1"/>
                <w:kern w:val="0"/>
                <w:sz w:val="21"/>
                <w:szCs w:val="21"/>
                <w:highlight w:val="none"/>
                <w:lang w:val="en-US" w:eastAsia="zh-CN" w:bidi="ar"/>
                <w14:textFill>
                  <w14:solidFill>
                    <w14:schemeClr w14:val="tx1"/>
                  </w14:solidFill>
                </w14:textFill>
              </w:rPr>
              <w:t>表2-10  主要原辅材料及能耗表</w:t>
            </w:r>
          </w:p>
          <w:tbl>
            <w:tblPr>
              <w:tblStyle w:val="24"/>
              <w:tblW w:w="78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1991"/>
              <w:gridCol w:w="1559"/>
              <w:gridCol w:w="3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21" w:type="dxa"/>
                  <w:shd w:val="clear" w:color="auto" w:fill="auto"/>
                  <w:vAlign w:val="center"/>
                </w:tcPr>
                <w:p>
                  <w:pPr>
                    <w:keepNext w:val="0"/>
                    <w:keepLines w:val="0"/>
                    <w:suppressLineNumbers w:val="0"/>
                    <w:spacing w:before="0" w:beforeAutospacing="0" w:after="0" w:afterAutospacing="0"/>
                    <w:ind w:left="0" w:right="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项目</w:t>
                  </w:r>
                </w:p>
              </w:tc>
              <w:tc>
                <w:tcPr>
                  <w:tcW w:w="1991" w:type="dxa"/>
                  <w:shd w:val="clear" w:color="auto" w:fill="auto"/>
                  <w:vAlign w:val="center"/>
                </w:tcPr>
                <w:p>
                  <w:pPr>
                    <w:keepNext w:val="0"/>
                    <w:keepLines w:val="0"/>
                    <w:suppressLineNumbers w:val="0"/>
                    <w:spacing w:before="0" w:beforeAutospacing="0" w:after="0" w:afterAutospacing="0"/>
                    <w:ind w:left="0" w:right="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名称</w:t>
                  </w:r>
                </w:p>
              </w:tc>
              <w:tc>
                <w:tcPr>
                  <w:tcW w:w="1559" w:type="dxa"/>
                  <w:shd w:val="clear" w:color="auto" w:fill="auto"/>
                  <w:vAlign w:val="center"/>
                </w:tcPr>
                <w:p>
                  <w:pPr>
                    <w:keepNext w:val="0"/>
                    <w:keepLines w:val="0"/>
                    <w:suppressLineNumbers w:val="0"/>
                    <w:spacing w:before="0" w:beforeAutospacing="0" w:after="0" w:afterAutospacing="0"/>
                    <w:ind w:left="0" w:right="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总用量</w:t>
                  </w:r>
                </w:p>
              </w:tc>
              <w:tc>
                <w:tcPr>
                  <w:tcW w:w="3202" w:type="dxa"/>
                  <w:shd w:val="clear" w:color="auto" w:fill="auto"/>
                  <w:vAlign w:val="center"/>
                </w:tcPr>
                <w:p>
                  <w:pPr>
                    <w:keepNext w:val="0"/>
                    <w:keepLines w:val="0"/>
                    <w:suppressLineNumbers w:val="0"/>
                    <w:spacing w:before="0" w:beforeAutospacing="0" w:after="0" w:afterAutospacing="0"/>
                    <w:ind w:left="0" w:right="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21" w:type="dxa"/>
                  <w:vMerge w:val="restart"/>
                  <w:shd w:val="clear" w:color="auto" w:fill="auto"/>
                  <w:vAlign w:val="center"/>
                </w:tcPr>
                <w:p>
                  <w:pPr>
                    <w:keepNext w:val="0"/>
                    <w:keepLines w:val="0"/>
                    <w:suppressLineNumbers w:val="0"/>
                    <w:spacing w:before="0" w:beforeAutospacing="0" w:after="0" w:afterAutospacing="0"/>
                    <w:ind w:left="0" w:right="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主（辅）料</w:t>
                  </w:r>
                </w:p>
              </w:tc>
              <w:tc>
                <w:tcPr>
                  <w:tcW w:w="1991" w:type="dxa"/>
                  <w:shd w:val="clear" w:color="auto" w:fill="auto"/>
                  <w:vAlign w:val="center"/>
                </w:tcPr>
                <w:p>
                  <w:pPr>
                    <w:keepNext w:val="0"/>
                    <w:keepLines w:val="0"/>
                    <w:suppressLineNumbers w:val="0"/>
                    <w:spacing w:before="0" w:beforeAutospacing="0" w:after="0" w:afterAutospacing="0"/>
                    <w:ind w:left="0" w:right="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沥青</w:t>
                  </w:r>
                </w:p>
              </w:tc>
              <w:tc>
                <w:tcPr>
                  <w:tcW w:w="1559" w:type="dxa"/>
                  <w:shd w:val="clear" w:color="auto" w:fill="auto"/>
                  <w:vAlign w:val="center"/>
                </w:tcPr>
                <w:p>
                  <w:pPr>
                    <w:keepNext w:val="0"/>
                    <w:keepLines w:val="0"/>
                    <w:suppressLineNumbers w:val="0"/>
                    <w:spacing w:before="0" w:beforeAutospacing="0" w:after="0" w:afterAutospacing="0"/>
                    <w:ind w:left="0" w:right="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10万m3</w:t>
                  </w:r>
                  <w:r>
                    <w:rPr>
                      <w:bCs/>
                      <w:color w:val="000000" w:themeColor="text1"/>
                      <w:szCs w:val="21"/>
                      <w:highlight w:val="none"/>
                      <w14:textFill>
                        <w14:solidFill>
                          <w14:schemeClr w14:val="tx1"/>
                        </w14:solidFill>
                      </w14:textFill>
                    </w:rPr>
                    <w:t>t</w:t>
                  </w:r>
                </w:p>
              </w:tc>
              <w:tc>
                <w:tcPr>
                  <w:tcW w:w="3202" w:type="dxa"/>
                  <w:shd w:val="clear" w:color="auto" w:fill="auto"/>
                  <w:vAlign w:val="center"/>
                </w:tcPr>
                <w:p>
                  <w:pPr>
                    <w:keepNext w:val="0"/>
                    <w:keepLines w:val="0"/>
                    <w:suppressLineNumbers w:val="0"/>
                    <w:spacing w:before="0" w:beforeAutospacing="0" w:after="0" w:afterAutospacing="0"/>
                    <w:ind w:left="0" w:right="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21" w:type="dxa"/>
                  <w:vMerge w:val="continue"/>
                  <w:shd w:val="clear" w:color="auto" w:fill="auto"/>
                  <w:vAlign w:val="center"/>
                </w:tcPr>
                <w:p>
                  <w:pPr>
                    <w:keepNext w:val="0"/>
                    <w:keepLines w:val="0"/>
                    <w:suppressLineNumbers w:val="0"/>
                    <w:spacing w:before="0" w:beforeAutospacing="0" w:after="0" w:afterAutospacing="0"/>
                    <w:ind w:left="0" w:right="0"/>
                    <w:jc w:val="center"/>
                    <w:rPr>
                      <w:bCs/>
                      <w:color w:val="000000" w:themeColor="text1"/>
                      <w:szCs w:val="21"/>
                      <w:highlight w:val="none"/>
                      <w14:textFill>
                        <w14:solidFill>
                          <w14:schemeClr w14:val="tx1"/>
                        </w14:solidFill>
                      </w14:textFill>
                    </w:rPr>
                  </w:pPr>
                </w:p>
              </w:tc>
              <w:tc>
                <w:tcPr>
                  <w:tcW w:w="1991" w:type="dxa"/>
                  <w:shd w:val="clear" w:color="auto" w:fill="auto"/>
                  <w:vAlign w:val="center"/>
                </w:tcPr>
                <w:p>
                  <w:pPr>
                    <w:keepNext w:val="0"/>
                    <w:keepLines w:val="0"/>
                    <w:suppressLineNumbers w:val="0"/>
                    <w:spacing w:before="0" w:beforeAutospacing="0" w:after="0" w:afterAutospacing="0"/>
                    <w:ind w:left="0" w:right="0"/>
                    <w:jc w:val="center"/>
                    <w:rPr>
                      <w:rFonts w:hint="eastAsia"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钢材</w:t>
                  </w:r>
                </w:p>
              </w:tc>
              <w:tc>
                <w:tcPr>
                  <w:tcW w:w="1559" w:type="dxa"/>
                  <w:shd w:val="clear" w:color="auto" w:fill="auto"/>
                  <w:vAlign w:val="center"/>
                </w:tcPr>
                <w:p>
                  <w:pPr>
                    <w:keepNext w:val="0"/>
                    <w:keepLines w:val="0"/>
                    <w:suppressLineNumbers w:val="0"/>
                    <w:spacing w:before="0" w:beforeAutospacing="0" w:after="0" w:afterAutospacing="0"/>
                    <w:ind w:left="0" w:right="0"/>
                    <w:jc w:val="center"/>
                    <w:rPr>
                      <w:rFonts w:hint="default"/>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1万t</w:t>
                  </w:r>
                </w:p>
              </w:tc>
              <w:tc>
                <w:tcPr>
                  <w:tcW w:w="3202" w:type="dxa"/>
                  <w:shd w:val="clear" w:color="auto" w:fill="auto"/>
                  <w:vAlign w:val="center"/>
                </w:tcPr>
                <w:p>
                  <w:pPr>
                    <w:keepNext w:val="0"/>
                    <w:keepLines w:val="0"/>
                    <w:suppressLineNumbers w:val="0"/>
                    <w:spacing w:before="0" w:beforeAutospacing="0" w:after="0" w:afterAutospacing="0"/>
                    <w:ind w:left="0" w:right="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121" w:type="dxa"/>
                  <w:vMerge w:val="continue"/>
                  <w:shd w:val="clear" w:color="auto" w:fill="auto"/>
                  <w:vAlign w:val="center"/>
                </w:tcPr>
                <w:p>
                  <w:pPr>
                    <w:keepNext w:val="0"/>
                    <w:keepLines w:val="0"/>
                    <w:suppressLineNumbers w:val="0"/>
                    <w:spacing w:before="0" w:beforeAutospacing="0" w:after="0" w:afterAutospacing="0"/>
                    <w:ind w:left="0" w:right="0"/>
                    <w:jc w:val="center"/>
                    <w:rPr>
                      <w:bCs/>
                      <w:color w:val="000000" w:themeColor="text1"/>
                      <w:szCs w:val="21"/>
                      <w:highlight w:val="none"/>
                      <w14:textFill>
                        <w14:solidFill>
                          <w14:schemeClr w14:val="tx1"/>
                        </w14:solidFill>
                      </w14:textFill>
                    </w:rPr>
                  </w:pPr>
                </w:p>
              </w:tc>
              <w:tc>
                <w:tcPr>
                  <w:tcW w:w="1991" w:type="dxa"/>
                  <w:shd w:val="clear" w:color="auto" w:fill="auto"/>
                  <w:vAlign w:val="center"/>
                </w:tcPr>
                <w:p>
                  <w:pPr>
                    <w:keepNext w:val="0"/>
                    <w:keepLines w:val="0"/>
                    <w:suppressLineNumbers w:val="0"/>
                    <w:spacing w:before="0" w:beforeAutospacing="0" w:after="0" w:afterAutospacing="0"/>
                    <w:ind w:left="0" w:right="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混凝土</w:t>
                  </w:r>
                </w:p>
              </w:tc>
              <w:tc>
                <w:tcPr>
                  <w:tcW w:w="1559" w:type="dxa"/>
                  <w:shd w:val="clear" w:color="auto" w:fill="auto"/>
                  <w:vAlign w:val="center"/>
                </w:tcPr>
                <w:p>
                  <w:pPr>
                    <w:keepNext w:val="0"/>
                    <w:keepLines w:val="0"/>
                    <w:suppressLineNumbers w:val="0"/>
                    <w:spacing w:before="0" w:beforeAutospacing="0" w:after="0" w:afterAutospacing="0"/>
                    <w:ind w:left="0" w:right="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20000</w:t>
                  </w:r>
                  <w:r>
                    <w:rPr>
                      <w:bCs/>
                      <w:color w:val="000000" w:themeColor="text1"/>
                      <w:szCs w:val="21"/>
                      <w:highlight w:val="none"/>
                      <w14:textFill>
                        <w14:solidFill>
                          <w14:schemeClr w14:val="tx1"/>
                        </w14:solidFill>
                      </w14:textFill>
                    </w:rPr>
                    <w:t>t</w:t>
                  </w:r>
                </w:p>
              </w:tc>
              <w:tc>
                <w:tcPr>
                  <w:tcW w:w="3202" w:type="dxa"/>
                  <w:shd w:val="clear" w:color="auto" w:fill="auto"/>
                  <w:vAlign w:val="center"/>
                </w:tcPr>
                <w:p>
                  <w:pPr>
                    <w:keepNext w:val="0"/>
                    <w:keepLines w:val="0"/>
                    <w:suppressLineNumbers w:val="0"/>
                    <w:spacing w:before="0" w:beforeAutospacing="0" w:after="0" w:afterAutospacing="0"/>
                    <w:ind w:left="0" w:right="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1" w:type="dxa"/>
                  <w:vMerge w:val="continue"/>
                  <w:shd w:val="clear" w:color="auto" w:fill="auto"/>
                  <w:vAlign w:val="center"/>
                </w:tcPr>
                <w:p>
                  <w:pPr>
                    <w:keepNext w:val="0"/>
                    <w:keepLines w:val="0"/>
                    <w:suppressLineNumbers w:val="0"/>
                    <w:spacing w:before="0" w:beforeAutospacing="0" w:after="0" w:afterAutospacing="0"/>
                    <w:ind w:left="0" w:right="0"/>
                    <w:jc w:val="center"/>
                    <w:rPr>
                      <w:bCs/>
                      <w:color w:val="000000" w:themeColor="text1"/>
                      <w:szCs w:val="21"/>
                      <w:highlight w:val="none"/>
                      <w14:textFill>
                        <w14:solidFill>
                          <w14:schemeClr w14:val="tx1"/>
                        </w14:solidFill>
                      </w14:textFill>
                    </w:rPr>
                  </w:pPr>
                </w:p>
              </w:tc>
              <w:tc>
                <w:tcPr>
                  <w:tcW w:w="1991" w:type="dxa"/>
                  <w:shd w:val="clear" w:color="auto" w:fill="auto"/>
                  <w:vAlign w:val="center"/>
                </w:tcPr>
                <w:p>
                  <w:pPr>
                    <w:keepNext w:val="0"/>
                    <w:keepLines w:val="0"/>
                    <w:suppressLineNumbers w:val="0"/>
                    <w:spacing w:before="0" w:beforeAutospacing="0" w:after="0" w:afterAutospacing="0"/>
                    <w:ind w:left="0" w:right="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砂石料</w:t>
                  </w:r>
                </w:p>
              </w:tc>
              <w:tc>
                <w:tcPr>
                  <w:tcW w:w="1559" w:type="dxa"/>
                  <w:shd w:val="clear" w:color="auto" w:fill="auto"/>
                  <w:vAlign w:val="center"/>
                </w:tcPr>
                <w:p>
                  <w:pPr>
                    <w:keepNext w:val="0"/>
                    <w:keepLines w:val="0"/>
                    <w:suppressLineNumbers w:val="0"/>
                    <w:spacing w:before="0" w:beforeAutospacing="0" w:after="0" w:afterAutospacing="0"/>
                    <w:ind w:left="0" w:right="0"/>
                    <w:jc w:val="center"/>
                    <w:rPr>
                      <w:rFonts w:hint="eastAsia" w:eastAsia="宋体"/>
                      <w:bCs/>
                      <w:color w:val="000000" w:themeColor="text1"/>
                      <w:szCs w:val="21"/>
                      <w:highlight w:val="none"/>
                      <w:lang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5</w:t>
                  </w:r>
                  <w:r>
                    <w:rPr>
                      <w:bCs/>
                      <w:color w:val="000000" w:themeColor="text1"/>
                      <w:szCs w:val="21"/>
                      <w:highlight w:val="none"/>
                      <w14:textFill>
                        <w14:solidFill>
                          <w14:schemeClr w14:val="tx1"/>
                        </w14:solidFill>
                      </w14:textFill>
                    </w:rPr>
                    <w:t>0万</w:t>
                  </w:r>
                  <w:r>
                    <w:rPr>
                      <w:rFonts w:hint="eastAsia"/>
                      <w:bCs/>
                      <w:color w:val="000000" w:themeColor="text1"/>
                      <w:szCs w:val="21"/>
                      <w:highlight w:val="none"/>
                      <w:lang w:eastAsia="zh-CN"/>
                      <w14:textFill>
                        <w14:solidFill>
                          <w14:schemeClr w14:val="tx1"/>
                        </w14:solidFill>
                      </w14:textFill>
                    </w:rPr>
                    <w:t>m³</w:t>
                  </w:r>
                </w:p>
              </w:tc>
              <w:tc>
                <w:tcPr>
                  <w:tcW w:w="3202" w:type="dxa"/>
                  <w:shd w:val="clear" w:color="auto" w:fill="auto"/>
                  <w:vAlign w:val="center"/>
                </w:tcPr>
                <w:p>
                  <w:pPr>
                    <w:keepNext w:val="0"/>
                    <w:keepLines w:val="0"/>
                    <w:suppressLineNumbers w:val="0"/>
                    <w:spacing w:before="0" w:beforeAutospacing="0" w:after="0" w:afterAutospacing="0"/>
                    <w:ind w:left="0" w:right="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121" w:type="dxa"/>
                  <w:vMerge w:val="continue"/>
                  <w:shd w:val="clear" w:color="auto" w:fill="auto"/>
                  <w:vAlign w:val="center"/>
                </w:tcPr>
                <w:p>
                  <w:pPr>
                    <w:keepNext w:val="0"/>
                    <w:keepLines w:val="0"/>
                    <w:suppressLineNumbers w:val="0"/>
                    <w:spacing w:before="0" w:beforeAutospacing="0" w:after="0" w:afterAutospacing="0"/>
                    <w:ind w:left="0" w:right="0"/>
                    <w:jc w:val="center"/>
                    <w:rPr>
                      <w:bCs/>
                      <w:color w:val="000000" w:themeColor="text1"/>
                      <w:szCs w:val="21"/>
                      <w:highlight w:val="none"/>
                      <w14:textFill>
                        <w14:solidFill>
                          <w14:schemeClr w14:val="tx1"/>
                        </w14:solidFill>
                      </w14:textFill>
                    </w:rPr>
                  </w:pPr>
                </w:p>
              </w:tc>
              <w:tc>
                <w:tcPr>
                  <w:tcW w:w="1991" w:type="dxa"/>
                  <w:shd w:val="clear" w:color="auto" w:fill="auto"/>
                  <w:vAlign w:val="center"/>
                </w:tcPr>
                <w:p>
                  <w:pPr>
                    <w:keepNext w:val="0"/>
                    <w:keepLines w:val="0"/>
                    <w:suppressLineNumbers w:val="0"/>
                    <w:spacing w:before="0" w:beforeAutospacing="0" w:after="0" w:afterAutospacing="0"/>
                    <w:ind w:left="0" w:right="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绿植</w:t>
                  </w:r>
                </w:p>
              </w:tc>
              <w:tc>
                <w:tcPr>
                  <w:tcW w:w="1559" w:type="dxa"/>
                  <w:shd w:val="clear" w:color="auto" w:fill="auto"/>
                  <w:vAlign w:val="center"/>
                </w:tcPr>
                <w:p>
                  <w:pPr>
                    <w:keepNext w:val="0"/>
                    <w:keepLines w:val="0"/>
                    <w:suppressLineNumbers w:val="0"/>
                    <w:spacing w:before="0" w:beforeAutospacing="0" w:after="0" w:afterAutospacing="0"/>
                    <w:ind w:left="0" w:right="0"/>
                    <w:jc w:val="center"/>
                    <w:rPr>
                      <w:rFonts w:hint="eastAsia" w:eastAsia="宋体"/>
                      <w:bCs/>
                      <w:color w:val="000000" w:themeColor="text1"/>
                      <w:szCs w:val="21"/>
                      <w:highlight w:val="none"/>
                      <w:lang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3</w:t>
                  </w:r>
                  <w:r>
                    <w:rPr>
                      <w:bCs/>
                      <w:color w:val="000000" w:themeColor="text1"/>
                      <w:szCs w:val="21"/>
                      <w:highlight w:val="none"/>
                      <w14:textFill>
                        <w14:solidFill>
                          <w14:schemeClr w14:val="tx1"/>
                        </w14:solidFill>
                      </w14:textFill>
                    </w:rPr>
                    <w:t>万</w:t>
                  </w:r>
                  <w:r>
                    <w:rPr>
                      <w:rFonts w:hint="eastAsia"/>
                      <w:bCs/>
                      <w:color w:val="000000" w:themeColor="text1"/>
                      <w:szCs w:val="21"/>
                      <w:highlight w:val="none"/>
                      <w:lang w:eastAsia="zh-CN"/>
                      <w14:textFill>
                        <w14:solidFill>
                          <w14:schemeClr w14:val="tx1"/>
                        </w14:solidFill>
                      </w14:textFill>
                    </w:rPr>
                    <w:t>m³</w:t>
                  </w:r>
                </w:p>
              </w:tc>
              <w:tc>
                <w:tcPr>
                  <w:tcW w:w="3202" w:type="dxa"/>
                  <w:shd w:val="clear" w:color="auto" w:fill="auto"/>
                  <w:vAlign w:val="center"/>
                </w:tcPr>
                <w:p>
                  <w:pPr>
                    <w:keepNext w:val="0"/>
                    <w:keepLines w:val="0"/>
                    <w:suppressLineNumbers w:val="0"/>
                    <w:spacing w:before="0" w:beforeAutospacing="0" w:after="0" w:afterAutospacing="0"/>
                    <w:ind w:left="0" w:right="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121" w:type="dxa"/>
                  <w:vMerge w:val="restart"/>
                  <w:shd w:val="clear" w:color="auto" w:fill="auto"/>
                  <w:vAlign w:val="center"/>
                </w:tcPr>
                <w:p>
                  <w:pPr>
                    <w:keepNext w:val="0"/>
                    <w:keepLines w:val="0"/>
                    <w:suppressLineNumbers w:val="0"/>
                    <w:spacing w:before="0" w:beforeAutospacing="0" w:after="0" w:afterAutospacing="0"/>
                    <w:ind w:left="0" w:right="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能源</w:t>
                  </w:r>
                </w:p>
              </w:tc>
              <w:tc>
                <w:tcPr>
                  <w:tcW w:w="1991" w:type="dxa"/>
                  <w:shd w:val="clear" w:color="auto" w:fill="auto"/>
                  <w:vAlign w:val="center"/>
                </w:tcPr>
                <w:p>
                  <w:pPr>
                    <w:keepNext w:val="0"/>
                    <w:keepLines w:val="0"/>
                    <w:suppressLineNumbers w:val="0"/>
                    <w:spacing w:before="0" w:beforeAutospacing="0" w:after="0" w:afterAutospacing="0"/>
                    <w:ind w:left="0" w:right="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电</w:t>
                  </w:r>
                </w:p>
              </w:tc>
              <w:tc>
                <w:tcPr>
                  <w:tcW w:w="1559" w:type="dxa"/>
                  <w:shd w:val="clear" w:color="auto" w:fill="auto"/>
                  <w:vAlign w:val="center"/>
                </w:tcPr>
                <w:p>
                  <w:pPr>
                    <w:keepNext w:val="0"/>
                    <w:keepLines w:val="0"/>
                    <w:suppressLineNumbers w:val="0"/>
                    <w:spacing w:before="0" w:beforeAutospacing="0" w:after="0" w:afterAutospacing="0"/>
                    <w:ind w:left="0" w:right="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3</w:t>
                  </w:r>
                  <w:r>
                    <w:rPr>
                      <w:bCs/>
                      <w:color w:val="000000" w:themeColor="text1"/>
                      <w:szCs w:val="21"/>
                      <w:highlight w:val="none"/>
                      <w14:textFill>
                        <w14:solidFill>
                          <w14:schemeClr w14:val="tx1"/>
                        </w14:solidFill>
                      </w14:textFill>
                    </w:rPr>
                    <w:t>万kw·h</w:t>
                  </w:r>
                </w:p>
              </w:tc>
              <w:tc>
                <w:tcPr>
                  <w:tcW w:w="3202" w:type="dxa"/>
                  <w:shd w:val="clear" w:color="auto" w:fill="auto"/>
                  <w:vAlign w:val="center"/>
                </w:tcPr>
                <w:p>
                  <w:pPr>
                    <w:keepNext w:val="0"/>
                    <w:keepLines w:val="0"/>
                    <w:suppressLineNumbers w:val="0"/>
                    <w:spacing w:before="0" w:beforeAutospacing="0" w:after="0" w:afterAutospacing="0"/>
                    <w:ind w:left="0" w:right="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当地电网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121" w:type="dxa"/>
                  <w:vMerge w:val="continue"/>
                  <w:shd w:val="clear" w:color="auto" w:fill="auto"/>
                  <w:vAlign w:val="center"/>
                </w:tcPr>
                <w:p>
                  <w:pPr>
                    <w:keepNext w:val="0"/>
                    <w:keepLines w:val="0"/>
                    <w:suppressLineNumbers w:val="0"/>
                    <w:spacing w:before="0" w:beforeAutospacing="0" w:after="0" w:afterAutospacing="0"/>
                    <w:ind w:left="0" w:right="0"/>
                    <w:jc w:val="center"/>
                    <w:rPr>
                      <w:bCs/>
                      <w:color w:val="000000" w:themeColor="text1"/>
                      <w:szCs w:val="21"/>
                      <w:highlight w:val="none"/>
                      <w14:textFill>
                        <w14:solidFill>
                          <w14:schemeClr w14:val="tx1"/>
                        </w14:solidFill>
                      </w14:textFill>
                    </w:rPr>
                  </w:pPr>
                </w:p>
              </w:tc>
              <w:tc>
                <w:tcPr>
                  <w:tcW w:w="1991" w:type="dxa"/>
                  <w:shd w:val="clear" w:color="auto" w:fill="auto"/>
                  <w:vAlign w:val="center"/>
                </w:tcPr>
                <w:p>
                  <w:pPr>
                    <w:keepNext w:val="0"/>
                    <w:keepLines w:val="0"/>
                    <w:suppressLineNumbers w:val="0"/>
                    <w:spacing w:before="0" w:beforeAutospacing="0" w:after="0" w:afterAutospacing="0"/>
                    <w:ind w:left="0" w:right="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水</w:t>
                  </w:r>
                </w:p>
              </w:tc>
              <w:tc>
                <w:tcPr>
                  <w:tcW w:w="1559" w:type="dxa"/>
                  <w:shd w:val="clear" w:color="auto" w:fill="auto"/>
                  <w:vAlign w:val="center"/>
                </w:tcPr>
                <w:p>
                  <w:pPr>
                    <w:keepNext w:val="0"/>
                    <w:keepLines w:val="0"/>
                    <w:suppressLineNumbers w:val="0"/>
                    <w:spacing w:before="0" w:beforeAutospacing="0" w:after="0" w:afterAutospacing="0"/>
                    <w:ind w:left="0" w:right="0"/>
                    <w:jc w:val="center"/>
                    <w:rPr>
                      <w:rFonts w:hint="eastAsia" w:eastAsia="宋体"/>
                      <w:bCs/>
                      <w:color w:val="000000" w:themeColor="text1"/>
                      <w:szCs w:val="21"/>
                      <w:highlight w:val="none"/>
                      <w:lang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2</w:t>
                  </w:r>
                  <w:r>
                    <w:rPr>
                      <w:bCs/>
                      <w:color w:val="000000" w:themeColor="text1"/>
                      <w:szCs w:val="21"/>
                      <w:highlight w:val="none"/>
                      <w14:textFill>
                        <w14:solidFill>
                          <w14:schemeClr w14:val="tx1"/>
                        </w14:solidFill>
                      </w14:textFill>
                    </w:rPr>
                    <w:t>万</w:t>
                  </w:r>
                  <w:r>
                    <w:rPr>
                      <w:rFonts w:hint="eastAsia"/>
                      <w:bCs/>
                      <w:color w:val="000000" w:themeColor="text1"/>
                      <w:szCs w:val="21"/>
                      <w:highlight w:val="none"/>
                      <w:lang w:eastAsia="zh-CN"/>
                      <w14:textFill>
                        <w14:solidFill>
                          <w14:schemeClr w14:val="tx1"/>
                        </w14:solidFill>
                      </w14:textFill>
                    </w:rPr>
                    <w:t>m³</w:t>
                  </w:r>
                </w:p>
              </w:tc>
              <w:tc>
                <w:tcPr>
                  <w:tcW w:w="3202" w:type="dxa"/>
                  <w:shd w:val="clear" w:color="auto" w:fill="auto"/>
                  <w:vAlign w:val="center"/>
                </w:tcPr>
                <w:p>
                  <w:pPr>
                    <w:keepNext w:val="0"/>
                    <w:keepLines w:val="0"/>
                    <w:suppressLineNumbers w:val="0"/>
                    <w:spacing w:before="0" w:beforeAutospacing="0" w:after="0" w:afterAutospacing="0"/>
                    <w:ind w:left="0" w:right="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当地自来水管网</w:t>
                  </w:r>
                </w:p>
              </w:tc>
            </w:tr>
          </w:tbl>
          <w:p>
            <w:pPr>
              <w:keepNext w:val="0"/>
              <w:keepLines w:val="0"/>
              <w:suppressLineNumbers w:val="0"/>
              <w:spacing w:before="0" w:beforeAutospacing="0" w:after="0" w:afterAutospacing="0" w:line="360" w:lineRule="auto"/>
              <w:ind w:left="0" w:right="0" w:firstLine="482" w:firstLineChars="200"/>
              <w:rPr>
                <w:rFonts w:hint="eastAsia"/>
                <w:b/>
                <w:color w:val="000000" w:themeColor="text1"/>
                <w:sz w:val="24"/>
                <w:szCs w:val="22"/>
                <w:highlight w:val="none"/>
                <w:lang w:val="en-US" w:eastAsia="zh-CN"/>
                <w14:textFill>
                  <w14:solidFill>
                    <w14:schemeClr w14:val="tx1"/>
                  </w14:solidFill>
                </w14:textFill>
              </w:rPr>
            </w:pPr>
          </w:p>
          <w:p>
            <w:pPr>
              <w:keepNext w:val="0"/>
              <w:keepLines w:val="0"/>
              <w:suppressLineNumbers w:val="0"/>
              <w:spacing w:before="0" w:beforeAutospacing="0" w:after="0" w:afterAutospacing="0" w:line="360" w:lineRule="auto"/>
              <w:ind w:left="0" w:right="0" w:firstLine="482" w:firstLineChars="200"/>
              <w:rPr>
                <w:b/>
                <w:color w:val="000000" w:themeColor="text1"/>
                <w:sz w:val="24"/>
                <w:szCs w:val="22"/>
                <w:highlight w:val="none"/>
                <w14:textFill>
                  <w14:solidFill>
                    <w14:schemeClr w14:val="tx1"/>
                  </w14:solidFill>
                </w14:textFill>
              </w:rPr>
            </w:pPr>
            <w:r>
              <w:rPr>
                <w:rFonts w:hint="eastAsia"/>
                <w:b/>
                <w:color w:val="000000" w:themeColor="text1"/>
                <w:sz w:val="24"/>
                <w:szCs w:val="22"/>
                <w:highlight w:val="none"/>
                <w:lang w:val="en-US" w:eastAsia="zh-CN"/>
                <w14:textFill>
                  <w14:solidFill>
                    <w14:schemeClr w14:val="tx1"/>
                  </w14:solidFill>
                </w14:textFill>
              </w:rPr>
              <w:t>二</w:t>
            </w:r>
            <w:r>
              <w:rPr>
                <w:b/>
                <w:color w:val="000000" w:themeColor="text1"/>
                <w:sz w:val="24"/>
                <w:szCs w:val="22"/>
                <w:highlight w:val="none"/>
                <w14:textFill>
                  <w14:solidFill>
                    <w14:schemeClr w14:val="tx1"/>
                  </w14:solidFill>
                </w14:textFill>
              </w:rPr>
              <w:t>、主要设备</w:t>
            </w:r>
          </w:p>
          <w:p>
            <w:pPr>
              <w:keepNext w:val="0"/>
              <w:keepLines w:val="0"/>
              <w:suppressLineNumbers w:val="0"/>
              <w:spacing w:before="0" w:beforeAutospacing="0" w:after="0" w:afterAutospacing="0" w:line="360" w:lineRule="auto"/>
              <w:ind w:left="0" w:right="0" w:firstLine="480" w:firstLineChars="200"/>
              <w:rPr>
                <w:bCs/>
                <w:color w:val="000000" w:themeColor="text1"/>
                <w:sz w:val="24"/>
                <w:szCs w:val="22"/>
                <w:highlight w:val="none"/>
                <w14:textFill>
                  <w14:solidFill>
                    <w14:schemeClr w14:val="tx1"/>
                  </w14:solidFill>
                </w14:textFill>
              </w:rPr>
            </w:pPr>
            <w:r>
              <w:rPr>
                <w:bCs/>
                <w:color w:val="000000" w:themeColor="text1"/>
                <w:sz w:val="24"/>
                <w:szCs w:val="22"/>
                <w:highlight w:val="none"/>
                <w14:textFill>
                  <w14:solidFill>
                    <w14:schemeClr w14:val="tx1"/>
                  </w14:solidFill>
                </w14:textFill>
              </w:rPr>
              <w:t>本项目主要设备见下表2-</w:t>
            </w:r>
            <w:r>
              <w:rPr>
                <w:rFonts w:hint="eastAsia"/>
                <w:bCs/>
                <w:color w:val="000000" w:themeColor="text1"/>
                <w:sz w:val="24"/>
                <w:szCs w:val="22"/>
                <w:highlight w:val="none"/>
                <w:lang w:val="en-US" w:eastAsia="zh-CN"/>
                <w14:textFill>
                  <w14:solidFill>
                    <w14:schemeClr w14:val="tx1"/>
                  </w14:solidFill>
                </w14:textFill>
              </w:rPr>
              <w:t>11</w:t>
            </w:r>
            <w:r>
              <w:rPr>
                <w:bCs/>
                <w:color w:val="000000" w:themeColor="text1"/>
                <w:sz w:val="24"/>
                <w:szCs w:val="22"/>
                <w:highlight w:val="none"/>
                <w14:textFill>
                  <w14:solidFill>
                    <w14:schemeClr w14:val="tx1"/>
                  </w14:solidFill>
                </w14:textFill>
              </w:rPr>
              <w:t>。</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表2-11  项目主要设备设施一览表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13"/>
              <w:gridCol w:w="913"/>
              <w:gridCol w:w="2391"/>
              <w:gridCol w:w="2137"/>
              <w:gridCol w:w="2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rFonts w:hint="default" w:ascii="Times New Roman" w:hAnsi="Times New Roman" w:eastAsia="宋体" w:cs="宋体"/>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cs="宋体"/>
                      <w:color w:val="000000" w:themeColor="text1"/>
                      <w:kern w:val="2"/>
                      <w:sz w:val="21"/>
                      <w:szCs w:val="21"/>
                      <w:highlight w:val="none"/>
                      <w:lang w:val="en-US" w:eastAsia="zh-CN" w:bidi="ar"/>
                      <w14:textFill>
                        <w14:solidFill>
                          <w14:schemeClr w14:val="tx1"/>
                        </w14:solidFill>
                      </w14:textFill>
                    </w:rPr>
                    <w:t>时期</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序号</w:t>
                  </w:r>
                </w:p>
              </w:tc>
              <w:tc>
                <w:tcPr>
                  <w:tcW w:w="134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声源</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eastAsia" w:ascii="Times New Roman" w:hAnsi="Times New Roman" w:cs="宋体"/>
                      <w:color w:val="000000" w:themeColor="text1"/>
                      <w:kern w:val="2"/>
                      <w:sz w:val="21"/>
                      <w:szCs w:val="21"/>
                      <w:highlight w:val="none"/>
                      <w:lang w:val="en-US" w:eastAsia="zh-CN" w:bidi="ar"/>
                      <w14:textFill>
                        <w14:solidFill>
                          <w14:schemeClr w14:val="tx1"/>
                        </w14:solidFill>
                      </w14:textFill>
                    </w:rPr>
                    <w:t>型号</w:t>
                  </w:r>
                </w:p>
              </w:tc>
              <w:tc>
                <w:tcPr>
                  <w:tcW w:w="142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eastAsia" w:ascii="Times New Roman" w:hAnsi="Times New Roman" w:cs="宋体"/>
                      <w:color w:val="000000" w:themeColor="text1"/>
                      <w:kern w:val="2"/>
                      <w:sz w:val="21"/>
                      <w:szCs w:val="21"/>
                      <w:highlight w:val="none"/>
                      <w:lang w:val="en-US" w:eastAsia="zh-CN" w:bidi="ar"/>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trPr>
              <w:tc>
                <w:tcPr>
                  <w:tcW w:w="514" w:type="pct"/>
                  <w:vMerge w:val="restart"/>
                  <w:tcBorders>
                    <w:top w:val="single" w:color="auto" w:sz="4" w:space="0"/>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
                      <w14:textFill>
                        <w14:solidFill>
                          <w14:schemeClr w14:val="tx1"/>
                        </w14:solidFill>
                      </w14:textFill>
                    </w:rPr>
                    <w:t>施工期</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1</w:t>
                  </w:r>
                </w:p>
              </w:tc>
              <w:tc>
                <w:tcPr>
                  <w:tcW w:w="134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挖土机</w:t>
                  </w:r>
                </w:p>
              </w:tc>
              <w:tc>
                <w:tcPr>
                  <w:tcW w:w="1203" w:type="pct"/>
                  <w:vMerge w:val="restart"/>
                  <w:tcBorders>
                    <w:top w:val="single" w:color="auto" w:sz="4" w:space="0"/>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c>
                <w:tcPr>
                  <w:tcW w:w="1422" w:type="pct"/>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4" w:type="pct"/>
                  <w:vMerge w:val="continue"/>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2</w:t>
                  </w:r>
                </w:p>
              </w:tc>
              <w:tc>
                <w:tcPr>
                  <w:tcW w:w="134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冲击机</w:t>
                  </w:r>
                </w:p>
              </w:tc>
              <w:tc>
                <w:tcPr>
                  <w:tcW w:w="1203" w:type="pct"/>
                  <w:vMerge w:val="continue"/>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p>
              </w:tc>
              <w:tc>
                <w:tcPr>
                  <w:tcW w:w="1422" w:type="pct"/>
                  <w:vMerge w:val="continue"/>
                  <w:tcBorders>
                    <w:left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514" w:type="pct"/>
                  <w:vMerge w:val="continue"/>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3</w:t>
                  </w:r>
                </w:p>
              </w:tc>
              <w:tc>
                <w:tcPr>
                  <w:tcW w:w="134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卷扬机</w:t>
                  </w:r>
                </w:p>
              </w:tc>
              <w:tc>
                <w:tcPr>
                  <w:tcW w:w="1203" w:type="pct"/>
                  <w:vMerge w:val="continue"/>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p>
              </w:tc>
              <w:tc>
                <w:tcPr>
                  <w:tcW w:w="1422" w:type="pct"/>
                  <w:vMerge w:val="continue"/>
                  <w:tcBorders>
                    <w:left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Merge w:val="continue"/>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4</w:t>
                  </w:r>
                </w:p>
              </w:tc>
              <w:tc>
                <w:tcPr>
                  <w:tcW w:w="134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压缩机</w:t>
                  </w:r>
                </w:p>
              </w:tc>
              <w:tc>
                <w:tcPr>
                  <w:tcW w:w="1203" w:type="pct"/>
                  <w:vMerge w:val="continue"/>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p>
              </w:tc>
              <w:tc>
                <w:tcPr>
                  <w:tcW w:w="1422" w:type="pct"/>
                  <w:vMerge w:val="continue"/>
                  <w:tcBorders>
                    <w:left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14" w:type="pct"/>
                  <w:vMerge w:val="continue"/>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5</w:t>
                  </w:r>
                </w:p>
              </w:tc>
              <w:tc>
                <w:tcPr>
                  <w:tcW w:w="134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混凝土输送泵</w:t>
                  </w:r>
                </w:p>
              </w:tc>
              <w:tc>
                <w:tcPr>
                  <w:tcW w:w="1203" w:type="pct"/>
                  <w:vMerge w:val="continue"/>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p>
              </w:tc>
              <w:tc>
                <w:tcPr>
                  <w:tcW w:w="1422" w:type="pct"/>
                  <w:vMerge w:val="continue"/>
                  <w:tcBorders>
                    <w:left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4" w:type="pct"/>
                  <w:vMerge w:val="continue"/>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6</w:t>
                  </w:r>
                </w:p>
              </w:tc>
              <w:tc>
                <w:tcPr>
                  <w:tcW w:w="134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振捣器</w:t>
                  </w:r>
                </w:p>
              </w:tc>
              <w:tc>
                <w:tcPr>
                  <w:tcW w:w="1203" w:type="pct"/>
                  <w:vMerge w:val="continue"/>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p>
              </w:tc>
              <w:tc>
                <w:tcPr>
                  <w:tcW w:w="1422" w:type="pct"/>
                  <w:vMerge w:val="continue"/>
                  <w:tcBorders>
                    <w:left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Merge w:val="continue"/>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7</w:t>
                  </w:r>
                </w:p>
              </w:tc>
              <w:tc>
                <w:tcPr>
                  <w:tcW w:w="134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电锯</w:t>
                  </w:r>
                </w:p>
              </w:tc>
              <w:tc>
                <w:tcPr>
                  <w:tcW w:w="1203" w:type="pct"/>
                  <w:vMerge w:val="continue"/>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p>
              </w:tc>
              <w:tc>
                <w:tcPr>
                  <w:tcW w:w="1422" w:type="pct"/>
                  <w:vMerge w:val="continue"/>
                  <w:tcBorders>
                    <w:left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Merge w:val="continue"/>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8</w:t>
                  </w:r>
                </w:p>
              </w:tc>
              <w:tc>
                <w:tcPr>
                  <w:tcW w:w="134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电焊机</w:t>
                  </w:r>
                </w:p>
              </w:tc>
              <w:tc>
                <w:tcPr>
                  <w:tcW w:w="1203" w:type="pct"/>
                  <w:vMerge w:val="continue"/>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p>
              </w:tc>
              <w:tc>
                <w:tcPr>
                  <w:tcW w:w="1422" w:type="pct"/>
                  <w:vMerge w:val="continue"/>
                  <w:tcBorders>
                    <w:left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Merge w:val="continue"/>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9</w:t>
                  </w:r>
                </w:p>
              </w:tc>
              <w:tc>
                <w:tcPr>
                  <w:tcW w:w="134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电钻</w:t>
                  </w:r>
                </w:p>
              </w:tc>
              <w:tc>
                <w:tcPr>
                  <w:tcW w:w="1203" w:type="pct"/>
                  <w:vMerge w:val="continue"/>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p>
              </w:tc>
              <w:tc>
                <w:tcPr>
                  <w:tcW w:w="1422" w:type="pct"/>
                  <w:vMerge w:val="continue"/>
                  <w:tcBorders>
                    <w:left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4" w:type="pct"/>
                  <w:vMerge w:val="continue"/>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10</w:t>
                  </w:r>
                </w:p>
              </w:tc>
              <w:tc>
                <w:tcPr>
                  <w:tcW w:w="134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电锤</w:t>
                  </w:r>
                </w:p>
              </w:tc>
              <w:tc>
                <w:tcPr>
                  <w:tcW w:w="1203" w:type="pct"/>
                  <w:vMerge w:val="continue"/>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p>
              </w:tc>
              <w:tc>
                <w:tcPr>
                  <w:tcW w:w="1422" w:type="pct"/>
                  <w:vMerge w:val="continue"/>
                  <w:tcBorders>
                    <w:left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Merge w:val="continue"/>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11</w:t>
                  </w:r>
                </w:p>
              </w:tc>
              <w:tc>
                <w:tcPr>
                  <w:tcW w:w="134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手工钻</w:t>
                  </w:r>
                </w:p>
              </w:tc>
              <w:tc>
                <w:tcPr>
                  <w:tcW w:w="1203" w:type="pct"/>
                  <w:vMerge w:val="continue"/>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p>
              </w:tc>
              <w:tc>
                <w:tcPr>
                  <w:tcW w:w="1422" w:type="pct"/>
                  <w:vMerge w:val="continue"/>
                  <w:tcBorders>
                    <w:left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4" w:type="pct"/>
                  <w:vMerge w:val="continue"/>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12</w:t>
                  </w:r>
                </w:p>
              </w:tc>
              <w:tc>
                <w:tcPr>
                  <w:tcW w:w="134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无齿锯</w:t>
                  </w:r>
                </w:p>
              </w:tc>
              <w:tc>
                <w:tcPr>
                  <w:tcW w:w="1203" w:type="pct"/>
                  <w:vMerge w:val="continue"/>
                  <w:tcBorders>
                    <w:left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p>
              </w:tc>
              <w:tc>
                <w:tcPr>
                  <w:tcW w:w="1422" w:type="pct"/>
                  <w:vMerge w:val="continue"/>
                  <w:tcBorders>
                    <w:left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4" w:type="pct"/>
                  <w:vMerge w:val="continue"/>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13</w:t>
                  </w:r>
                </w:p>
              </w:tc>
              <w:tc>
                <w:tcPr>
                  <w:tcW w:w="134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多功能木工刨</w:t>
                  </w:r>
                </w:p>
              </w:tc>
              <w:tc>
                <w:tcPr>
                  <w:tcW w:w="1203" w:type="pct"/>
                  <w:vMerge w:val="continue"/>
                  <w:tcBorders>
                    <w:left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p>
              </w:tc>
              <w:tc>
                <w:tcPr>
                  <w:tcW w:w="1422" w:type="pct"/>
                  <w:vMerge w:val="continue"/>
                  <w:tcBorders>
                    <w:left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Merge w:val="continue"/>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14</w:t>
                  </w:r>
                </w:p>
              </w:tc>
              <w:tc>
                <w:tcPr>
                  <w:tcW w:w="134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轮式装载机</w:t>
                  </w:r>
                </w:p>
              </w:tc>
              <w:tc>
                <w:tcPr>
                  <w:tcW w:w="1203" w:type="pct"/>
                  <w:vMerge w:val="continue"/>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p>
              </w:tc>
              <w:tc>
                <w:tcPr>
                  <w:tcW w:w="1422" w:type="pct"/>
                  <w:vMerge w:val="continue"/>
                  <w:tcBorders>
                    <w:left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Merge w:val="continue"/>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15</w:t>
                  </w:r>
                </w:p>
              </w:tc>
              <w:tc>
                <w:tcPr>
                  <w:tcW w:w="134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平地机</w:t>
                  </w:r>
                </w:p>
              </w:tc>
              <w:tc>
                <w:tcPr>
                  <w:tcW w:w="1203" w:type="pct"/>
                  <w:vMerge w:val="continue"/>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p>
              </w:tc>
              <w:tc>
                <w:tcPr>
                  <w:tcW w:w="1422" w:type="pct"/>
                  <w:vMerge w:val="continue"/>
                  <w:tcBorders>
                    <w:left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Merge w:val="continue"/>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16</w:t>
                  </w:r>
                </w:p>
              </w:tc>
              <w:tc>
                <w:tcPr>
                  <w:tcW w:w="134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振动式压路机</w:t>
                  </w:r>
                </w:p>
              </w:tc>
              <w:tc>
                <w:tcPr>
                  <w:tcW w:w="1203" w:type="pct"/>
                  <w:vMerge w:val="continue"/>
                  <w:tcBorders>
                    <w:left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p>
              </w:tc>
              <w:tc>
                <w:tcPr>
                  <w:tcW w:w="1422" w:type="pct"/>
                  <w:vMerge w:val="continue"/>
                  <w:tcBorders>
                    <w:left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Merge w:val="continue"/>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17</w:t>
                  </w:r>
                </w:p>
              </w:tc>
              <w:tc>
                <w:tcPr>
                  <w:tcW w:w="134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双轮双针压路机</w:t>
                  </w:r>
                </w:p>
              </w:tc>
              <w:tc>
                <w:tcPr>
                  <w:tcW w:w="1203" w:type="pct"/>
                  <w:vMerge w:val="continue"/>
                  <w:tcBorders>
                    <w:left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p>
              </w:tc>
              <w:tc>
                <w:tcPr>
                  <w:tcW w:w="1422" w:type="pct"/>
                  <w:vMerge w:val="continue"/>
                  <w:tcBorders>
                    <w:left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Merge w:val="continue"/>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18</w:t>
                  </w:r>
                </w:p>
              </w:tc>
              <w:tc>
                <w:tcPr>
                  <w:tcW w:w="134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轮胎压路机</w:t>
                  </w:r>
                </w:p>
              </w:tc>
              <w:tc>
                <w:tcPr>
                  <w:tcW w:w="1203" w:type="pct"/>
                  <w:vMerge w:val="continue"/>
                  <w:tcBorders>
                    <w:left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p>
              </w:tc>
              <w:tc>
                <w:tcPr>
                  <w:tcW w:w="1422" w:type="pct"/>
                  <w:vMerge w:val="continue"/>
                  <w:tcBorders>
                    <w:left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Merge w:val="continue"/>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19</w:t>
                  </w:r>
                </w:p>
              </w:tc>
              <w:tc>
                <w:tcPr>
                  <w:tcW w:w="134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轮式液压挖掘机</w:t>
                  </w:r>
                </w:p>
              </w:tc>
              <w:tc>
                <w:tcPr>
                  <w:tcW w:w="1203" w:type="pct"/>
                  <w:vMerge w:val="continue"/>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p>
              </w:tc>
              <w:tc>
                <w:tcPr>
                  <w:tcW w:w="1422" w:type="pct"/>
                  <w:vMerge w:val="continue"/>
                  <w:tcBorders>
                    <w:left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Merge w:val="continue"/>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20</w:t>
                  </w:r>
                </w:p>
              </w:tc>
              <w:tc>
                <w:tcPr>
                  <w:tcW w:w="134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推铺机</w:t>
                  </w:r>
                </w:p>
              </w:tc>
              <w:tc>
                <w:tcPr>
                  <w:tcW w:w="1203" w:type="pct"/>
                  <w:vMerge w:val="continue"/>
                  <w:tcBorders>
                    <w:left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p>
              </w:tc>
              <w:tc>
                <w:tcPr>
                  <w:tcW w:w="1422" w:type="pct"/>
                  <w:vMerge w:val="continue"/>
                  <w:tcBorders>
                    <w:left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4" w:type="pct"/>
                  <w:vMerge w:val="continue"/>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21</w:t>
                  </w:r>
                </w:p>
              </w:tc>
              <w:tc>
                <w:tcPr>
                  <w:tcW w:w="134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发电机组</w:t>
                  </w:r>
                </w:p>
              </w:tc>
              <w:tc>
                <w:tcPr>
                  <w:tcW w:w="1203"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p>
              </w:tc>
              <w:tc>
                <w:tcPr>
                  <w:tcW w:w="1422"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color w:val="000000" w:themeColor="text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tcBorders>
                    <w:left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
                      <w14:textFill>
                        <w14:solidFill>
                          <w14:schemeClr w14:val="tx1"/>
                        </w14:solidFill>
                      </w14:textFill>
                    </w:rPr>
                    <w:t>运营期</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
                      <w14:textFill>
                        <w14:solidFill>
                          <w14:schemeClr w14:val="tx1"/>
                        </w14:solidFill>
                      </w14:textFill>
                    </w:rPr>
                    <w:t>1</w:t>
                  </w:r>
                </w:p>
              </w:tc>
              <w:tc>
                <w:tcPr>
                  <w:tcW w:w="134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adjustRightInd w:val="0"/>
                    <w:snapToGrid w:val="0"/>
                    <w:spacing w:before="0" w:beforeAutospacing="0" w:after="0" w:afterAutospacing="0" w:line="240" w:lineRule="auto"/>
                    <w:ind w:left="0" w:leftChars="0" w:right="0"/>
                    <w:jc w:val="cente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cs="宋体"/>
                      <w:color w:val="000000" w:themeColor="text1"/>
                      <w:kern w:val="2"/>
                      <w:sz w:val="21"/>
                      <w:szCs w:val="21"/>
                      <w:highlight w:val="none"/>
                      <w:lang w:val="en-US" w:eastAsia="zh-CN" w:bidi="ar"/>
                      <w14:textFill>
                        <w14:solidFill>
                          <w14:schemeClr w14:val="tx1"/>
                        </w14:solidFill>
                      </w14:textFill>
                    </w:rPr>
                    <w:t>潜污泵</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规模：150m</w:t>
                  </w:r>
                  <w:r>
                    <w:rPr>
                      <w:rFonts w:hint="eastAsia" w:ascii="Times New Roman" w:hAnsi="Times New Roman" w:eastAsia="宋体" w:cs="宋体"/>
                      <w:color w:val="000000" w:themeColor="text1"/>
                      <w:kern w:val="2"/>
                      <w:sz w:val="21"/>
                      <w:szCs w:val="21"/>
                      <w:highlight w:val="none"/>
                      <w:vertAlign w:val="superscript"/>
                      <w:lang w:val="en-US" w:eastAsia="zh-CN" w:bidi="ar"/>
                      <w14:textFill>
                        <w14:solidFill>
                          <w14:schemeClr w14:val="tx1"/>
                        </w14:solidFill>
                      </w14:textFill>
                    </w:rPr>
                    <w:t>3</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/h</w:t>
                  </w:r>
                </w:p>
              </w:tc>
              <w:tc>
                <w:tcPr>
                  <w:tcW w:w="142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eastAsia" w:cs="Times New Roman"/>
                      <w:color w:val="000000" w:themeColor="text1"/>
                      <w:kern w:val="2"/>
                      <w:sz w:val="21"/>
                      <w:szCs w:val="21"/>
                      <w:highlight w:val="none"/>
                      <w:lang w:val="en-US" w:eastAsia="zh-CN" w:bidi="ar"/>
                      <w14:textFill>
                        <w14:solidFill>
                          <w14:schemeClr w14:val="tx1"/>
                        </w14:solidFill>
                      </w14:textFill>
                    </w:rPr>
                    <w:t>3套（两用一备）</w:t>
                  </w:r>
                </w:p>
              </w:tc>
            </w:tr>
          </w:tbl>
          <w:p>
            <w:pPr>
              <w:keepNext w:val="0"/>
              <w:keepLines w:val="0"/>
              <w:suppressLineNumbers w:val="0"/>
              <w:spacing w:before="0" w:beforeAutospacing="0" w:after="0" w:afterAutospacing="0"/>
              <w:ind w:left="0" w:right="0" w:firstLine="422" w:firstLineChars="200"/>
              <w:jc w:val="center"/>
              <w:rPr>
                <w:b/>
                <w:color w:val="000000" w:themeColor="text1"/>
                <w:szCs w:val="21"/>
                <w:highlight w:val="none"/>
                <w14:textFill>
                  <w14:solidFill>
                    <w14:schemeClr w14:val="tx1"/>
                  </w14:solidFill>
                </w14:textFill>
              </w:rPr>
            </w:pPr>
          </w:p>
          <w:p>
            <w:pPr>
              <w:pStyle w:val="32"/>
              <w:keepNext w:val="0"/>
              <w:keepLines w:val="0"/>
              <w:suppressLineNumbers w:val="0"/>
              <w:spacing w:before="0" w:beforeAutospacing="0" w:after="0" w:afterAutospacing="0" w:line="360" w:lineRule="auto"/>
              <w:ind w:left="0" w:right="0"/>
              <w:rPr>
                <w:rFonts w:ascii="Times New Roman" w:hAnsi="Times New Roman" w:eastAsia="宋体"/>
                <w:color w:val="000000" w:themeColor="text1"/>
                <w:kern w:val="2"/>
                <w:highlight w:val="none"/>
                <w14:textFill>
                  <w14:solidFill>
                    <w14:schemeClr w14:val="tx1"/>
                  </w14:solidFill>
                </w14:textFill>
              </w:rPr>
            </w:pPr>
            <w:r>
              <w:rPr>
                <w:b/>
                <w:color w:val="000000" w:themeColor="text1"/>
                <w:kern w:val="2"/>
                <w:sz w:val="24"/>
                <w:szCs w:val="22"/>
                <w:highlight w:val="none"/>
                <w14:textFill>
                  <w14:solidFill>
                    <w14:schemeClr w14:val="tx1"/>
                  </w14:solidFill>
                </w14:textFill>
              </w:rPr>
              <w:t>（</w:t>
            </w:r>
            <w:r>
              <w:rPr>
                <w:rFonts w:hint="eastAsia"/>
                <w:b/>
                <w:color w:val="000000" w:themeColor="text1"/>
                <w:kern w:val="2"/>
                <w:sz w:val="24"/>
                <w:szCs w:val="22"/>
                <w:highlight w:val="none"/>
                <w14:textFill>
                  <w14:solidFill>
                    <w14:schemeClr w14:val="tx1"/>
                  </w14:solidFill>
                </w14:textFill>
              </w:rPr>
              <w:t>七</w:t>
            </w:r>
            <w:r>
              <w:rPr>
                <w:b/>
                <w:color w:val="000000" w:themeColor="text1"/>
                <w:kern w:val="2"/>
                <w:sz w:val="24"/>
                <w:szCs w:val="22"/>
                <w:highlight w:val="none"/>
                <w14:textFill>
                  <w14:solidFill>
                    <w14:schemeClr w14:val="tx1"/>
                  </w14:solidFill>
                </w14:textFill>
              </w:rPr>
              <w:t>）</w:t>
            </w:r>
            <w:r>
              <w:rPr>
                <w:rFonts w:ascii="Times New Roman" w:hAnsi="Times New Roman" w:eastAsia="宋体"/>
                <w:b/>
                <w:bCs/>
                <w:color w:val="000000" w:themeColor="text1"/>
                <w:kern w:val="2"/>
                <w:sz w:val="28"/>
                <w:szCs w:val="28"/>
                <w:highlight w:val="none"/>
                <w14:textFill>
                  <w14:solidFill>
                    <w14:schemeClr w14:val="tx1"/>
                  </w14:solidFill>
                </w14:textFill>
              </w:rPr>
              <w:t>公用工程</w:t>
            </w:r>
          </w:p>
          <w:p>
            <w:pPr>
              <w:keepNext w:val="0"/>
              <w:keepLines w:val="0"/>
              <w:suppressLineNumbers w:val="0"/>
              <w:spacing w:before="0" w:beforeAutospacing="0" w:after="0" w:afterAutospacing="0" w:line="360" w:lineRule="auto"/>
              <w:ind w:left="0" w:right="0" w:firstLine="482" w:firstLineChars="200"/>
              <w:rPr>
                <w:rFonts w:ascii="Times New Roman" w:hAnsi="Times New Roman"/>
                <w:b/>
                <w:bCs/>
                <w:color w:val="000000" w:themeColor="text1"/>
                <w:sz w:val="24"/>
                <w:highlight w:val="none"/>
                <w14:textFill>
                  <w14:solidFill>
                    <w14:schemeClr w14:val="tx1"/>
                  </w14:solidFill>
                </w14:textFill>
              </w:rPr>
            </w:pPr>
            <w:r>
              <w:rPr>
                <w:rFonts w:ascii="Times New Roman" w:hAnsi="Times New Roman"/>
                <w:b/>
                <w:bCs/>
                <w:color w:val="000000" w:themeColor="text1"/>
                <w:sz w:val="24"/>
                <w:highlight w:val="none"/>
                <w14:textFill>
                  <w14:solidFill>
                    <w14:schemeClr w14:val="tx1"/>
                  </w14:solidFill>
                </w14:textFill>
              </w:rPr>
              <w:t>1、给水</w:t>
            </w:r>
          </w:p>
          <w:p>
            <w:pPr>
              <w:keepNext w:val="0"/>
              <w:keepLines w:val="0"/>
              <w:suppressLineNumbers w:val="0"/>
              <w:spacing w:before="0" w:beforeAutospacing="0" w:after="0" w:afterAutospacing="0" w:line="360" w:lineRule="auto"/>
              <w:ind w:left="0" w:right="0" w:firstLine="480" w:firstLineChars="2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本项目水源由市政给水管网供给，不涉及地下水的使用，项目施工及运营对地下水影响较小。</w:t>
            </w:r>
          </w:p>
          <w:p>
            <w:pPr>
              <w:keepNext w:val="0"/>
              <w:keepLines w:val="0"/>
              <w:suppressLineNumbers w:val="0"/>
              <w:spacing w:before="0" w:beforeAutospacing="0" w:after="0" w:afterAutospacing="0" w:line="360" w:lineRule="auto"/>
              <w:ind w:left="0" w:right="0" w:firstLine="482" w:firstLineChars="200"/>
              <w:rPr>
                <w:rFonts w:ascii="Times New Roman" w:hAnsi="Times New Roman"/>
                <w:b/>
                <w:color w:val="000000" w:themeColor="text1"/>
                <w:sz w:val="24"/>
                <w:highlight w:val="none"/>
                <w14:textFill>
                  <w14:solidFill>
                    <w14:schemeClr w14:val="tx1"/>
                  </w14:solidFill>
                </w14:textFill>
              </w:rPr>
            </w:pPr>
            <w:r>
              <w:rPr>
                <w:rFonts w:ascii="Times New Roman" w:hAnsi="Times New Roman"/>
                <w:b/>
                <w:bCs/>
                <w:color w:val="000000" w:themeColor="text1"/>
                <w:sz w:val="24"/>
                <w:highlight w:val="none"/>
                <w14:textFill>
                  <w14:solidFill>
                    <w14:schemeClr w14:val="tx1"/>
                  </w14:solidFill>
                </w14:textFill>
              </w:rPr>
              <w:t>2、排水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bCs/>
                <w:color w:val="000000" w:themeColor="text1"/>
                <w:sz w:val="24"/>
                <w:highlight w:val="none"/>
                <w:lang w:val="en-US" w:eastAsia="zh-CN"/>
                <w14:textFill>
                  <w14:solidFill>
                    <w14:schemeClr w14:val="tx1"/>
                  </w14:solidFill>
                </w14:textFill>
              </w:rPr>
            </w:pPr>
            <w:r>
              <w:rPr>
                <w:rFonts w:ascii="Times New Roman" w:hAnsi="Times New Roman"/>
                <w:bCs/>
                <w:color w:val="000000" w:themeColor="text1"/>
                <w:sz w:val="24"/>
                <w:highlight w:val="none"/>
                <w14:textFill>
                  <w14:solidFill>
                    <w14:schemeClr w14:val="tx1"/>
                  </w14:solidFill>
                </w14:textFill>
              </w:rPr>
              <w:t>施工人员生活污水依托租用民房。</w:t>
            </w:r>
            <w:r>
              <w:rPr>
                <w:rFonts w:hint="eastAsia" w:ascii="Times New Roman" w:hAnsi="Times New Roman"/>
                <w:bCs/>
                <w:color w:val="000000" w:themeColor="text1"/>
                <w:sz w:val="24"/>
                <w:highlight w:val="none"/>
                <w:lang w:val="en-US" w:eastAsia="zh-CN"/>
                <w14:textFill>
                  <w14:solidFill>
                    <w14:schemeClr w14:val="tx1"/>
                  </w14:solidFill>
                </w14:textFill>
              </w:rPr>
              <w:t>临时施工场地内设置沉淀池，初期雨水收集沉淀后用于场内洒水除尘。</w:t>
            </w:r>
          </w:p>
          <w:p>
            <w:pPr>
              <w:keepNext w:val="0"/>
              <w:keepLines w:val="0"/>
              <w:suppressLineNumbers w:val="0"/>
              <w:spacing w:before="0" w:beforeAutospacing="0" w:after="0" w:afterAutospacing="0" w:line="360" w:lineRule="auto"/>
              <w:ind w:left="0" w:right="0" w:firstLine="482" w:firstLineChars="200"/>
              <w:rPr>
                <w:rFonts w:ascii="Times New Roman" w:hAnsi="Times New Roman"/>
                <w:color w:val="000000" w:themeColor="text1"/>
                <w:sz w:val="24"/>
                <w:highlight w:val="none"/>
                <w14:textFill>
                  <w14:solidFill>
                    <w14:schemeClr w14:val="tx1"/>
                  </w14:solidFill>
                </w14:textFill>
              </w:rPr>
            </w:pPr>
            <w:r>
              <w:rPr>
                <w:rFonts w:ascii="Times New Roman" w:hAnsi="Times New Roman"/>
                <w:b/>
                <w:bCs/>
                <w:color w:val="000000" w:themeColor="text1"/>
                <w:sz w:val="24"/>
                <w:highlight w:val="none"/>
                <w14:textFill>
                  <w14:solidFill>
                    <w14:schemeClr w14:val="tx1"/>
                  </w14:solidFill>
                </w14:textFill>
              </w:rPr>
              <w:t>3、供电</w:t>
            </w:r>
          </w:p>
          <w:p>
            <w:pPr>
              <w:keepNext w:val="0"/>
              <w:keepLines w:val="0"/>
              <w:suppressLineNumbers w:val="0"/>
              <w:spacing w:before="0" w:beforeAutospacing="0" w:after="0" w:afterAutospacing="0" w:line="360" w:lineRule="auto"/>
              <w:ind w:left="0" w:right="0" w:firstLine="480" w:firstLineChars="200"/>
              <w:rPr>
                <w:rFonts w:ascii="Times New Roman" w:hAnsi="Times New Roman"/>
                <w:bCs/>
                <w:color w:val="000000" w:themeColor="text1"/>
                <w:sz w:val="24"/>
                <w:highlight w:val="none"/>
                <w14:textFill>
                  <w14:solidFill>
                    <w14:schemeClr w14:val="tx1"/>
                  </w14:solidFill>
                </w14:textFill>
              </w:rPr>
            </w:pPr>
            <w:r>
              <w:rPr>
                <w:rFonts w:ascii="Times New Roman" w:hAnsi="Times New Roman"/>
                <w:bCs/>
                <w:color w:val="000000" w:themeColor="text1"/>
                <w:sz w:val="24"/>
                <w:highlight w:val="none"/>
                <w14:textFill>
                  <w14:solidFill>
                    <w14:schemeClr w14:val="tx1"/>
                  </w14:solidFill>
                </w14:textFill>
              </w:rPr>
              <w:t>由城市电网电源供电，不设置柴油发电机。</w:t>
            </w:r>
          </w:p>
          <w:p>
            <w:pPr>
              <w:keepNext w:val="0"/>
              <w:keepLines w:val="0"/>
              <w:widowControl/>
              <w:suppressLineNumbers w:val="0"/>
              <w:spacing w:before="0" w:beforeAutospacing="0" w:after="0" w:afterAutospacing="0" w:line="360" w:lineRule="auto"/>
              <w:ind w:left="0" w:right="0"/>
              <w:rPr>
                <w:b/>
                <w:color w:val="000000" w:themeColor="text1"/>
                <w:sz w:val="24"/>
                <w:szCs w:val="22"/>
                <w:highlight w:val="none"/>
                <w14:textFill>
                  <w14:solidFill>
                    <w14:schemeClr w14:val="tx1"/>
                  </w14:solidFill>
                </w14:textFill>
              </w:rPr>
            </w:pPr>
            <w:r>
              <w:rPr>
                <w:rFonts w:hint="eastAsia"/>
                <w:b/>
                <w:color w:val="000000" w:themeColor="text1"/>
                <w:sz w:val="24"/>
                <w:szCs w:val="22"/>
                <w:highlight w:val="none"/>
                <w:lang w:eastAsia="zh-CN"/>
                <w14:textFill>
                  <w14:solidFill>
                    <w14:schemeClr w14:val="tx1"/>
                  </w14:solidFill>
                </w14:textFill>
              </w:rPr>
              <w:t>（</w:t>
            </w:r>
            <w:r>
              <w:rPr>
                <w:rFonts w:hint="eastAsia"/>
                <w:b/>
                <w:color w:val="000000" w:themeColor="text1"/>
                <w:sz w:val="24"/>
                <w:szCs w:val="22"/>
                <w:highlight w:val="none"/>
                <w:lang w:val="en-US" w:eastAsia="zh-CN"/>
                <w14:textFill>
                  <w14:solidFill>
                    <w14:schemeClr w14:val="tx1"/>
                  </w14:solidFill>
                </w14:textFill>
              </w:rPr>
              <w:t>八）</w:t>
            </w:r>
            <w:r>
              <w:rPr>
                <w:b/>
                <w:color w:val="000000" w:themeColor="text1"/>
                <w:sz w:val="24"/>
                <w:szCs w:val="22"/>
                <w:highlight w:val="none"/>
                <w14:textFill>
                  <w14:solidFill>
                    <w14:schemeClr w14:val="tx1"/>
                  </w14:solidFill>
                </w14:textFill>
              </w:rPr>
              <w:t>工程占地及拆迁安置</w:t>
            </w:r>
          </w:p>
          <w:p>
            <w:pPr>
              <w:keepNext w:val="0"/>
              <w:keepLines w:val="0"/>
              <w:suppressLineNumbers w:val="0"/>
              <w:spacing w:before="0" w:beforeAutospacing="0" w:after="0" w:afterAutospacing="0" w:line="360" w:lineRule="auto"/>
              <w:ind w:left="0" w:right="0" w:firstLine="480" w:firstLineChars="200"/>
              <w:rPr>
                <w:color w:val="000000" w:themeColor="text1"/>
                <w:sz w:val="24"/>
                <w:szCs w:val="22"/>
                <w:highlight w:val="none"/>
                <w14:textFill>
                  <w14:solidFill>
                    <w14:schemeClr w14:val="tx1"/>
                  </w14:solidFill>
                </w14:textFill>
              </w:rPr>
            </w:pPr>
            <w:r>
              <w:rPr>
                <w:rFonts w:hint="eastAsia"/>
                <w:color w:val="000000" w:themeColor="text1"/>
                <w:sz w:val="24"/>
                <w:szCs w:val="22"/>
                <w:highlight w:val="none"/>
                <w14:textFill>
                  <w14:solidFill>
                    <w14:schemeClr w14:val="tx1"/>
                  </w14:solidFill>
                </w14:textFill>
              </w:rPr>
              <w:t>本项目</w:t>
            </w:r>
            <w:r>
              <w:rPr>
                <w:rFonts w:hint="eastAsia"/>
                <w:color w:val="000000" w:themeColor="text1"/>
                <w:sz w:val="24"/>
                <w:szCs w:val="22"/>
                <w:highlight w:val="none"/>
                <w:lang w:val="en-US" w:eastAsia="zh-CN"/>
                <w14:textFill>
                  <w14:solidFill>
                    <w14:schemeClr w14:val="tx1"/>
                  </w14:solidFill>
                </w14:textFill>
              </w:rPr>
              <w:t>为新建道路项目，拟建线路及</w:t>
            </w:r>
            <w:r>
              <w:rPr>
                <w:rFonts w:hint="eastAsia"/>
                <w:color w:val="000000" w:themeColor="text1"/>
                <w:sz w:val="24"/>
                <w:szCs w:val="22"/>
                <w:highlight w:val="none"/>
                <w14:textFill>
                  <w14:solidFill>
                    <w14:schemeClr w14:val="tx1"/>
                  </w14:solidFill>
                </w14:textFill>
              </w:rPr>
              <w:t>两侧</w:t>
            </w:r>
            <w:r>
              <w:rPr>
                <w:rFonts w:hint="eastAsia"/>
                <w:color w:val="000000" w:themeColor="text1"/>
                <w:sz w:val="24"/>
                <w:szCs w:val="22"/>
                <w:highlight w:val="none"/>
                <w:lang w:val="en-US" w:eastAsia="zh-CN"/>
                <w14:textFill>
                  <w14:solidFill>
                    <w14:schemeClr w14:val="tx1"/>
                  </w14:solidFill>
                </w14:textFill>
              </w:rPr>
              <w:t>存在</w:t>
            </w:r>
            <w:r>
              <w:rPr>
                <w:rFonts w:hint="eastAsia"/>
                <w:color w:val="000000" w:themeColor="text1"/>
                <w:sz w:val="24"/>
                <w:szCs w:val="22"/>
                <w:highlight w:val="none"/>
                <w14:textFill>
                  <w14:solidFill>
                    <w14:schemeClr w14:val="tx1"/>
                  </w14:solidFill>
                </w14:textFill>
              </w:rPr>
              <w:t>散户</w:t>
            </w:r>
            <w:r>
              <w:rPr>
                <w:rFonts w:hint="eastAsia"/>
                <w:b w:val="0"/>
                <w:bCs w:val="0"/>
                <w:color w:val="000000" w:themeColor="text1"/>
                <w:sz w:val="24"/>
                <w:szCs w:val="22"/>
                <w:highlight w:val="none"/>
                <w:lang w:val="en-US" w:eastAsia="zh-CN"/>
                <w14:textFill>
                  <w14:solidFill>
                    <w14:schemeClr w14:val="tx1"/>
                  </w14:solidFill>
                </w14:textFill>
              </w:rPr>
              <w:t>村民，</w:t>
            </w:r>
            <w:r>
              <w:rPr>
                <w:rFonts w:hint="eastAsia"/>
                <w:b w:val="0"/>
                <w:bCs w:val="0"/>
                <w:color w:val="000000" w:themeColor="text1"/>
                <w:sz w:val="24"/>
                <w:szCs w:val="22"/>
                <w:highlight w:val="none"/>
                <w14:textFill>
                  <w14:solidFill>
                    <w14:schemeClr w14:val="tx1"/>
                  </w14:solidFill>
                </w14:textFill>
              </w:rPr>
              <w:t>涉及</w:t>
            </w:r>
            <w:r>
              <w:rPr>
                <w:rFonts w:hint="eastAsia"/>
                <w:b w:val="0"/>
                <w:bCs w:val="0"/>
                <w:color w:val="000000" w:themeColor="text1"/>
                <w:sz w:val="24"/>
                <w:szCs w:val="22"/>
                <w:highlight w:val="none"/>
                <w:lang w:val="en-US" w:eastAsia="zh-CN"/>
                <w14:textFill>
                  <w14:solidFill>
                    <w14:schemeClr w14:val="tx1"/>
                  </w14:solidFill>
                </w14:textFill>
              </w:rPr>
              <w:t>征地拆迁安置工程，征地拆迁安置工作</w:t>
            </w:r>
            <w:r>
              <w:rPr>
                <w:rFonts w:hint="eastAsia"/>
                <w:b w:val="0"/>
                <w:bCs w:val="0"/>
                <w:color w:val="000000" w:themeColor="text1"/>
                <w:sz w:val="24"/>
                <w:szCs w:val="22"/>
                <w:highlight w:val="none"/>
                <w14:textFill>
                  <w14:solidFill>
                    <w14:schemeClr w14:val="tx1"/>
                  </w14:solidFill>
                </w14:textFill>
              </w:rPr>
              <w:t>由政府部门统一</w:t>
            </w:r>
            <w:r>
              <w:rPr>
                <w:rFonts w:hint="eastAsia"/>
                <w:b w:val="0"/>
                <w:bCs w:val="0"/>
                <w:color w:val="000000" w:themeColor="text1"/>
                <w:sz w:val="24"/>
                <w:szCs w:val="22"/>
                <w:highlight w:val="none"/>
                <w:lang w:val="en-US" w:eastAsia="zh-CN"/>
                <w14:textFill>
                  <w14:solidFill>
                    <w14:schemeClr w14:val="tx1"/>
                  </w14:solidFill>
                </w14:textFill>
              </w:rPr>
              <w:t>实施后交付净地给本项目建设</w:t>
            </w:r>
            <w:r>
              <w:rPr>
                <w:rFonts w:hint="eastAsia"/>
                <w:color w:val="000000" w:themeColor="text1"/>
                <w:sz w:val="24"/>
                <w:szCs w:val="22"/>
                <w:highlight w:val="none"/>
                <w:lang w:val="en-US" w:eastAsia="zh-CN"/>
                <w14:textFill>
                  <w14:solidFill>
                    <w14:schemeClr w14:val="tx1"/>
                  </w14:solidFill>
                </w14:textFill>
              </w:rPr>
              <w:t>单位</w:t>
            </w:r>
            <w:r>
              <w:rPr>
                <w:color w:val="000000" w:themeColor="text1"/>
                <w:sz w:val="24"/>
                <w:szCs w:val="22"/>
                <w:highlight w:val="none"/>
                <w14:textFill>
                  <w14:solidFill>
                    <w14:schemeClr w14:val="tx1"/>
                  </w14:solidFill>
                </w14:textFill>
              </w:rPr>
              <w:t>。</w:t>
            </w:r>
          </w:p>
          <w:p>
            <w:pPr>
              <w:keepNext w:val="0"/>
              <w:keepLines w:val="0"/>
              <w:widowControl/>
              <w:suppressLineNumbers w:val="0"/>
              <w:spacing w:before="0" w:beforeAutospacing="0" w:after="0" w:afterAutospacing="0" w:line="360" w:lineRule="auto"/>
              <w:ind w:left="0" w:right="0"/>
              <w:rPr>
                <w:rFonts w:hint="default" w:eastAsia="宋体"/>
                <w:b/>
                <w:color w:val="000000" w:themeColor="text1"/>
                <w:sz w:val="24"/>
                <w:highlight w:val="none"/>
                <w:lang w:val="en-US" w:eastAsia="zh-CN"/>
                <w14:textFill>
                  <w14:solidFill>
                    <w14:schemeClr w14:val="tx1"/>
                  </w14:solidFill>
                </w14:textFill>
              </w:rPr>
            </w:pPr>
            <w:r>
              <w:rPr>
                <w:rFonts w:hint="eastAsia"/>
                <w:b/>
                <w:color w:val="000000" w:themeColor="text1"/>
                <w:sz w:val="24"/>
                <w:szCs w:val="22"/>
                <w:highlight w:val="none"/>
                <w14:textFill>
                  <w14:solidFill>
                    <w14:schemeClr w14:val="tx1"/>
                  </w14:solidFill>
                </w14:textFill>
              </w:rPr>
              <w:t>（</w:t>
            </w:r>
            <w:r>
              <w:rPr>
                <w:rFonts w:hint="eastAsia"/>
                <w:b/>
                <w:color w:val="000000" w:themeColor="text1"/>
                <w:sz w:val="24"/>
                <w:szCs w:val="22"/>
                <w:highlight w:val="none"/>
                <w:lang w:val="en-US" w:eastAsia="zh-CN"/>
                <w14:textFill>
                  <w14:solidFill>
                    <w14:schemeClr w14:val="tx1"/>
                  </w14:solidFill>
                </w14:textFill>
              </w:rPr>
              <w:t>九</w:t>
            </w:r>
            <w:r>
              <w:rPr>
                <w:rFonts w:hint="eastAsia"/>
                <w:b/>
                <w:color w:val="000000" w:themeColor="text1"/>
                <w:sz w:val="24"/>
                <w:szCs w:val="22"/>
                <w:highlight w:val="none"/>
                <w14:textFill>
                  <w14:solidFill>
                    <w14:schemeClr w14:val="tx1"/>
                  </w14:solidFill>
                </w14:textFill>
              </w:rPr>
              <w:t>）</w:t>
            </w:r>
            <w:r>
              <w:rPr>
                <w:rFonts w:hint="eastAsia"/>
                <w:b/>
                <w:color w:val="000000" w:themeColor="text1"/>
                <w:sz w:val="24"/>
                <w:highlight w:val="none"/>
                <w:lang w:val="en-US" w:eastAsia="zh-CN"/>
                <w14:textFill>
                  <w14:solidFill>
                    <w14:schemeClr w14:val="tx1"/>
                  </w14:solidFill>
                </w14:textFill>
              </w:rPr>
              <w:t>工程占地</w:t>
            </w:r>
          </w:p>
          <w:p>
            <w:pPr>
              <w:keepNext w:val="0"/>
              <w:keepLines w:val="0"/>
              <w:suppressLineNumbers w:val="0"/>
              <w:spacing w:before="0" w:beforeAutospacing="0" w:after="0" w:afterAutospacing="0" w:line="360" w:lineRule="auto"/>
              <w:ind w:left="0" w:right="0" w:firstLine="480" w:firstLineChars="200"/>
              <w:rPr>
                <w:rFonts w:ascii="Times New Roman" w:hAnsi="Times New Roman"/>
                <w:color w:val="000000" w:themeColor="text1"/>
                <w:sz w:val="24"/>
                <w:highlight w:val="none"/>
                <w14:textFill>
                  <w14:solidFill>
                    <w14:schemeClr w14:val="tx1"/>
                  </w14:solidFill>
                </w14:textFill>
              </w:rPr>
            </w:pPr>
            <w:r>
              <w:rPr>
                <w:rFonts w:ascii="Times New Roman" w:hAnsi="Times New Roman"/>
                <w:bCs/>
                <w:color w:val="000000" w:themeColor="text1"/>
                <w:sz w:val="24"/>
                <w:highlight w:val="none"/>
                <w14:textFill>
                  <w14:solidFill>
                    <w14:schemeClr w14:val="tx1"/>
                  </w14:solidFill>
                </w14:textFill>
              </w:rPr>
              <w:t>本项目工程占地面积</w:t>
            </w:r>
            <w:r>
              <w:rPr>
                <w:rFonts w:hint="eastAsia" w:ascii="Times New Roman" w:hAnsi="Times New Roman"/>
                <w:bCs/>
                <w:color w:val="000000" w:themeColor="text1"/>
                <w:sz w:val="24"/>
                <w:highlight w:val="none"/>
                <w14:textFill>
                  <w14:solidFill>
                    <w14:schemeClr w14:val="tx1"/>
                  </w14:solidFill>
                </w14:textFill>
              </w:rPr>
              <w:t>4.4228公顷</w:t>
            </w:r>
            <w:r>
              <w:rPr>
                <w:rFonts w:ascii="Times New Roman" w:hAnsi="Times New Roman"/>
                <w:bCs/>
                <w:color w:val="000000" w:themeColor="text1"/>
                <w:sz w:val="24"/>
                <w:highlight w:val="none"/>
                <w14:textFill>
                  <w14:solidFill>
                    <w14:schemeClr w14:val="tx1"/>
                  </w14:solidFill>
                </w14:textFill>
              </w:rPr>
              <w:t>，</w:t>
            </w:r>
            <w:r>
              <w:rPr>
                <w:rFonts w:hint="eastAsia" w:ascii="Times New Roman" w:hAnsi="Times New Roman"/>
                <w:bCs/>
                <w:color w:val="000000" w:themeColor="text1"/>
                <w:sz w:val="24"/>
                <w:highlight w:val="none"/>
                <w14:textFill>
                  <w14:solidFill>
                    <w14:schemeClr w14:val="tx1"/>
                  </w14:solidFill>
                </w14:textFill>
              </w:rPr>
              <w:t>均为</w:t>
            </w:r>
            <w:r>
              <w:rPr>
                <w:rFonts w:ascii="Times New Roman" w:hAnsi="Times New Roman"/>
                <w:bCs/>
                <w:color w:val="000000" w:themeColor="text1"/>
                <w:sz w:val="24"/>
                <w:highlight w:val="none"/>
                <w14:textFill>
                  <w14:solidFill>
                    <w14:schemeClr w14:val="tx1"/>
                  </w14:solidFill>
                </w14:textFill>
              </w:rPr>
              <w:t>永久占地，</w:t>
            </w:r>
            <w:r>
              <w:rPr>
                <w:rFonts w:hint="eastAsia" w:ascii="Times New Roman" w:hAnsi="Times New Roman"/>
                <w:bCs/>
                <w:color w:val="000000" w:themeColor="text1"/>
                <w:sz w:val="24"/>
                <w:highlight w:val="none"/>
                <w14:textFill>
                  <w14:solidFill>
                    <w14:schemeClr w14:val="tx1"/>
                  </w14:solidFill>
                </w14:textFill>
              </w:rPr>
              <w:t>无</w:t>
            </w:r>
            <w:r>
              <w:rPr>
                <w:rFonts w:ascii="Times New Roman" w:hAnsi="Times New Roman"/>
                <w:bCs/>
                <w:color w:val="000000" w:themeColor="text1"/>
                <w:sz w:val="24"/>
                <w:highlight w:val="none"/>
                <w14:textFill>
                  <w14:solidFill>
                    <w14:schemeClr w14:val="tx1"/>
                  </w14:solidFill>
                </w14:textFill>
              </w:rPr>
              <w:t>新增</w:t>
            </w:r>
            <w:r>
              <w:rPr>
                <w:rFonts w:hint="eastAsia"/>
                <w:bCs/>
                <w:color w:val="000000" w:themeColor="text1"/>
                <w:sz w:val="24"/>
                <w:highlight w:val="none"/>
                <w:u w:val="none"/>
                <w:lang w:val="en-US" w:eastAsia="zh-CN"/>
                <w14:textFill>
                  <w14:solidFill>
                    <w14:schemeClr w14:val="tx1"/>
                  </w14:solidFill>
                </w14:textFill>
              </w:rPr>
              <w:t>临时</w:t>
            </w:r>
            <w:r>
              <w:rPr>
                <w:rFonts w:ascii="Times New Roman" w:hAnsi="Times New Roman"/>
                <w:bCs/>
                <w:color w:val="000000" w:themeColor="text1"/>
                <w:sz w:val="24"/>
                <w:highlight w:val="none"/>
                <w14:textFill>
                  <w14:solidFill>
                    <w14:schemeClr w14:val="tx1"/>
                  </w14:solidFill>
                </w14:textFill>
              </w:rPr>
              <w:t>占地。</w:t>
            </w:r>
            <w:r>
              <w:rPr>
                <w:rFonts w:ascii="Times New Roman" w:hAnsi="Times New Roman"/>
                <w:color w:val="000000" w:themeColor="text1"/>
                <w:sz w:val="24"/>
                <w:highlight w:val="none"/>
                <w14:textFill>
                  <w14:solidFill>
                    <w14:schemeClr w14:val="tx1"/>
                  </w14:solidFill>
                </w14:textFill>
              </w:rPr>
              <w:t>根据</w:t>
            </w:r>
            <w:r>
              <w:rPr>
                <w:rFonts w:hint="eastAsia" w:ascii="Times New Roman" w:hAnsi="Times New Roman"/>
                <w:color w:val="000000" w:themeColor="text1"/>
                <w:sz w:val="24"/>
                <w:highlight w:val="none"/>
                <w:lang w:val="en-US" w:eastAsia="zh-CN"/>
                <w14:textFill>
                  <w14:solidFill>
                    <w14:schemeClr w14:val="tx1"/>
                  </w14:solidFill>
                </w14:textFill>
              </w:rPr>
              <w:t>达州市通川区自然资源局</w:t>
            </w:r>
            <w:r>
              <w:rPr>
                <w:rFonts w:hint="eastAsia"/>
                <w:color w:val="000000" w:themeColor="text1"/>
                <w:sz w:val="24"/>
                <w:highlight w:val="none"/>
                <w:lang w:val="en-US" w:eastAsia="zh-CN"/>
                <w14:textFill>
                  <w14:solidFill>
                    <w14:schemeClr w14:val="tx1"/>
                  </w14:solidFill>
                </w14:textFill>
              </w:rPr>
              <w:t>《</w:t>
            </w:r>
            <w:r>
              <w:rPr>
                <w:rFonts w:hint="eastAsia" w:ascii="Times New Roman" w:hAnsi="Times New Roman"/>
                <w:color w:val="000000" w:themeColor="text1"/>
                <w:sz w:val="24"/>
                <w:highlight w:val="none"/>
                <w:lang w:val="en-US" w:eastAsia="zh-CN"/>
                <w14:textFill>
                  <w14:solidFill>
                    <w14:schemeClr w14:val="tx1"/>
                  </w14:solidFill>
                </w14:textFill>
              </w:rPr>
              <w:t>关于金南大道西延线四期项目建设用地预审与规划选址初审意见的报告</w:t>
            </w:r>
            <w:r>
              <w:rPr>
                <w:rFonts w:hint="eastAsia"/>
                <w:color w:val="000000" w:themeColor="text1"/>
                <w:sz w:val="24"/>
                <w:highlight w:val="none"/>
                <w:lang w:val="en-US" w:eastAsia="zh-CN"/>
                <w14:textFill>
                  <w14:solidFill>
                    <w14:schemeClr w14:val="tx1"/>
                  </w14:solidFill>
                </w14:textFill>
              </w:rPr>
              <w:t>》（达市通自然资[2023]628号）</w:t>
            </w:r>
            <w:r>
              <w:rPr>
                <w:rFonts w:ascii="Times New Roman" w:hAnsi="Times New Roman"/>
                <w:color w:val="000000" w:themeColor="text1"/>
                <w:sz w:val="24"/>
                <w:highlight w:val="none"/>
                <w14:textFill>
                  <w14:solidFill>
                    <w14:schemeClr w14:val="tx1"/>
                  </w14:solidFill>
                </w14:textFill>
              </w:rPr>
              <w:t>，本项目占地已规划为交通运输用地，项目现状占地类型</w:t>
            </w:r>
            <w:r>
              <w:rPr>
                <w:rFonts w:hint="eastAsia" w:ascii="Times New Roman" w:hAnsi="Times New Roman"/>
                <w:color w:val="000000" w:themeColor="text1"/>
                <w:sz w:val="24"/>
                <w:highlight w:val="none"/>
                <w:lang w:val="en-US" w:eastAsia="zh-CN"/>
                <w14:textFill>
                  <w14:solidFill>
                    <w14:schemeClr w14:val="tx1"/>
                  </w14:solidFill>
                </w14:textFill>
              </w:rPr>
              <w:t>为耕地（不含</w:t>
            </w:r>
            <w:r>
              <w:rPr>
                <w:rFonts w:hint="eastAsia"/>
                <w:bCs/>
                <w:color w:val="000000" w:themeColor="text1"/>
                <w:sz w:val="24"/>
                <w:highlight w:val="none"/>
                <w14:textFill>
                  <w14:solidFill>
                    <w14:schemeClr w14:val="tx1"/>
                  </w14:solidFill>
                </w14:textFill>
              </w:rPr>
              <w:t>永久基本农田</w:t>
            </w:r>
            <w:r>
              <w:rPr>
                <w:rFonts w:hint="eastAsia" w:ascii="Times New Roman" w:hAnsi="Times New Roman"/>
                <w:color w:val="000000" w:themeColor="text1"/>
                <w:sz w:val="24"/>
                <w:highlight w:val="none"/>
                <w:lang w:val="en-US" w:eastAsia="zh-CN"/>
                <w14:textFill>
                  <w14:solidFill>
                    <w14:schemeClr w14:val="tx1"/>
                  </w14:solidFill>
                </w14:textFill>
              </w:rPr>
              <w:t>）、建设用地和未利用地</w:t>
            </w:r>
            <w:r>
              <w:rPr>
                <w:rFonts w:ascii="Times New Roman" w:hAnsi="Times New Roman"/>
                <w:color w:val="000000" w:themeColor="text1"/>
                <w:sz w:val="24"/>
                <w:highlight w:val="none"/>
                <w14:textFill>
                  <w14:solidFill>
                    <w14:schemeClr w14:val="tx1"/>
                  </w14:solidFill>
                </w14:textFill>
              </w:rPr>
              <w:t>。</w:t>
            </w:r>
          </w:p>
          <w:p>
            <w:pPr>
              <w:pStyle w:val="106"/>
              <w:keepNext w:val="0"/>
              <w:keepLines w:val="0"/>
              <w:suppressLineNumbers w:val="0"/>
              <w:spacing w:before="0" w:beforeAutospacing="0" w:after="0" w:afterAutospacing="0"/>
              <w:ind w:left="0" w:right="0"/>
              <w:rPr>
                <w:rFonts w:ascii="Times New Roman" w:hAnsi="Times New Roman"/>
                <w:color w:val="000000" w:themeColor="text1"/>
                <w:highlight w:val="none"/>
                <w:lang w:val="en-US" w:eastAsia="zh-CN"/>
                <w14:textFill>
                  <w14:solidFill>
                    <w14:schemeClr w14:val="tx1"/>
                  </w14:solidFill>
                </w14:textFill>
              </w:rPr>
            </w:pPr>
            <w:r>
              <w:rPr>
                <w:rFonts w:ascii="Times New Roman" w:hAnsi="Times New Roman"/>
                <w:color w:val="000000" w:themeColor="text1"/>
                <w:highlight w:val="none"/>
                <w:lang w:val="en-US" w:eastAsia="zh-CN"/>
                <w14:textFill>
                  <w14:solidFill>
                    <w14:schemeClr w14:val="tx1"/>
                  </w14:solidFill>
                </w14:textFill>
              </w:rPr>
              <w:t>具体占地情况见下表。</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表2-12  工程占地情况表（hm</w:t>
            </w:r>
            <w:r>
              <w:rPr>
                <w:rFonts w:hint="eastAsia" w:ascii="黑体" w:hAnsi="黑体" w:eastAsia="黑体" w:cs="黑体"/>
                <w:color w:val="000000" w:themeColor="text1"/>
                <w:kern w:val="0"/>
                <w:sz w:val="24"/>
                <w:szCs w:val="24"/>
                <w:highlight w:val="none"/>
                <w:vertAlign w:val="superscript"/>
                <w:lang w:val="en-US" w:eastAsia="zh-CN" w:bidi="ar"/>
                <w14:textFill>
                  <w14:solidFill>
                    <w14:schemeClr w14:val="tx1"/>
                  </w14:solidFill>
                </w14:textFill>
              </w:rPr>
              <w:t>2</w:t>
            </w: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091"/>
              <w:gridCol w:w="1743"/>
              <w:gridCol w:w="1054"/>
              <w:gridCol w:w="1658"/>
              <w:gridCol w:w="1313"/>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7" w:type="pct"/>
                  <w:vMerge w:val="restart"/>
                  <w:noWrap w:val="0"/>
                  <w:vAlign w:val="center"/>
                </w:tcPr>
                <w:p>
                  <w:pPr>
                    <w:keepNext w:val="0"/>
                    <w:keepLines w:val="0"/>
                    <w:widowControl/>
                    <w:suppressLineNumbers w:val="0"/>
                    <w:spacing w:before="0" w:beforeAutospacing="0" w:after="0" w:afterAutospacing="0"/>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序号</w:t>
                  </w:r>
                </w:p>
              </w:tc>
              <w:tc>
                <w:tcPr>
                  <w:tcW w:w="1595" w:type="pct"/>
                  <w:gridSpan w:val="2"/>
                  <w:vMerge w:val="restart"/>
                  <w:noWrap w:val="0"/>
                  <w:vAlign w:val="center"/>
                </w:tcPr>
                <w:p>
                  <w:pPr>
                    <w:keepNext w:val="0"/>
                    <w:keepLines w:val="0"/>
                    <w:widowControl/>
                    <w:suppressLineNumbers w:val="0"/>
                    <w:spacing w:before="0" w:beforeAutospacing="0" w:after="0" w:afterAutospacing="0"/>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项目</w:t>
                  </w:r>
                </w:p>
              </w:tc>
              <w:tc>
                <w:tcPr>
                  <w:tcW w:w="593" w:type="pct"/>
                  <w:vMerge w:val="restart"/>
                  <w:noWrap w:val="0"/>
                  <w:vAlign w:val="center"/>
                </w:tcPr>
                <w:p>
                  <w:pPr>
                    <w:keepNext w:val="0"/>
                    <w:keepLines w:val="0"/>
                    <w:widowControl/>
                    <w:suppressLineNumbers w:val="0"/>
                    <w:spacing w:before="0" w:beforeAutospacing="0" w:after="0" w:afterAutospacing="0"/>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合计</w:t>
                  </w:r>
                </w:p>
              </w:tc>
              <w:tc>
                <w:tcPr>
                  <w:tcW w:w="2413" w:type="pct"/>
                  <w:gridSpan w:val="3"/>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b/>
                      <w:bCs/>
                      <w:color w:val="000000" w:themeColor="text1"/>
                      <w:kern w:val="0"/>
                      <w:szCs w:val="21"/>
                      <w:highlight w:val="none"/>
                      <w:lang w:val="en-US" w:eastAsia="zh-CN"/>
                      <w14:textFill>
                        <w14:solidFill>
                          <w14:schemeClr w14:val="tx1"/>
                        </w14:solidFill>
                      </w14:textFill>
                    </w:rPr>
                  </w:pPr>
                  <w:r>
                    <w:rPr>
                      <w:rFonts w:hint="eastAsia" w:ascii="Times New Roman" w:hAnsi="Times New Roman"/>
                      <w:b/>
                      <w:bCs/>
                      <w:color w:val="000000" w:themeColor="text1"/>
                      <w:kern w:val="0"/>
                      <w:szCs w:val="21"/>
                      <w:highlight w:val="none"/>
                      <w:lang w:val="en-US" w:eastAsia="zh-CN"/>
                      <w14:textFill>
                        <w14:solidFill>
                          <w14:schemeClr w14:val="tx1"/>
                        </w14:solidFill>
                      </w14:textFill>
                    </w:rPr>
                    <w:t>用地现状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97" w:type="pct"/>
                  <w:vMerge w:val="continue"/>
                  <w:noWrap w:val="0"/>
                  <w:vAlign w:val="center"/>
                </w:tcPr>
                <w:p>
                  <w:pPr>
                    <w:keepNext w:val="0"/>
                    <w:keepLines w:val="0"/>
                    <w:widowControl/>
                    <w:suppressLineNumbers w:val="0"/>
                    <w:spacing w:before="0" w:beforeAutospacing="0" w:after="0" w:afterAutospacing="0"/>
                    <w:ind w:left="0" w:right="0"/>
                    <w:jc w:val="left"/>
                    <w:rPr>
                      <w:rFonts w:ascii="Times New Roman" w:hAnsi="Times New Roman"/>
                      <w:color w:val="000000" w:themeColor="text1"/>
                      <w:kern w:val="0"/>
                      <w:szCs w:val="21"/>
                      <w:highlight w:val="none"/>
                      <w14:textFill>
                        <w14:solidFill>
                          <w14:schemeClr w14:val="tx1"/>
                        </w14:solidFill>
                      </w14:textFill>
                    </w:rPr>
                  </w:pPr>
                </w:p>
              </w:tc>
              <w:tc>
                <w:tcPr>
                  <w:tcW w:w="1595" w:type="pct"/>
                  <w:gridSpan w:val="2"/>
                  <w:vMerge w:val="continue"/>
                  <w:noWrap w:val="0"/>
                  <w:vAlign w:val="center"/>
                </w:tcPr>
                <w:p>
                  <w:pPr>
                    <w:keepNext w:val="0"/>
                    <w:keepLines w:val="0"/>
                    <w:widowControl/>
                    <w:suppressLineNumbers w:val="0"/>
                    <w:spacing w:before="0" w:beforeAutospacing="0" w:after="0" w:afterAutospacing="0"/>
                    <w:ind w:left="0" w:right="0"/>
                    <w:jc w:val="left"/>
                    <w:rPr>
                      <w:rFonts w:ascii="Times New Roman" w:hAnsi="Times New Roman"/>
                      <w:color w:val="000000" w:themeColor="text1"/>
                      <w:kern w:val="0"/>
                      <w:szCs w:val="21"/>
                      <w:highlight w:val="none"/>
                      <w14:textFill>
                        <w14:solidFill>
                          <w14:schemeClr w14:val="tx1"/>
                        </w14:solidFill>
                      </w14:textFill>
                    </w:rPr>
                  </w:pPr>
                </w:p>
              </w:tc>
              <w:tc>
                <w:tcPr>
                  <w:tcW w:w="593" w:type="pct"/>
                  <w:vMerge w:val="continue"/>
                  <w:noWrap w:val="0"/>
                  <w:vAlign w:val="center"/>
                </w:tcPr>
                <w:p>
                  <w:pPr>
                    <w:keepNext w:val="0"/>
                    <w:keepLines w:val="0"/>
                    <w:widowControl/>
                    <w:suppressLineNumbers w:val="0"/>
                    <w:spacing w:before="0" w:beforeAutospacing="0" w:after="0" w:afterAutospacing="0"/>
                    <w:ind w:left="0" w:right="0"/>
                    <w:jc w:val="center"/>
                    <w:rPr>
                      <w:rFonts w:ascii="Times New Roman" w:hAnsi="Times New Roman"/>
                      <w:color w:val="000000" w:themeColor="text1"/>
                      <w:kern w:val="0"/>
                      <w:szCs w:val="21"/>
                      <w:highlight w:val="none"/>
                      <w14:textFill>
                        <w14:solidFill>
                          <w14:schemeClr w14:val="tx1"/>
                        </w14:solidFill>
                      </w14:textFill>
                    </w:rPr>
                  </w:pPr>
                </w:p>
              </w:tc>
              <w:tc>
                <w:tcPr>
                  <w:tcW w:w="933" w:type="pct"/>
                  <w:noWrap w:val="0"/>
                  <w:vAlign w:val="center"/>
                </w:tcPr>
                <w:p>
                  <w:pPr>
                    <w:keepNext w:val="0"/>
                    <w:keepLines w:val="0"/>
                    <w:widowControl/>
                    <w:suppressLineNumbers w:val="0"/>
                    <w:spacing w:before="0" w:beforeAutospacing="0" w:after="0" w:afterAutospacing="0"/>
                    <w:ind w:left="0" w:right="0"/>
                    <w:jc w:val="center"/>
                    <w:rPr>
                      <w:rFonts w:ascii="Times New Roman" w:hAnsi="Times New Roman"/>
                      <w:color w:val="000000" w:themeColor="text1"/>
                      <w:kern w:val="0"/>
                      <w:szCs w:val="21"/>
                      <w:highlight w:val="none"/>
                      <w14:textFill>
                        <w14:solidFill>
                          <w14:schemeClr w14:val="tx1"/>
                        </w14:solidFill>
                      </w14:textFill>
                    </w:rPr>
                  </w:pPr>
                  <w:r>
                    <w:rPr>
                      <w:rFonts w:hint="eastAsia" w:ascii="Times New Roman" w:hAnsi="Times New Roman"/>
                      <w:color w:val="000000" w:themeColor="text1"/>
                      <w:kern w:val="0"/>
                      <w:szCs w:val="21"/>
                      <w:highlight w:val="none"/>
                      <w14:textFill>
                        <w14:solidFill>
                          <w14:schemeClr w14:val="tx1"/>
                        </w14:solidFill>
                      </w14:textFill>
                    </w:rPr>
                    <w:t>耕地（不含永久基本农田）</w:t>
                  </w:r>
                </w:p>
              </w:tc>
              <w:tc>
                <w:tcPr>
                  <w:tcW w:w="739" w:type="pct"/>
                  <w:noWrap w:val="0"/>
                  <w:vAlign w:val="center"/>
                </w:tcPr>
                <w:p>
                  <w:pPr>
                    <w:keepNext w:val="0"/>
                    <w:keepLines w:val="0"/>
                    <w:widowControl/>
                    <w:suppressLineNumbers w:val="0"/>
                    <w:spacing w:before="0" w:beforeAutospacing="0" w:after="0" w:afterAutospacing="0"/>
                    <w:ind w:left="0" w:right="0"/>
                    <w:jc w:val="center"/>
                    <w:rPr>
                      <w:rFonts w:ascii="Times New Roman" w:hAnsi="Times New Roman"/>
                      <w:color w:val="000000" w:themeColor="text1"/>
                      <w:kern w:val="0"/>
                      <w:szCs w:val="21"/>
                      <w:highlight w:val="none"/>
                      <w14:textFill>
                        <w14:solidFill>
                          <w14:schemeClr w14:val="tx1"/>
                        </w14:solidFill>
                      </w14:textFill>
                    </w:rPr>
                  </w:pPr>
                  <w:r>
                    <w:rPr>
                      <w:rFonts w:hint="eastAsia" w:ascii="Times New Roman" w:hAnsi="Times New Roman"/>
                      <w:color w:val="000000" w:themeColor="text1"/>
                      <w:kern w:val="0"/>
                      <w:szCs w:val="21"/>
                      <w:highlight w:val="none"/>
                      <w14:textFill>
                        <w14:solidFill>
                          <w14:schemeClr w14:val="tx1"/>
                        </w14:solidFill>
                      </w14:textFill>
                    </w:rPr>
                    <w:t>建设用地</w:t>
                  </w:r>
                </w:p>
              </w:tc>
              <w:tc>
                <w:tcPr>
                  <w:tcW w:w="740" w:type="pct"/>
                  <w:noWrap w:val="0"/>
                  <w:vAlign w:val="center"/>
                </w:tcPr>
                <w:p>
                  <w:pPr>
                    <w:keepNext w:val="0"/>
                    <w:keepLines w:val="0"/>
                    <w:widowControl/>
                    <w:suppressLineNumbers w:val="0"/>
                    <w:spacing w:before="0" w:beforeAutospacing="0" w:after="0" w:afterAutospacing="0"/>
                    <w:ind w:left="0" w:right="0"/>
                    <w:jc w:val="center"/>
                    <w:rPr>
                      <w:rFonts w:ascii="Times New Roman" w:hAnsi="Times New Roman"/>
                      <w:color w:val="000000" w:themeColor="text1"/>
                      <w:kern w:val="0"/>
                      <w:szCs w:val="21"/>
                      <w:highlight w:val="none"/>
                      <w14:textFill>
                        <w14:solidFill>
                          <w14:schemeClr w14:val="tx1"/>
                        </w14:solidFill>
                      </w14:textFill>
                    </w:rPr>
                  </w:pPr>
                  <w:r>
                    <w:rPr>
                      <w:rFonts w:hint="eastAsia" w:ascii="Times New Roman" w:hAnsi="Times New Roman"/>
                      <w:color w:val="000000" w:themeColor="text1"/>
                      <w:kern w:val="0"/>
                      <w:szCs w:val="21"/>
                      <w:highlight w:val="none"/>
                      <w14:textFill>
                        <w14:solidFill>
                          <w14:schemeClr w14:val="tx1"/>
                        </w14:solidFill>
                      </w14:textFill>
                    </w:rPr>
                    <w:t>未利用地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7" w:type="pct"/>
                  <w:noWrap w:val="0"/>
                  <w:vAlign w:val="center"/>
                </w:tcPr>
                <w:p>
                  <w:pPr>
                    <w:keepNext w:val="0"/>
                    <w:keepLines w:val="0"/>
                    <w:widowControl/>
                    <w:suppressLineNumbers w:val="0"/>
                    <w:spacing w:before="0" w:beforeAutospacing="0" w:after="0" w:afterAutospacing="0"/>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1</w:t>
                  </w:r>
                </w:p>
              </w:tc>
              <w:tc>
                <w:tcPr>
                  <w:tcW w:w="614" w:type="pct"/>
                  <w:noWrap w:val="0"/>
                  <w:vAlign w:val="center"/>
                </w:tcPr>
                <w:p>
                  <w:pPr>
                    <w:keepNext w:val="0"/>
                    <w:keepLines w:val="0"/>
                    <w:widowControl/>
                    <w:suppressLineNumbers w:val="0"/>
                    <w:spacing w:before="0" w:beforeAutospacing="0" w:after="0" w:afterAutospacing="0"/>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永久占地区</w:t>
                  </w:r>
                </w:p>
              </w:tc>
              <w:tc>
                <w:tcPr>
                  <w:tcW w:w="981" w:type="pct"/>
                  <w:noWrap w:val="0"/>
                  <w:vAlign w:val="center"/>
                </w:tcPr>
                <w:p>
                  <w:pPr>
                    <w:keepNext w:val="0"/>
                    <w:keepLines w:val="0"/>
                    <w:widowControl/>
                    <w:suppressLineNumbers w:val="0"/>
                    <w:spacing w:before="0" w:beforeAutospacing="0" w:after="0" w:afterAutospacing="0"/>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路基路面工程区</w:t>
                  </w:r>
                </w:p>
              </w:tc>
              <w:tc>
                <w:tcPr>
                  <w:tcW w:w="1009"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4.4226</w:t>
                  </w:r>
                </w:p>
              </w:tc>
              <w:tc>
                <w:tcPr>
                  <w:tcW w:w="933" w:type="pct"/>
                  <w:noWrap w:val="0"/>
                  <w:vAlign w:val="center"/>
                </w:tcPr>
                <w:p>
                  <w:pPr>
                    <w:keepNext w:val="0"/>
                    <w:keepLines w:val="0"/>
                    <w:widowControl/>
                    <w:suppressLineNumbers w:val="0"/>
                    <w:spacing w:before="0" w:beforeAutospacing="0" w:after="0" w:afterAutospacing="0"/>
                    <w:ind w:left="0" w:right="0"/>
                    <w:jc w:val="center"/>
                    <w:rPr>
                      <w:rFonts w:ascii="Times New Roman" w:hAnsi="Times New Roman"/>
                      <w:color w:val="000000" w:themeColor="text1"/>
                      <w:kern w:val="0"/>
                      <w:szCs w:val="21"/>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3.0413</w:t>
                  </w:r>
                </w:p>
              </w:tc>
              <w:tc>
                <w:tcPr>
                  <w:tcW w:w="739" w:type="pct"/>
                  <w:noWrap w:val="0"/>
                  <w:vAlign w:val="center"/>
                </w:tcPr>
                <w:p>
                  <w:pPr>
                    <w:keepNext w:val="0"/>
                    <w:keepLines w:val="0"/>
                    <w:widowControl/>
                    <w:suppressLineNumbers w:val="0"/>
                    <w:spacing w:before="0" w:beforeAutospacing="0" w:after="0" w:afterAutospacing="0"/>
                    <w:ind w:left="0" w:right="0"/>
                    <w:jc w:val="center"/>
                    <w:rPr>
                      <w:rFonts w:ascii="Times New Roman" w:hAnsi="Times New Roman"/>
                      <w:color w:val="000000" w:themeColor="text1"/>
                      <w:kern w:val="0"/>
                      <w:szCs w:val="21"/>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1.3109</w:t>
                  </w:r>
                </w:p>
              </w:tc>
              <w:tc>
                <w:tcPr>
                  <w:tcW w:w="740"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olor w:val="000000" w:themeColor="text1"/>
                      <w:kern w:val="0"/>
                      <w:szCs w:val="21"/>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0.0704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7" w:type="pct"/>
                  <w:vMerge w:val="restart"/>
                  <w:noWrap w:val="0"/>
                  <w:vAlign w:val="center"/>
                </w:tcPr>
                <w:p>
                  <w:pPr>
                    <w:keepNext w:val="0"/>
                    <w:keepLines w:val="0"/>
                    <w:widowControl/>
                    <w:suppressLineNumbers w:val="0"/>
                    <w:spacing w:before="0" w:beforeAutospacing="0" w:after="0" w:afterAutospacing="0"/>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2</w:t>
                  </w:r>
                </w:p>
              </w:tc>
              <w:tc>
                <w:tcPr>
                  <w:tcW w:w="614" w:type="pct"/>
                  <w:vMerge w:val="restart"/>
                  <w:noWrap w:val="0"/>
                  <w:vAlign w:val="center"/>
                </w:tcPr>
                <w:p>
                  <w:pPr>
                    <w:keepNext w:val="0"/>
                    <w:keepLines w:val="0"/>
                    <w:widowControl/>
                    <w:suppressLineNumbers w:val="0"/>
                    <w:spacing w:before="0" w:beforeAutospacing="0" w:after="0" w:afterAutospacing="0"/>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临时占地区</w:t>
                  </w:r>
                </w:p>
              </w:tc>
              <w:tc>
                <w:tcPr>
                  <w:tcW w:w="98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临时施工便道</w:t>
                  </w:r>
                </w:p>
              </w:tc>
              <w:tc>
                <w:tcPr>
                  <w:tcW w:w="1009"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0.8</w:t>
                  </w:r>
                </w:p>
              </w:tc>
              <w:tc>
                <w:tcPr>
                  <w:tcW w:w="9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0.6</w:t>
                  </w:r>
                </w:p>
              </w:tc>
              <w:tc>
                <w:tcPr>
                  <w:tcW w:w="739"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0.1</w:t>
                  </w:r>
                </w:p>
              </w:tc>
              <w:tc>
                <w:tcPr>
                  <w:tcW w:w="74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7" w:type="pct"/>
                  <w:vMerge w:val="continue"/>
                  <w:noWrap w:val="0"/>
                  <w:vAlign w:val="center"/>
                </w:tcPr>
                <w:p>
                  <w:pPr>
                    <w:keepNext w:val="0"/>
                    <w:keepLines w:val="0"/>
                    <w:widowControl/>
                    <w:suppressLineNumbers w:val="0"/>
                    <w:spacing w:before="0" w:beforeAutospacing="0" w:after="0" w:afterAutospacing="0"/>
                    <w:ind w:left="0" w:right="0"/>
                    <w:jc w:val="center"/>
                    <w:rPr>
                      <w:rFonts w:ascii="Times New Roman" w:hAnsi="Times New Roman"/>
                      <w:color w:val="000000" w:themeColor="text1"/>
                      <w:kern w:val="0"/>
                      <w:szCs w:val="21"/>
                      <w:highlight w:val="none"/>
                      <w14:textFill>
                        <w14:solidFill>
                          <w14:schemeClr w14:val="tx1"/>
                        </w14:solidFill>
                      </w14:textFill>
                    </w:rPr>
                  </w:pPr>
                </w:p>
              </w:tc>
              <w:tc>
                <w:tcPr>
                  <w:tcW w:w="614" w:type="pct"/>
                  <w:vMerge w:val="continue"/>
                  <w:noWrap w:val="0"/>
                  <w:vAlign w:val="center"/>
                </w:tcPr>
                <w:p>
                  <w:pPr>
                    <w:keepNext w:val="0"/>
                    <w:keepLines w:val="0"/>
                    <w:widowControl/>
                    <w:suppressLineNumbers w:val="0"/>
                    <w:spacing w:before="0" w:beforeAutospacing="0" w:after="0" w:afterAutospacing="0"/>
                    <w:ind w:left="0" w:right="0"/>
                    <w:jc w:val="center"/>
                    <w:rPr>
                      <w:rFonts w:ascii="Times New Roman" w:hAnsi="Times New Roman"/>
                      <w:color w:val="000000" w:themeColor="text1"/>
                      <w:kern w:val="0"/>
                      <w:szCs w:val="21"/>
                      <w:highlight w:val="none"/>
                      <w14:textFill>
                        <w14:solidFill>
                          <w14:schemeClr w14:val="tx1"/>
                        </w14:solidFill>
                      </w14:textFill>
                    </w:rPr>
                  </w:pPr>
                </w:p>
              </w:tc>
              <w:tc>
                <w:tcPr>
                  <w:tcW w:w="167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临时</w:t>
                  </w:r>
                  <w:r>
                    <w:rPr>
                      <w:rFonts w:hint="eastAsia" w:ascii="Times New Roman" w:hAnsi="Times New Roman"/>
                      <w:color w:val="000000" w:themeColor="text1"/>
                      <w:kern w:val="0"/>
                      <w:szCs w:val="21"/>
                      <w:highlight w:val="none"/>
                      <w:lang w:val="en-US" w:eastAsia="zh-CN"/>
                      <w14:textFill>
                        <w14:solidFill>
                          <w14:schemeClr w14:val="tx1"/>
                        </w14:solidFill>
                      </w14:textFill>
                    </w:rPr>
                    <w:t>施工场地</w:t>
                  </w:r>
                </w:p>
              </w:tc>
              <w:tc>
                <w:tcPr>
                  <w:tcW w:w="100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0.1</w:t>
                  </w:r>
                </w:p>
              </w:tc>
              <w:tc>
                <w:tcPr>
                  <w:tcW w:w="933"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w:t>
                  </w:r>
                </w:p>
              </w:tc>
              <w:tc>
                <w:tcPr>
                  <w:tcW w:w="739"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0.1</w:t>
                  </w:r>
                </w:p>
              </w:tc>
              <w:tc>
                <w:tcPr>
                  <w:tcW w:w="740"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7" w:type="pct"/>
                  <w:vMerge w:val="continue"/>
                  <w:noWrap w:val="0"/>
                  <w:vAlign w:val="center"/>
                </w:tcPr>
                <w:p>
                  <w:pPr>
                    <w:keepNext w:val="0"/>
                    <w:keepLines w:val="0"/>
                    <w:widowControl/>
                    <w:suppressLineNumbers w:val="0"/>
                    <w:spacing w:before="0" w:beforeAutospacing="0" w:after="0" w:afterAutospacing="0"/>
                    <w:ind w:left="0" w:right="0"/>
                    <w:jc w:val="center"/>
                    <w:rPr>
                      <w:rFonts w:ascii="Times New Roman" w:hAnsi="Times New Roman"/>
                      <w:color w:val="000000" w:themeColor="text1"/>
                      <w:kern w:val="0"/>
                      <w:szCs w:val="21"/>
                      <w:highlight w:val="none"/>
                      <w14:textFill>
                        <w14:solidFill>
                          <w14:schemeClr w14:val="tx1"/>
                        </w14:solidFill>
                      </w14:textFill>
                    </w:rPr>
                  </w:pPr>
                </w:p>
              </w:tc>
              <w:tc>
                <w:tcPr>
                  <w:tcW w:w="614" w:type="pct"/>
                  <w:vMerge w:val="continue"/>
                  <w:noWrap w:val="0"/>
                  <w:vAlign w:val="center"/>
                </w:tcPr>
                <w:p>
                  <w:pPr>
                    <w:keepNext w:val="0"/>
                    <w:keepLines w:val="0"/>
                    <w:widowControl/>
                    <w:suppressLineNumbers w:val="0"/>
                    <w:spacing w:before="0" w:beforeAutospacing="0" w:after="0" w:afterAutospacing="0"/>
                    <w:ind w:left="0" w:right="0"/>
                    <w:jc w:val="center"/>
                    <w:rPr>
                      <w:rFonts w:ascii="Times New Roman" w:hAnsi="Times New Roman"/>
                      <w:color w:val="000000" w:themeColor="text1"/>
                      <w:kern w:val="0"/>
                      <w:szCs w:val="21"/>
                      <w:highlight w:val="none"/>
                      <w14:textFill>
                        <w14:solidFill>
                          <w14:schemeClr w14:val="tx1"/>
                        </w14:solidFill>
                      </w14:textFill>
                    </w:rPr>
                  </w:pPr>
                </w:p>
              </w:tc>
              <w:tc>
                <w:tcPr>
                  <w:tcW w:w="1670"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临时堆土场</w:t>
                  </w:r>
                </w:p>
              </w:tc>
              <w:tc>
                <w:tcPr>
                  <w:tcW w:w="100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0.05</w:t>
                  </w:r>
                </w:p>
              </w:tc>
              <w:tc>
                <w:tcPr>
                  <w:tcW w:w="933"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w:t>
                  </w:r>
                </w:p>
              </w:tc>
              <w:tc>
                <w:tcPr>
                  <w:tcW w:w="739"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0.05</w:t>
                  </w:r>
                </w:p>
              </w:tc>
              <w:tc>
                <w:tcPr>
                  <w:tcW w:w="740"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7" w:type="pct"/>
                  <w:vMerge w:val="continue"/>
                  <w:noWrap w:val="0"/>
                  <w:vAlign w:val="center"/>
                </w:tcPr>
                <w:p>
                  <w:pPr>
                    <w:keepNext w:val="0"/>
                    <w:keepLines w:val="0"/>
                    <w:widowControl/>
                    <w:suppressLineNumbers w:val="0"/>
                    <w:spacing w:before="0" w:beforeAutospacing="0" w:after="0" w:afterAutospacing="0"/>
                    <w:ind w:left="0" w:right="0"/>
                    <w:jc w:val="center"/>
                    <w:rPr>
                      <w:rFonts w:ascii="Times New Roman" w:hAnsi="Times New Roman"/>
                      <w:color w:val="000000" w:themeColor="text1"/>
                      <w:kern w:val="0"/>
                      <w:szCs w:val="21"/>
                      <w:highlight w:val="none"/>
                      <w14:textFill>
                        <w14:solidFill>
                          <w14:schemeClr w14:val="tx1"/>
                        </w14:solidFill>
                      </w14:textFill>
                    </w:rPr>
                  </w:pPr>
                </w:p>
              </w:tc>
              <w:tc>
                <w:tcPr>
                  <w:tcW w:w="614" w:type="pct"/>
                  <w:vMerge w:val="continue"/>
                  <w:noWrap w:val="0"/>
                  <w:vAlign w:val="center"/>
                </w:tcPr>
                <w:p>
                  <w:pPr>
                    <w:keepNext w:val="0"/>
                    <w:keepLines w:val="0"/>
                    <w:widowControl/>
                    <w:suppressLineNumbers w:val="0"/>
                    <w:spacing w:before="0" w:beforeAutospacing="0" w:after="0" w:afterAutospacing="0"/>
                    <w:ind w:left="0" w:right="0"/>
                    <w:jc w:val="center"/>
                    <w:rPr>
                      <w:rFonts w:ascii="Times New Roman" w:hAnsi="Times New Roman"/>
                      <w:color w:val="000000" w:themeColor="text1"/>
                      <w:kern w:val="0"/>
                      <w:szCs w:val="21"/>
                      <w:highlight w:val="none"/>
                      <w14:textFill>
                        <w14:solidFill>
                          <w14:schemeClr w14:val="tx1"/>
                        </w14:solidFill>
                      </w14:textFill>
                    </w:rPr>
                  </w:pPr>
                </w:p>
              </w:tc>
              <w:tc>
                <w:tcPr>
                  <w:tcW w:w="98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临时表土堆场</w:t>
                  </w:r>
                </w:p>
              </w:tc>
              <w:tc>
                <w:tcPr>
                  <w:tcW w:w="100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0.02</w:t>
                  </w:r>
                </w:p>
              </w:tc>
              <w:tc>
                <w:tcPr>
                  <w:tcW w:w="933"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w:t>
                  </w:r>
                </w:p>
              </w:tc>
              <w:tc>
                <w:tcPr>
                  <w:tcW w:w="739"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0.02</w:t>
                  </w:r>
                </w:p>
              </w:tc>
              <w:tc>
                <w:tcPr>
                  <w:tcW w:w="740"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7" w:type="pct"/>
                  <w:vMerge w:val="continue"/>
                  <w:noWrap w:val="0"/>
                  <w:vAlign w:val="center"/>
                </w:tcPr>
                <w:p>
                  <w:pPr>
                    <w:keepNext w:val="0"/>
                    <w:keepLines w:val="0"/>
                    <w:widowControl/>
                    <w:suppressLineNumbers w:val="0"/>
                    <w:spacing w:before="0" w:beforeAutospacing="0" w:after="0" w:afterAutospacing="0"/>
                    <w:ind w:left="0" w:right="0"/>
                    <w:jc w:val="left"/>
                    <w:rPr>
                      <w:rFonts w:ascii="Times New Roman" w:hAnsi="Times New Roman"/>
                      <w:color w:val="000000" w:themeColor="text1"/>
                      <w:kern w:val="0"/>
                      <w:szCs w:val="21"/>
                      <w:highlight w:val="none"/>
                      <w14:textFill>
                        <w14:solidFill>
                          <w14:schemeClr w14:val="tx1"/>
                        </w14:solidFill>
                      </w14:textFill>
                    </w:rPr>
                  </w:pPr>
                </w:p>
              </w:tc>
              <w:tc>
                <w:tcPr>
                  <w:tcW w:w="614" w:type="pct"/>
                  <w:vMerge w:val="continue"/>
                  <w:noWrap w:val="0"/>
                  <w:vAlign w:val="center"/>
                </w:tcPr>
                <w:p>
                  <w:pPr>
                    <w:keepNext w:val="0"/>
                    <w:keepLines w:val="0"/>
                    <w:widowControl/>
                    <w:suppressLineNumbers w:val="0"/>
                    <w:spacing w:before="0" w:beforeAutospacing="0" w:after="0" w:afterAutospacing="0"/>
                    <w:ind w:left="0" w:right="0"/>
                    <w:jc w:val="left"/>
                    <w:rPr>
                      <w:rFonts w:ascii="Times New Roman" w:hAnsi="Times New Roman"/>
                      <w:color w:val="000000" w:themeColor="text1"/>
                      <w:kern w:val="0"/>
                      <w:szCs w:val="21"/>
                      <w:highlight w:val="none"/>
                      <w14:textFill>
                        <w14:solidFill>
                          <w14:schemeClr w14:val="tx1"/>
                        </w14:solidFill>
                      </w14:textFill>
                    </w:rPr>
                  </w:pPr>
                </w:p>
              </w:tc>
              <w:tc>
                <w:tcPr>
                  <w:tcW w:w="981" w:type="pct"/>
                  <w:noWrap w:val="0"/>
                  <w:vAlign w:val="center"/>
                </w:tcPr>
                <w:p>
                  <w:pPr>
                    <w:keepNext w:val="0"/>
                    <w:keepLines w:val="0"/>
                    <w:widowControl/>
                    <w:suppressLineNumbers w:val="0"/>
                    <w:spacing w:before="0" w:beforeAutospacing="0" w:after="0" w:afterAutospacing="0"/>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小计</w:t>
                  </w:r>
                </w:p>
              </w:tc>
              <w:tc>
                <w:tcPr>
                  <w:tcW w:w="1009"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0</w:t>
                  </w:r>
                </w:p>
              </w:tc>
              <w:tc>
                <w:tcPr>
                  <w:tcW w:w="933"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w:t>
                  </w:r>
                </w:p>
              </w:tc>
              <w:tc>
                <w:tcPr>
                  <w:tcW w:w="739"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w:t>
                  </w:r>
                </w:p>
              </w:tc>
              <w:tc>
                <w:tcPr>
                  <w:tcW w:w="740"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97" w:type="pct"/>
                  <w:noWrap w:val="0"/>
                  <w:vAlign w:val="center"/>
                </w:tcPr>
                <w:p>
                  <w:pPr>
                    <w:keepNext w:val="0"/>
                    <w:keepLines w:val="0"/>
                    <w:widowControl/>
                    <w:suppressLineNumbers w:val="0"/>
                    <w:spacing w:before="0" w:beforeAutospacing="0" w:after="0" w:afterAutospacing="0"/>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3</w:t>
                  </w:r>
                </w:p>
              </w:tc>
              <w:tc>
                <w:tcPr>
                  <w:tcW w:w="1595" w:type="pct"/>
                  <w:gridSpan w:val="2"/>
                  <w:noWrap w:val="0"/>
                  <w:vAlign w:val="center"/>
                </w:tcPr>
                <w:p>
                  <w:pPr>
                    <w:keepNext w:val="0"/>
                    <w:keepLines w:val="0"/>
                    <w:widowControl/>
                    <w:suppressLineNumbers w:val="0"/>
                    <w:spacing w:before="0" w:beforeAutospacing="0" w:after="0" w:afterAutospacing="0"/>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合计</w:t>
                  </w:r>
                </w:p>
              </w:tc>
              <w:tc>
                <w:tcPr>
                  <w:tcW w:w="100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4.4226</w:t>
                  </w:r>
                </w:p>
              </w:tc>
              <w:tc>
                <w:tcPr>
                  <w:tcW w:w="1588"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3.6413</w:t>
                  </w:r>
                </w:p>
              </w:tc>
              <w:tc>
                <w:tcPr>
                  <w:tcW w:w="1258"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1.5809</w:t>
                  </w:r>
                </w:p>
              </w:tc>
              <w:tc>
                <w:tcPr>
                  <w:tcW w:w="1261"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0.1704</w:t>
                  </w:r>
                </w:p>
              </w:tc>
            </w:tr>
          </w:tbl>
          <w:p>
            <w:pPr>
              <w:keepNext w:val="0"/>
              <w:keepLines w:val="0"/>
              <w:widowControl/>
              <w:suppressLineNumbers w:val="0"/>
              <w:spacing w:before="0" w:beforeAutospacing="0" w:after="0" w:afterAutospacing="0" w:line="360" w:lineRule="auto"/>
              <w:ind w:left="0" w:right="0" w:firstLine="420" w:firstLineChars="200"/>
              <w:outlineLvl w:val="2"/>
              <w:rPr>
                <w:rFonts w:hint="eastAsia"/>
                <w:bCs/>
                <w:color w:val="000000" w:themeColor="text1"/>
                <w:sz w:val="24"/>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注：</w:t>
            </w:r>
            <w:r>
              <w:rPr>
                <w:rFonts w:ascii="Times New Roman" w:hAnsi="Times New Roman"/>
                <w:color w:val="000000" w:themeColor="text1"/>
                <w:kern w:val="0"/>
                <w:sz w:val="21"/>
                <w:szCs w:val="21"/>
                <w:highlight w:val="none"/>
                <w14:textFill>
                  <w14:solidFill>
                    <w14:schemeClr w14:val="tx1"/>
                  </w14:solidFill>
                </w14:textFill>
              </w:rPr>
              <w:t>施工临时</w:t>
            </w:r>
            <w:r>
              <w:rPr>
                <w:rFonts w:hint="eastAsia" w:ascii="Times New Roman" w:hAnsi="Times New Roman"/>
                <w:color w:val="000000" w:themeColor="text1"/>
                <w:kern w:val="0"/>
                <w:sz w:val="21"/>
                <w:szCs w:val="21"/>
                <w:highlight w:val="none"/>
                <w:lang w:val="en-US" w:eastAsia="zh-CN"/>
                <w14:textFill>
                  <w14:solidFill>
                    <w14:schemeClr w14:val="tx1"/>
                  </w14:solidFill>
                </w14:textFill>
              </w:rPr>
              <w:t>占地区</w:t>
            </w:r>
            <w:r>
              <w:rPr>
                <w:rFonts w:ascii="Times New Roman" w:hAnsi="Times New Roman"/>
                <w:color w:val="000000" w:themeColor="text1"/>
                <w:kern w:val="0"/>
                <w:sz w:val="21"/>
                <w:szCs w:val="21"/>
                <w:highlight w:val="none"/>
                <w14:textFill>
                  <w14:solidFill>
                    <w14:schemeClr w14:val="tx1"/>
                  </w14:solidFill>
                </w14:textFill>
              </w:rPr>
              <w:t>位于主体工程占地范围内，占地重叠不重复计列。</w:t>
            </w:r>
          </w:p>
          <w:p>
            <w:pPr>
              <w:keepNext w:val="0"/>
              <w:keepLines w:val="0"/>
              <w:widowControl/>
              <w:suppressLineNumbers w:val="0"/>
              <w:spacing w:before="0" w:beforeAutospacing="0" w:after="0" w:afterAutospacing="0" w:line="360" w:lineRule="auto"/>
              <w:ind w:left="0" w:right="0"/>
              <w:rPr>
                <w:rFonts w:hint="default" w:eastAsia="宋体"/>
                <w:b/>
                <w:color w:val="000000" w:themeColor="text1"/>
                <w:sz w:val="24"/>
                <w:highlight w:val="none"/>
                <w:lang w:val="en-US" w:eastAsia="zh-CN"/>
                <w14:textFill>
                  <w14:solidFill>
                    <w14:schemeClr w14:val="tx1"/>
                  </w14:solidFill>
                </w14:textFill>
              </w:rPr>
            </w:pPr>
            <w:r>
              <w:rPr>
                <w:rFonts w:hint="eastAsia"/>
                <w:b/>
                <w:color w:val="000000" w:themeColor="text1"/>
                <w:sz w:val="24"/>
                <w:szCs w:val="22"/>
                <w:highlight w:val="none"/>
                <w14:textFill>
                  <w14:solidFill>
                    <w14:schemeClr w14:val="tx1"/>
                  </w14:solidFill>
                </w14:textFill>
              </w:rPr>
              <w:t>（</w:t>
            </w:r>
            <w:r>
              <w:rPr>
                <w:rFonts w:hint="eastAsia"/>
                <w:b/>
                <w:color w:val="000000" w:themeColor="text1"/>
                <w:sz w:val="24"/>
                <w:szCs w:val="22"/>
                <w:highlight w:val="none"/>
                <w:lang w:val="en-US" w:eastAsia="zh-CN"/>
                <w14:textFill>
                  <w14:solidFill>
                    <w14:schemeClr w14:val="tx1"/>
                  </w14:solidFill>
                </w14:textFill>
              </w:rPr>
              <w:t>十</w:t>
            </w:r>
            <w:r>
              <w:rPr>
                <w:rFonts w:hint="eastAsia"/>
                <w:b/>
                <w:color w:val="000000" w:themeColor="text1"/>
                <w:sz w:val="24"/>
                <w:szCs w:val="22"/>
                <w:highlight w:val="none"/>
                <w14:textFill>
                  <w14:solidFill>
                    <w14:schemeClr w14:val="tx1"/>
                  </w14:solidFill>
                </w14:textFill>
              </w:rPr>
              <w:t>）</w:t>
            </w:r>
            <w:r>
              <w:rPr>
                <w:rFonts w:hint="eastAsia"/>
                <w:b/>
                <w:color w:val="000000" w:themeColor="text1"/>
                <w:sz w:val="24"/>
                <w:highlight w:val="none"/>
                <w:lang w:val="en-US" w:eastAsia="zh-CN"/>
                <w14:textFill>
                  <w14:solidFill>
                    <w14:schemeClr w14:val="tx1"/>
                  </w14:solidFill>
                </w14:textFill>
              </w:rPr>
              <w:t>土石方平衡</w:t>
            </w:r>
          </w:p>
          <w:p>
            <w:pPr>
              <w:keepNext w:val="0"/>
              <w:keepLines w:val="0"/>
              <w:widowControl/>
              <w:suppressLineNumbers w:val="0"/>
              <w:spacing w:before="0" w:beforeAutospacing="0" w:after="0" w:afterAutospacing="0" w:line="360" w:lineRule="auto"/>
              <w:ind w:left="0" w:right="0" w:firstLine="480" w:firstLineChars="200"/>
              <w:outlineLvl w:val="2"/>
              <w:rPr>
                <w:rFonts w:hint="default" w:eastAsia="宋体"/>
                <w:color w:val="000000" w:themeColor="text1"/>
                <w:sz w:val="24"/>
                <w:highlight w:val="none"/>
                <w:lang w:val="en-US" w:eastAsia="zh-CN" w:bidi="ar"/>
                <w14:textFill>
                  <w14:solidFill>
                    <w14:schemeClr w14:val="tx1"/>
                  </w14:solidFill>
                </w14:textFill>
              </w:rPr>
            </w:pPr>
            <w:r>
              <w:rPr>
                <w:rFonts w:hint="eastAsia"/>
                <w:color w:val="000000" w:themeColor="text1"/>
                <w:sz w:val="24"/>
                <w:highlight w:val="none"/>
                <w:lang w:bidi="ar"/>
                <w14:textFill>
                  <w14:solidFill>
                    <w14:schemeClr w14:val="tx1"/>
                  </w14:solidFill>
                </w14:textFill>
              </w:rPr>
              <w:t>根据项目工可报告及业主提供的相关资料，通过现场实地踏勘，经复核，本项目土石方开挖总量24.30万m3（自然方，以下同），其中，剥离表土0.64万m3（拟临时堆放于项目区预先设置的表土临时堆场，全部用于项目后期绿化用土）。项目土石方回填17.04万m3，其中表土利用0.64万m3。经土石方平衡分析，本项目建设共产生弃方7.26万m3，</w:t>
            </w:r>
            <w:r>
              <w:rPr>
                <w:rFonts w:hint="eastAsia"/>
                <w:color w:val="000000" w:themeColor="text1"/>
                <w:sz w:val="24"/>
                <w:highlight w:val="none"/>
                <w:lang w:val="en-US" w:eastAsia="zh-CN" w:bidi="ar"/>
                <w14:textFill>
                  <w14:solidFill>
                    <w14:schemeClr w14:val="tx1"/>
                  </w14:solidFill>
                </w14:textFill>
              </w:rPr>
              <w:t>土石方平衡表见下表。</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表2-13  土石方平衡分析表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830"/>
              <w:gridCol w:w="912"/>
              <w:gridCol w:w="827"/>
              <w:gridCol w:w="868"/>
              <w:gridCol w:w="896"/>
              <w:gridCol w:w="925"/>
              <w:gridCol w:w="992"/>
              <w:gridCol w:w="1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554" w:type="pct"/>
                  <w:vMerge w:val="restar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项目组成</w:t>
                  </w:r>
                </w:p>
              </w:tc>
              <w:tc>
                <w:tcPr>
                  <w:tcW w:w="1445" w:type="pct"/>
                  <w:gridSpan w:val="3"/>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挖方（万m3)</w:t>
                  </w:r>
                </w:p>
              </w:tc>
              <w:tc>
                <w:tcPr>
                  <w:tcW w:w="1512" w:type="pct"/>
                  <w:gridSpan w:val="3"/>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填方（万m3)</w:t>
                  </w:r>
                </w:p>
              </w:tc>
              <w:tc>
                <w:tcPr>
                  <w:tcW w:w="558" w:type="pct"/>
                  <w:vMerge w:val="restar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弃方(万m3)</w:t>
                  </w:r>
                </w:p>
              </w:tc>
              <w:tc>
                <w:tcPr>
                  <w:tcW w:w="928" w:type="pct"/>
                  <w:vMerge w:val="restar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弃方去向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p>
              </w:tc>
              <w:tc>
                <w:tcPr>
                  <w:tcW w:w="467"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表土剥离</w:t>
                  </w:r>
                </w:p>
              </w:tc>
              <w:tc>
                <w:tcPr>
                  <w:tcW w:w="513"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土石方</w:t>
                  </w:r>
                </w:p>
              </w:tc>
              <w:tc>
                <w:tcPr>
                  <w:tcW w:w="464"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合计</w:t>
                  </w:r>
                </w:p>
              </w:tc>
              <w:tc>
                <w:tcPr>
                  <w:tcW w:w="488"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表土回覆</w:t>
                  </w:r>
                </w:p>
              </w:tc>
              <w:tc>
                <w:tcPr>
                  <w:tcW w:w="504" w:type="pct"/>
                  <w:vAlign w:val="top"/>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土石方</w:t>
                  </w:r>
                </w:p>
              </w:tc>
              <w:tc>
                <w:tcPr>
                  <w:tcW w:w="519" w:type="pct"/>
                  <w:vAlign w:val="top"/>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合计</w:t>
                  </w:r>
                </w:p>
              </w:tc>
              <w:tc>
                <w:tcPr>
                  <w:tcW w:w="558" w:type="pct"/>
                  <w:vMerge w:val="continue"/>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p>
              </w:tc>
              <w:tc>
                <w:tcPr>
                  <w:tcW w:w="928" w:type="pct"/>
                  <w:vMerge w:val="continue"/>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主体工程</w:t>
                  </w:r>
                </w:p>
              </w:tc>
              <w:tc>
                <w:tcPr>
                  <w:tcW w:w="467"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0.64</w:t>
                  </w:r>
                </w:p>
              </w:tc>
              <w:tc>
                <w:tcPr>
                  <w:tcW w:w="513"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23.66</w:t>
                  </w:r>
                </w:p>
              </w:tc>
              <w:tc>
                <w:tcPr>
                  <w:tcW w:w="464"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24.30</w:t>
                  </w:r>
                </w:p>
              </w:tc>
              <w:tc>
                <w:tcPr>
                  <w:tcW w:w="488"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0.64</w:t>
                  </w:r>
                </w:p>
              </w:tc>
              <w:tc>
                <w:tcPr>
                  <w:tcW w:w="504"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16.40</w:t>
                  </w:r>
                </w:p>
              </w:tc>
              <w:tc>
                <w:tcPr>
                  <w:tcW w:w="519"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17.04</w:t>
                  </w:r>
                </w:p>
              </w:tc>
              <w:tc>
                <w:tcPr>
                  <w:tcW w:w="558"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7.26</w:t>
                  </w:r>
                </w:p>
              </w:tc>
              <w:tc>
                <w:tcPr>
                  <w:tcW w:w="928" w:type="pct"/>
                  <w:vMerge w:val="restar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马踏洞新区城</w:t>
                  </w:r>
                </w:p>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市规划用地回</w:t>
                  </w:r>
                </w:p>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填区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合计</w:t>
                  </w:r>
                </w:p>
              </w:tc>
              <w:tc>
                <w:tcPr>
                  <w:tcW w:w="467" w:type="pct"/>
                  <w:vAlign w:val="top"/>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0.64</w:t>
                  </w:r>
                </w:p>
              </w:tc>
              <w:tc>
                <w:tcPr>
                  <w:tcW w:w="513" w:type="pct"/>
                  <w:vAlign w:val="top"/>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23.66</w:t>
                  </w:r>
                </w:p>
              </w:tc>
              <w:tc>
                <w:tcPr>
                  <w:tcW w:w="464" w:type="pct"/>
                  <w:vAlign w:val="top"/>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24.30</w:t>
                  </w:r>
                </w:p>
              </w:tc>
              <w:tc>
                <w:tcPr>
                  <w:tcW w:w="488" w:type="pct"/>
                  <w:vAlign w:val="top"/>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0.64</w:t>
                  </w:r>
                </w:p>
              </w:tc>
              <w:tc>
                <w:tcPr>
                  <w:tcW w:w="504" w:type="pct"/>
                  <w:vAlign w:val="top"/>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16.40</w:t>
                  </w:r>
                </w:p>
              </w:tc>
              <w:tc>
                <w:tcPr>
                  <w:tcW w:w="519" w:type="pct"/>
                  <w:vAlign w:val="top"/>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17.04</w:t>
                  </w:r>
                </w:p>
              </w:tc>
              <w:tc>
                <w:tcPr>
                  <w:tcW w:w="558" w:type="pct"/>
                  <w:vAlign w:val="top"/>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7.26</w:t>
                  </w:r>
                </w:p>
              </w:tc>
              <w:tc>
                <w:tcPr>
                  <w:tcW w:w="928" w:type="pct"/>
                  <w:vMerge w:val="continue"/>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p>
              </w:tc>
            </w:tr>
          </w:tbl>
          <w:p>
            <w:pPr>
              <w:keepNext w:val="0"/>
              <w:keepLines w:val="0"/>
              <w:widowControl/>
              <w:suppressLineNumbers w:val="0"/>
              <w:spacing w:before="0" w:beforeAutospacing="0" w:after="0" w:afterAutospacing="0" w:line="360" w:lineRule="auto"/>
              <w:ind w:left="0" w:right="0" w:firstLine="480" w:firstLineChars="200"/>
              <w:outlineLvl w:val="2"/>
              <w:rPr>
                <w:rFonts w:hint="eastAsia"/>
                <w:color w:val="000000" w:themeColor="text1"/>
                <w:sz w:val="24"/>
                <w:highlight w:val="none"/>
                <w:lang w:val="en-US" w:eastAsia="zh-CN" w:bidi="ar"/>
                <w14:textFill>
                  <w14:solidFill>
                    <w14:schemeClr w14:val="tx1"/>
                  </w14:solidFill>
                </w14:textFill>
              </w:rPr>
            </w:pPr>
            <w:r>
              <w:rPr>
                <w:rFonts w:hint="eastAsia"/>
                <w:color w:val="000000" w:themeColor="text1"/>
                <w:sz w:val="24"/>
                <w:highlight w:val="none"/>
                <w:lang w:bidi="ar"/>
                <w14:textFill>
                  <w14:solidFill>
                    <w14:schemeClr w14:val="tx1"/>
                  </w14:solidFill>
                </w14:textFill>
              </w:rPr>
              <w:t>经现场踏勘以及咨询业主所知，本次项目的弃方均外运至政府指定弃渣场。</w:t>
            </w:r>
          </w:p>
          <w:p>
            <w:pPr>
              <w:pStyle w:val="19"/>
              <w:keepNext w:val="0"/>
              <w:keepLines w:val="0"/>
              <w:widowControl w:val="0"/>
              <w:suppressLineNumbers w:val="0"/>
              <w:spacing w:before="0" w:beforeAutospacing="0" w:after="0" w:afterAutospacing="0" w:line="360" w:lineRule="auto"/>
              <w:ind w:left="0" w:right="0"/>
              <w:jc w:val="left"/>
              <w:rPr>
                <w:rFonts w:hint="default"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eastAsia="zh-CN"/>
                <w14:textFill>
                  <w14:solidFill>
                    <w14:schemeClr w14:val="tx1"/>
                  </w14:solidFill>
                </w14:textFill>
              </w:rPr>
              <w:t>（</w:t>
            </w:r>
            <w:r>
              <w:rPr>
                <w:rFonts w:hint="eastAsia" w:cs="Times New Roman"/>
                <w:b/>
                <w:bCs/>
                <w:color w:val="000000" w:themeColor="text1"/>
                <w:sz w:val="24"/>
                <w:highlight w:val="none"/>
                <w:lang w:val="en-US" w:eastAsia="zh-CN"/>
                <w14:textFill>
                  <w14:solidFill>
                    <w14:schemeClr w14:val="tx1"/>
                  </w14:solidFill>
                </w14:textFill>
              </w:rPr>
              <w:t>十一）施工组织</w:t>
            </w:r>
          </w:p>
          <w:p>
            <w:pPr>
              <w:pStyle w:val="19"/>
              <w:keepNext w:val="0"/>
              <w:keepLines w:val="0"/>
              <w:widowControl w:val="0"/>
              <w:suppressLineNumbers w:val="0"/>
              <w:spacing w:before="0" w:beforeAutospacing="0" w:after="0" w:afterAutospacing="0" w:line="360" w:lineRule="auto"/>
              <w:ind w:left="0" w:right="0" w:firstLine="482" w:firstLineChars="200"/>
              <w:jc w:val="left"/>
              <w:rPr>
                <w:rFonts w:hint="eastAsia" w:ascii="宋体" w:hAnsi="宋体" w:eastAsia="宋体" w:cs="Times New Roman"/>
                <w:b/>
                <w:bCs/>
                <w:color w:val="000000" w:themeColor="text1"/>
                <w:sz w:val="24"/>
                <w:highlight w:val="none"/>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一</w:t>
            </w:r>
            <w:r>
              <w:rPr>
                <w:rFonts w:hint="eastAsia" w:ascii="宋体" w:hAnsi="宋体" w:eastAsia="宋体" w:cs="Times New Roman"/>
                <w:b/>
                <w:bCs/>
                <w:color w:val="000000" w:themeColor="text1"/>
                <w:sz w:val="24"/>
                <w:highlight w:val="none"/>
                <w:lang w:val="en-US" w:eastAsia="zh-CN"/>
                <w14:textFill>
                  <w14:solidFill>
                    <w14:schemeClr w14:val="tx1"/>
                  </w14:solidFill>
                </w14:textFill>
              </w:rPr>
              <w:t>、工期安排</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lang w:val="en-US" w:eastAsia="zh-CN"/>
                <w14:textFill>
                  <w14:solidFill>
                    <w14:schemeClr w14:val="tx1"/>
                  </w14:solidFill>
                </w14:textFill>
              </w:rPr>
              <w:t>本项目预计于</w:t>
            </w:r>
            <w:r>
              <w:rPr>
                <w:rFonts w:hint="default" w:ascii="宋体" w:hAnsi="宋体" w:eastAsia="宋体" w:cs="Times New Roman"/>
                <w:color w:val="000000" w:themeColor="text1"/>
                <w:sz w:val="24"/>
                <w:highlight w:val="none"/>
                <w:lang w:val="en-US" w:eastAsia="zh-CN"/>
                <w14:textFill>
                  <w14:solidFill>
                    <w14:schemeClr w14:val="tx1"/>
                  </w14:solidFill>
                </w14:textFill>
              </w:rPr>
              <w:t>202</w:t>
            </w:r>
            <w:r>
              <w:rPr>
                <w:rFonts w:hint="eastAsia" w:cs="Times New Roman"/>
                <w:color w:val="000000" w:themeColor="text1"/>
                <w:sz w:val="24"/>
                <w:highlight w:val="none"/>
                <w:lang w:val="en-US" w:eastAsia="zh-CN"/>
                <w14:textFill>
                  <w14:solidFill>
                    <w14:schemeClr w14:val="tx1"/>
                  </w14:solidFill>
                </w14:textFill>
              </w:rPr>
              <w:t>4</w:t>
            </w:r>
            <w:r>
              <w:rPr>
                <w:rFonts w:hint="eastAsia" w:ascii="宋体" w:hAnsi="宋体" w:eastAsia="宋体" w:cs="Times New Roman"/>
                <w:color w:val="000000" w:themeColor="text1"/>
                <w:sz w:val="24"/>
                <w:highlight w:val="none"/>
                <w:lang w:val="en-US" w:eastAsia="zh-CN"/>
                <w14:textFill>
                  <w14:solidFill>
                    <w14:schemeClr w14:val="tx1"/>
                  </w14:solidFill>
                </w14:textFill>
              </w:rPr>
              <w:t>年</w:t>
            </w:r>
            <w:r>
              <w:rPr>
                <w:rFonts w:hint="eastAsia" w:cs="Times New Roman"/>
                <w:color w:val="000000" w:themeColor="text1"/>
                <w:sz w:val="24"/>
                <w:highlight w:val="none"/>
                <w:lang w:val="en-US" w:eastAsia="zh-CN"/>
                <w14:textFill>
                  <w14:solidFill>
                    <w14:schemeClr w14:val="tx1"/>
                  </w14:solidFill>
                </w14:textFill>
              </w:rPr>
              <w:t>7</w:t>
            </w:r>
            <w:r>
              <w:rPr>
                <w:rFonts w:hint="eastAsia" w:ascii="宋体" w:hAnsi="宋体" w:eastAsia="宋体" w:cs="Times New Roman"/>
                <w:color w:val="000000" w:themeColor="text1"/>
                <w:sz w:val="24"/>
                <w:highlight w:val="none"/>
                <w:lang w:val="en-US" w:eastAsia="zh-CN"/>
                <w14:textFill>
                  <w14:solidFill>
                    <w14:schemeClr w14:val="tx1"/>
                  </w14:solidFill>
                </w14:textFill>
              </w:rPr>
              <w:t>月开工，</w:t>
            </w:r>
            <w:r>
              <w:rPr>
                <w:rFonts w:hint="default" w:ascii="宋体" w:hAnsi="宋体" w:eastAsia="宋体" w:cs="Times New Roman"/>
                <w:color w:val="000000" w:themeColor="text1"/>
                <w:sz w:val="24"/>
                <w:highlight w:val="none"/>
                <w:lang w:val="en-US" w:eastAsia="zh-CN"/>
                <w14:textFill>
                  <w14:solidFill>
                    <w14:schemeClr w14:val="tx1"/>
                  </w14:solidFill>
                </w14:textFill>
              </w:rPr>
              <w:t>2026</w:t>
            </w:r>
            <w:r>
              <w:rPr>
                <w:rFonts w:hint="eastAsia" w:ascii="宋体" w:hAnsi="宋体" w:eastAsia="宋体" w:cs="Times New Roman"/>
                <w:color w:val="000000" w:themeColor="text1"/>
                <w:sz w:val="24"/>
                <w:highlight w:val="none"/>
                <w:lang w:val="en-US" w:eastAsia="zh-CN"/>
                <w14:textFill>
                  <w14:solidFill>
                    <w14:schemeClr w14:val="tx1"/>
                  </w14:solidFill>
                </w14:textFill>
              </w:rPr>
              <w:t>年</w:t>
            </w:r>
            <w:r>
              <w:rPr>
                <w:rFonts w:hint="eastAsia" w:cs="Times New Roman"/>
                <w:color w:val="000000" w:themeColor="text1"/>
                <w:sz w:val="24"/>
                <w:highlight w:val="none"/>
                <w:lang w:val="en-US" w:eastAsia="zh-CN"/>
                <w14:textFill>
                  <w14:solidFill>
                    <w14:schemeClr w14:val="tx1"/>
                  </w14:solidFill>
                </w14:textFill>
              </w:rPr>
              <w:t>7</w:t>
            </w:r>
            <w:r>
              <w:rPr>
                <w:rFonts w:hint="eastAsia" w:ascii="宋体" w:hAnsi="宋体" w:eastAsia="宋体" w:cs="Times New Roman"/>
                <w:color w:val="000000" w:themeColor="text1"/>
                <w:sz w:val="24"/>
                <w:highlight w:val="none"/>
                <w:lang w:val="en-US" w:eastAsia="zh-CN"/>
                <w14:textFill>
                  <w14:solidFill>
                    <w14:schemeClr w14:val="tx1"/>
                  </w14:solidFill>
                </w14:textFill>
              </w:rPr>
              <w:t>月完工，总工期为</w:t>
            </w:r>
            <w:r>
              <w:rPr>
                <w:rFonts w:hint="eastAsia" w:cs="Times New Roman"/>
                <w:color w:val="000000" w:themeColor="text1"/>
                <w:sz w:val="24"/>
                <w:highlight w:val="none"/>
                <w:lang w:val="en-US" w:eastAsia="zh-CN"/>
                <w14:textFill>
                  <w14:solidFill>
                    <w14:schemeClr w14:val="tx1"/>
                  </w14:solidFill>
                </w14:textFill>
              </w:rPr>
              <w:t>24</w:t>
            </w:r>
            <w:r>
              <w:rPr>
                <w:rFonts w:hint="eastAsia" w:ascii="宋体" w:hAnsi="宋体" w:eastAsia="宋体" w:cs="Times New Roman"/>
                <w:color w:val="000000" w:themeColor="text1"/>
                <w:sz w:val="24"/>
                <w:highlight w:val="none"/>
                <w:lang w:val="en-US" w:eastAsia="zh-CN"/>
                <w14:textFill>
                  <w14:solidFill>
                    <w14:schemeClr w14:val="tx1"/>
                  </w14:solidFill>
                </w14:textFill>
              </w:rPr>
              <w:t>个月。</w:t>
            </w:r>
          </w:p>
          <w:p>
            <w:pPr>
              <w:pStyle w:val="19"/>
              <w:keepNext w:val="0"/>
              <w:keepLines w:val="0"/>
              <w:widowControl w:val="0"/>
              <w:suppressLineNumbers w:val="0"/>
              <w:spacing w:before="0" w:beforeAutospacing="0" w:after="0" w:afterAutospacing="0" w:line="360" w:lineRule="auto"/>
              <w:ind w:left="0" w:right="0" w:firstLine="482" w:firstLineChars="200"/>
              <w:jc w:val="left"/>
              <w:rPr>
                <w:rFonts w:hint="eastAsia" w:ascii="宋体" w:hAnsi="宋体" w:eastAsia="宋体"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二</w:t>
            </w:r>
            <w:r>
              <w:rPr>
                <w:rFonts w:hint="eastAsia" w:ascii="宋体" w:hAnsi="宋体" w:eastAsia="宋体" w:cs="Times New Roman"/>
                <w:b/>
                <w:bCs/>
                <w:color w:val="000000" w:themeColor="text1"/>
                <w:sz w:val="24"/>
                <w:highlight w:val="none"/>
                <w:lang w:val="en-US" w:eastAsia="zh-CN"/>
                <w14:textFill>
                  <w14:solidFill>
                    <w14:schemeClr w14:val="tx1"/>
                  </w14:solidFill>
                </w14:textFill>
              </w:rPr>
              <w:t>、</w:t>
            </w:r>
            <w:r>
              <w:rPr>
                <w:rFonts w:hint="eastAsia" w:cs="Times New Roman"/>
                <w:b/>
                <w:bCs/>
                <w:color w:val="000000" w:themeColor="text1"/>
                <w:sz w:val="24"/>
                <w:highlight w:val="none"/>
                <w:lang w:val="en-US" w:eastAsia="zh-CN"/>
                <w14:textFill>
                  <w14:solidFill>
                    <w14:schemeClr w14:val="tx1"/>
                  </w14:solidFill>
                </w14:textFill>
              </w:rPr>
              <w:t>运输</w:t>
            </w:r>
            <w:r>
              <w:rPr>
                <w:rFonts w:hint="eastAsia" w:ascii="宋体" w:hAnsi="宋体" w:eastAsia="宋体" w:cs="Times New Roman"/>
                <w:b/>
                <w:bCs/>
                <w:color w:val="000000" w:themeColor="text1"/>
                <w:sz w:val="24"/>
                <w:highlight w:val="none"/>
                <w:lang w:val="en-US" w:eastAsia="zh-CN"/>
                <w14:textFill>
                  <w14:solidFill>
                    <w14:schemeClr w14:val="tx1"/>
                  </w14:solidFill>
                </w14:textFill>
              </w:rPr>
              <w:t>情况</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Times New Roman"/>
                <w:color w:val="000000" w:themeColor="text1"/>
                <w:sz w:val="24"/>
                <w:highlight w:val="none"/>
                <w:lang w:val="en-US" w:eastAsia="zh-CN"/>
                <w14:textFill>
                  <w14:solidFill>
                    <w14:schemeClr w14:val="tx1"/>
                  </w14:solidFill>
                </w14:textFill>
              </w:rPr>
            </w:pPr>
            <w:r>
              <w:rPr>
                <w:rFonts w:hint="eastAsia" w:ascii="宋体" w:hAnsi="宋体" w:eastAsia="宋体" w:cs="Times New Roman"/>
                <w:color w:val="000000" w:themeColor="text1"/>
                <w:sz w:val="24"/>
                <w:highlight w:val="none"/>
                <w:lang w:val="en-US" w:eastAsia="zh-CN"/>
                <w14:textFill>
                  <w14:solidFill>
                    <w14:schemeClr w14:val="tx1"/>
                  </w14:solidFill>
                </w14:textFill>
              </w:rPr>
              <w:t>外部交通：项目位于达州市通川区</w:t>
            </w:r>
            <w:r>
              <w:rPr>
                <w:rFonts w:hint="eastAsia" w:cs="Times New Roman"/>
                <w:color w:val="000000" w:themeColor="text1"/>
                <w:sz w:val="24"/>
                <w:highlight w:val="none"/>
                <w:lang w:val="en-US" w:eastAsia="zh-CN"/>
                <w14:textFill>
                  <w14:solidFill>
                    <w14:schemeClr w14:val="tx1"/>
                  </w14:solidFill>
                </w14:textFill>
              </w:rPr>
              <w:t>马踏洞新区</w:t>
            </w:r>
            <w:r>
              <w:rPr>
                <w:rFonts w:hint="eastAsia" w:ascii="宋体" w:hAnsi="宋体" w:eastAsia="宋体" w:cs="Times New Roman"/>
                <w:color w:val="000000" w:themeColor="text1"/>
                <w:sz w:val="24"/>
                <w:highlight w:val="none"/>
                <w:lang w:val="en-US" w:eastAsia="zh-CN"/>
                <w14:textFill>
                  <w14:solidFill>
                    <w14:schemeClr w14:val="tx1"/>
                  </w14:solidFill>
                </w14:textFill>
              </w:rPr>
              <w:t>，区内交通较为方便，本工程可利用已有</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金南大道三期（已建）、环城路（已建）</w:t>
            </w:r>
            <w:r>
              <w:rPr>
                <w:rFonts w:hint="eastAsia" w:ascii="Times New Roman" w:hAnsi="Times New Roman" w:cs="Times New Roman"/>
                <w:bCs/>
                <w:color w:val="000000" w:themeColor="text1"/>
                <w:sz w:val="24"/>
                <w:highlight w:val="none"/>
                <w:lang w:val="en-US" w:eastAsia="zh-CN"/>
                <w14:textFill>
                  <w14:solidFill>
                    <w14:schemeClr w14:val="tx1"/>
                  </w14:solidFill>
                </w14:textFill>
              </w:rPr>
              <w:t>和</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好一新市场（已建）</w:t>
            </w:r>
            <w:r>
              <w:rPr>
                <w:rFonts w:hint="eastAsia" w:ascii="宋体" w:hAnsi="宋体" w:eastAsia="宋体" w:cs="Times New Roman"/>
                <w:color w:val="000000" w:themeColor="text1"/>
                <w:sz w:val="24"/>
                <w:highlight w:val="none"/>
                <w:lang w:val="en-US" w:eastAsia="zh-CN"/>
                <w14:textFill>
                  <w14:solidFill>
                    <w14:schemeClr w14:val="tx1"/>
                  </w14:solidFill>
                </w14:textFill>
              </w:rPr>
              <w:t>运输，总体说来本工程建设交通条件较为成熟。</w:t>
            </w:r>
          </w:p>
          <w:p>
            <w:pPr>
              <w:pStyle w:val="19"/>
              <w:keepNext w:val="0"/>
              <w:keepLines w:val="0"/>
              <w:widowControl w:val="0"/>
              <w:suppressLineNumbers w:val="0"/>
              <w:spacing w:before="0" w:beforeAutospacing="0" w:after="0" w:afterAutospacing="0" w:line="360" w:lineRule="auto"/>
              <w:ind w:left="0" w:leftChars="0" w:right="0" w:firstLine="482" w:firstLineChars="200"/>
              <w:jc w:val="left"/>
              <w:rPr>
                <w:rFonts w:hint="eastAsia" w:ascii="宋体" w:hAnsi="宋体" w:eastAsia="宋体"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三、</w:t>
            </w:r>
            <w:r>
              <w:rPr>
                <w:rFonts w:hint="eastAsia" w:ascii="宋体" w:hAnsi="宋体" w:eastAsia="宋体" w:cs="Times New Roman"/>
                <w:b/>
                <w:bCs/>
                <w:color w:val="000000" w:themeColor="text1"/>
                <w:sz w:val="24"/>
                <w:highlight w:val="none"/>
                <w:lang w:val="en-US" w:eastAsia="zh-CN"/>
                <w14:textFill>
                  <w14:solidFill>
                    <w14:schemeClr w14:val="tx1"/>
                  </w14:solidFill>
                </w14:textFill>
              </w:rPr>
              <w:t>材料、能源供应</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Times New Roman"/>
                <w:color w:val="000000" w:themeColor="text1"/>
                <w:sz w:val="24"/>
                <w:highlight w:val="none"/>
                <w:lang w:val="en-US" w:eastAsia="zh-CN"/>
                <w14:textFill>
                  <w14:solidFill>
                    <w14:schemeClr w14:val="tx1"/>
                  </w14:solidFill>
                </w14:textFill>
              </w:rPr>
            </w:pPr>
            <w:r>
              <w:rPr>
                <w:rFonts w:hint="eastAsia" w:ascii="宋体" w:hAnsi="宋体" w:eastAsia="宋体" w:cs="Times New Roman"/>
                <w:color w:val="000000" w:themeColor="text1"/>
                <w:sz w:val="24"/>
                <w:highlight w:val="none"/>
                <w:lang w:val="en-US" w:eastAsia="zh-CN"/>
                <w14:textFill>
                  <w14:solidFill>
                    <w14:schemeClr w14:val="tx1"/>
                  </w14:solidFill>
                </w14:textFill>
              </w:rPr>
              <w:t>项目区</w:t>
            </w:r>
            <w:r>
              <w:rPr>
                <w:rFonts w:hint="eastAsia" w:cs="Times New Roman"/>
                <w:color w:val="000000" w:themeColor="text1"/>
                <w:sz w:val="24"/>
                <w:highlight w:val="none"/>
                <w:lang w:val="en-US" w:eastAsia="zh-CN"/>
                <w14:textFill>
                  <w14:solidFill>
                    <w14:schemeClr w14:val="tx1"/>
                  </w14:solidFill>
                </w14:textFill>
              </w:rPr>
              <w:t>距离</w:t>
            </w:r>
            <w:r>
              <w:rPr>
                <w:rFonts w:hint="eastAsia" w:ascii="宋体" w:hAnsi="宋体" w:eastAsia="宋体" w:cs="Times New Roman"/>
                <w:color w:val="000000" w:themeColor="text1"/>
                <w:sz w:val="24"/>
                <w:highlight w:val="none"/>
                <w:lang w:val="en-US" w:eastAsia="zh-CN"/>
                <w14:textFill>
                  <w14:solidFill>
                    <w14:schemeClr w14:val="tx1"/>
                  </w14:solidFill>
                </w14:textFill>
              </w:rPr>
              <w:t>城镇</w:t>
            </w:r>
            <w:r>
              <w:rPr>
                <w:rFonts w:hint="eastAsia" w:cs="Times New Roman"/>
                <w:color w:val="000000" w:themeColor="text1"/>
                <w:sz w:val="24"/>
                <w:highlight w:val="none"/>
                <w:lang w:val="en-US" w:eastAsia="zh-CN"/>
                <w14:textFill>
                  <w14:solidFill>
                    <w14:schemeClr w14:val="tx1"/>
                  </w14:solidFill>
                </w14:textFill>
              </w:rPr>
              <w:t>较近，城镇</w:t>
            </w:r>
            <w:r>
              <w:rPr>
                <w:rFonts w:hint="eastAsia" w:ascii="宋体" w:hAnsi="宋体" w:eastAsia="宋体" w:cs="Times New Roman"/>
                <w:color w:val="000000" w:themeColor="text1"/>
                <w:sz w:val="24"/>
                <w:highlight w:val="none"/>
                <w:lang w:val="en-US" w:eastAsia="zh-CN"/>
                <w14:textFill>
                  <w14:solidFill>
                    <w14:schemeClr w14:val="tx1"/>
                  </w14:solidFill>
                </w14:textFill>
              </w:rPr>
              <w:t>配套建设较为完善，施工电源条件较好，可直接从附近10kV线路上搭接，施工用水由附近已建市政给水管网供给，其水量、水压均满足施工用水，水质满足施工生产生活饮用水标准。</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default" w:ascii="宋体" w:hAnsi="宋体" w:eastAsia="宋体" w:cs="Times New Roman"/>
                <w:b/>
                <w:bCs/>
                <w:color w:val="000000" w:themeColor="text1"/>
                <w:sz w:val="24"/>
                <w:highlight w:val="none"/>
                <w:lang w:val="en-US"/>
                <w14:textFill>
                  <w14:solidFill>
                    <w14:schemeClr w14:val="tx1"/>
                  </w14:solidFill>
                </w14:textFill>
              </w:rPr>
            </w:pPr>
            <w:r>
              <w:rPr>
                <w:rFonts w:hint="eastAsia" w:ascii="宋体" w:hAnsi="宋体" w:eastAsia="宋体" w:cs="Times New Roman"/>
                <w:color w:val="000000" w:themeColor="text1"/>
                <w:sz w:val="24"/>
                <w:highlight w:val="none"/>
                <w:lang w:val="en-US" w:eastAsia="zh-CN"/>
                <w14:textFill>
                  <w14:solidFill>
                    <w14:schemeClr w14:val="tx1"/>
                  </w14:solidFill>
                </w14:textFill>
              </w:rPr>
              <w:t>本项目施工期间，不设料场，所需砂石材料均为外购，采用车辆运输。绿化工程用土主要采用本项目路基挖方中的剥离表土，本项目所需的钢材和水泥</w:t>
            </w:r>
            <w:r>
              <w:rPr>
                <w:rFonts w:hint="eastAsia" w:cs="Times New Roman"/>
                <w:color w:val="000000" w:themeColor="text1"/>
                <w:sz w:val="24"/>
                <w:highlight w:val="none"/>
                <w:lang w:val="en-US" w:eastAsia="zh-CN"/>
                <w14:textFill>
                  <w14:solidFill>
                    <w14:schemeClr w14:val="tx1"/>
                  </w14:solidFill>
                </w14:textFill>
              </w:rPr>
              <w:t>全部</w:t>
            </w:r>
            <w:r>
              <w:rPr>
                <w:rFonts w:hint="eastAsia" w:ascii="宋体" w:hAnsi="宋体" w:eastAsia="宋体" w:cs="Times New Roman"/>
                <w:color w:val="000000" w:themeColor="text1"/>
                <w:sz w:val="24"/>
                <w:highlight w:val="none"/>
                <w:lang w:val="en-US" w:eastAsia="zh-CN"/>
                <w14:textFill>
                  <w14:solidFill>
                    <w14:schemeClr w14:val="tx1"/>
                  </w14:solidFill>
                </w14:textFill>
              </w:rPr>
              <w:t>由市场供应，沥青混凝土由正规厂家专用运输车辆运至本项目施工场地</w:t>
            </w:r>
            <w:r>
              <w:rPr>
                <w:rFonts w:hint="eastAsia" w:cs="Times New Roman"/>
                <w:color w:val="000000" w:themeColor="text1"/>
                <w:sz w:val="24"/>
                <w:highlight w:val="none"/>
                <w:lang w:val="en-US" w:eastAsia="zh-CN"/>
                <w14:textFill>
                  <w14:solidFill>
                    <w14:schemeClr w14:val="tx1"/>
                  </w14:solidFill>
                </w14:textFill>
              </w:rPr>
              <w:t>。</w:t>
            </w:r>
          </w:p>
          <w:p>
            <w:pPr>
              <w:pStyle w:val="19"/>
              <w:keepNext w:val="0"/>
              <w:keepLines w:val="0"/>
              <w:widowControl w:val="0"/>
              <w:suppressLineNumbers w:val="0"/>
              <w:spacing w:before="0" w:beforeAutospacing="0" w:after="0" w:afterAutospacing="0" w:line="360" w:lineRule="auto"/>
              <w:ind w:left="0" w:right="0" w:firstLine="482" w:firstLineChars="200"/>
              <w:jc w:val="left"/>
              <w:rPr>
                <w:rFonts w:hint="eastAsia" w:ascii="宋体" w:hAnsi="宋体" w:eastAsia="宋体" w:cs="Times New Roman"/>
                <w:b/>
                <w:bCs/>
                <w:color w:val="000000" w:themeColor="text1"/>
                <w:sz w:val="24"/>
                <w:highlight w:val="none"/>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四</w:t>
            </w:r>
            <w:r>
              <w:rPr>
                <w:rFonts w:hint="eastAsia" w:ascii="宋体" w:hAnsi="宋体" w:eastAsia="宋体" w:cs="Times New Roman"/>
                <w:b/>
                <w:bCs/>
                <w:color w:val="000000" w:themeColor="text1"/>
                <w:sz w:val="24"/>
                <w:highlight w:val="none"/>
                <w14:textFill>
                  <w14:solidFill>
                    <w14:schemeClr w14:val="tx1"/>
                  </w14:solidFill>
                </w14:textFill>
              </w:rPr>
              <w:t>、施工期间交通组织</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本</w:t>
            </w:r>
            <w:r>
              <w:rPr>
                <w:rFonts w:hint="eastAsia" w:cs="Times New Roman"/>
                <w:color w:val="000000" w:themeColor="text1"/>
                <w:sz w:val="24"/>
                <w:highlight w:val="none"/>
                <w:lang w:val="en-US" w:eastAsia="zh-CN"/>
                <w14:textFill>
                  <w14:solidFill>
                    <w14:schemeClr w14:val="tx1"/>
                  </w14:solidFill>
                </w14:textFill>
              </w:rPr>
              <w:t>项目为新建道路工程，规划线路与现有</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金南大道三期（已建）、环城路（已建）、好一新市场（已建）</w:t>
            </w:r>
            <w:r>
              <w:rPr>
                <w:rFonts w:hint="eastAsia" w:ascii="Times New Roman" w:hAnsi="Times New Roman" w:cs="Times New Roman"/>
                <w:bCs/>
                <w:color w:val="000000" w:themeColor="text1"/>
                <w:sz w:val="24"/>
                <w:highlight w:val="none"/>
                <w:lang w:val="en-US" w:eastAsia="zh-CN"/>
                <w14:textFill>
                  <w14:solidFill>
                    <w14:schemeClr w14:val="tx1"/>
                  </w14:solidFill>
                </w14:textFill>
              </w:rPr>
              <w:t>和</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达州绕西高速连接线（在建）</w:t>
            </w:r>
            <w:r>
              <w:rPr>
                <w:rFonts w:hint="eastAsia" w:ascii="Times New Roman" w:hAnsi="Times New Roman" w:cs="Times New Roman"/>
                <w:bCs/>
                <w:color w:val="000000" w:themeColor="text1"/>
                <w:sz w:val="24"/>
                <w:highlight w:val="none"/>
                <w:lang w:val="en-US" w:eastAsia="zh-CN"/>
                <w14:textFill>
                  <w14:solidFill>
                    <w14:schemeClr w14:val="tx1"/>
                  </w14:solidFill>
                </w14:textFill>
              </w:rPr>
              <w:t>相交，由于项目地位于城郊，且</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金南大道三期</w:t>
            </w:r>
            <w:r>
              <w:rPr>
                <w:rFonts w:hint="eastAsia" w:ascii="Times New Roman" w:hAnsi="Times New Roman" w:cs="Times New Roman"/>
                <w:bCs/>
                <w:color w:val="000000" w:themeColor="text1"/>
                <w:sz w:val="24"/>
                <w:highlight w:val="none"/>
                <w:lang w:val="en-US" w:eastAsia="zh-CN"/>
                <w14:textFill>
                  <w14:solidFill>
                    <w14:schemeClr w14:val="tx1"/>
                  </w14:solidFill>
                </w14:textFill>
              </w:rPr>
              <w:t>建成不久，</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达州绕西高速连接线</w:t>
            </w:r>
            <w:r>
              <w:rPr>
                <w:rFonts w:hint="eastAsia" w:ascii="Times New Roman" w:hAnsi="Times New Roman" w:cs="Times New Roman"/>
                <w:bCs/>
                <w:color w:val="000000" w:themeColor="text1"/>
                <w:sz w:val="24"/>
                <w:highlight w:val="none"/>
                <w:lang w:val="en-US" w:eastAsia="zh-CN"/>
                <w14:textFill>
                  <w14:solidFill>
                    <w14:schemeClr w14:val="tx1"/>
                  </w14:solidFill>
                </w14:textFill>
              </w:rPr>
              <w:t>正在建设，故总体上道路交通不繁忙。施工期间对周边的影响主要在好一新市场、环城路和乡道，</w:t>
            </w:r>
            <w:r>
              <w:rPr>
                <w:rFonts w:hint="eastAsia" w:cs="Times New Roman"/>
                <w:color w:val="000000" w:themeColor="text1"/>
                <w:sz w:val="24"/>
                <w:highlight w:val="none"/>
                <w:lang w:val="en-US" w:eastAsia="zh-CN"/>
                <w14:textFill>
                  <w14:solidFill>
                    <w14:schemeClr w14:val="tx1"/>
                  </w14:solidFill>
                </w14:textFill>
              </w:rPr>
              <w:t>为</w:t>
            </w:r>
            <w:r>
              <w:rPr>
                <w:rFonts w:hint="eastAsia" w:ascii="宋体" w:hAnsi="宋体" w:eastAsia="宋体" w:cs="Times New Roman"/>
                <w:color w:val="000000" w:themeColor="text1"/>
                <w:sz w:val="24"/>
                <w:highlight w:val="none"/>
                <w14:textFill>
                  <w14:solidFill>
                    <w14:schemeClr w14:val="tx1"/>
                  </w14:solidFill>
                </w14:textFill>
              </w:rPr>
              <w:t>确保交通顺畅和出行安全</w:t>
            </w:r>
            <w:r>
              <w:rPr>
                <w:rFonts w:hint="eastAsia" w:cs="Times New Roman"/>
                <w:color w:val="000000" w:themeColor="text1"/>
                <w:sz w:val="24"/>
                <w:highlight w:val="none"/>
                <w:lang w:eastAsia="zh-CN"/>
                <w14:textFill>
                  <w14:solidFill>
                    <w14:schemeClr w14:val="tx1"/>
                  </w14:solidFill>
                </w14:textFill>
              </w:rPr>
              <w:t>，</w:t>
            </w:r>
            <w:r>
              <w:rPr>
                <w:rFonts w:hint="eastAsia" w:ascii="宋体" w:hAnsi="宋体" w:eastAsia="宋体" w:cs="Times New Roman"/>
                <w:color w:val="000000" w:themeColor="text1"/>
                <w:sz w:val="24"/>
                <w:highlight w:val="none"/>
                <w14:textFill>
                  <w14:solidFill>
                    <w14:schemeClr w14:val="tx1"/>
                  </w14:solidFill>
                </w14:textFill>
              </w:rPr>
              <w:t>施工期间临时交通组织按以下原则组织：</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不封路原则：应当尽量减小施工对交通造成的影响，一般情况下，不允许封闭道路进行施工；若封闭道路应有合理绕行方案。</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车道宽度设计原则：机动车道宽度一般取3.0m~3.5m，特殊情况下可取2.8m；行人和非机动车道宽度一般取2.5m，但不应小于2.0m。</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保护设施原则：对于不能在施工期间迁移的设施（通信信号机等）应当做好足够保护并设置交安设施提醒通过车辆注意避让及通行安全。</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具体管制措施如下：</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default" w:ascii="宋体" w:hAnsi="宋体" w:eastAsia="宋体" w:cs="Times New Roman"/>
                <w:color w:val="000000" w:themeColor="text1"/>
                <w:sz w:val="24"/>
                <w:highlight w:val="none"/>
                <w:lang w:val="en-US"/>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1、</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好一新市场</w:t>
            </w:r>
            <w:r>
              <w:rPr>
                <w:rFonts w:hint="eastAsia" w:cs="宋体"/>
                <w:color w:val="000000" w:themeColor="text1"/>
                <w:kern w:val="2"/>
                <w:sz w:val="24"/>
                <w:szCs w:val="24"/>
                <w:highlight w:val="none"/>
                <w:lang w:val="en-US" w:eastAsia="zh-CN" w:bidi="ar"/>
                <w14:textFill>
                  <w14:solidFill>
                    <w14:schemeClr w14:val="tx1"/>
                  </w14:solidFill>
                </w14:textFill>
              </w:rPr>
              <w:t>（已建）</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cs="宋体"/>
                <w:color w:val="000000" w:themeColor="text1"/>
                <w:kern w:val="2"/>
                <w:sz w:val="24"/>
                <w:szCs w:val="24"/>
                <w:highlight w:val="none"/>
                <w:lang w:val="en-US" w:eastAsia="zh-CN" w:bidi="ar"/>
                <w14:textFill>
                  <w14:solidFill>
                    <w14:schemeClr w14:val="tx1"/>
                  </w14:solidFill>
                </w14:textFill>
              </w:rPr>
              <w:t>位于本项目</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南侧，市场出入口与本项目底层辅道在K0+609.6处平交，为保证其出行及交通转换，在金南四期与其用地红线间开口，相接处标高以现状道路标高为准。目前因本道路未建，其出入口通过连接道路与已建环城路衔接，保障其目前出行需求。</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default" w:ascii="宋体" w:hAnsi="宋体" w:eastAsia="宋体" w:cs="宋体"/>
                <w:color w:val="000000" w:themeColor="text1"/>
                <w:kern w:val="2"/>
                <w:sz w:val="24"/>
                <w:szCs w:val="24"/>
                <w:highlight w:val="none"/>
                <w:lang w:val="en-US" w:eastAsia="zh-CN" w:bidi="ar"/>
                <w14:textFill>
                  <w14:solidFill>
                    <w14:schemeClr w14:val="tx1"/>
                  </w14:solidFill>
                </w14:textFill>
              </w:rPr>
            </w:pPr>
            <w:r>
              <w:rPr>
                <w:rFonts w:hint="eastAsia" w:cs="宋体"/>
                <w:color w:val="000000" w:themeColor="text1"/>
                <w:kern w:val="2"/>
                <w:sz w:val="24"/>
                <w:szCs w:val="24"/>
                <w:highlight w:val="none"/>
                <w:lang w:val="en-US" w:eastAsia="zh-CN" w:bidi="ar"/>
                <w14:textFill>
                  <w14:solidFill>
                    <w14:schemeClr w14:val="tx1"/>
                  </w14:solidFill>
                </w14:textFill>
              </w:rPr>
              <w:t>2、环城路（已建）</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cs="宋体"/>
                <w:color w:val="000000" w:themeColor="text1"/>
                <w:kern w:val="2"/>
                <w:sz w:val="24"/>
                <w:szCs w:val="24"/>
                <w:highlight w:val="none"/>
                <w:lang w:val="en-US" w:eastAsia="zh-CN" w:bidi="ar"/>
                <w14:textFill>
                  <w14:solidFill>
                    <w14:schemeClr w14:val="tx1"/>
                  </w14:solidFill>
                </w14:textFill>
              </w:rPr>
            </w:pPr>
            <w:r>
              <w:rPr>
                <w:rFonts w:hint="eastAsia" w:cs="宋体"/>
                <w:color w:val="000000" w:themeColor="text1"/>
                <w:kern w:val="2"/>
                <w:sz w:val="24"/>
                <w:szCs w:val="24"/>
                <w:highlight w:val="none"/>
                <w:lang w:val="en-US" w:eastAsia="zh-CN" w:bidi="ar"/>
                <w14:textFill>
                  <w14:solidFill>
                    <w14:schemeClr w14:val="tx1"/>
                  </w14:solidFill>
                </w14:textFill>
              </w:rPr>
              <w:t>位于本项目东侧，本项目修建跨线桥从环城路上方通过，跨线桥采用预制结构，建造时不影响下方环城路通行，桥蹲修建时进行局部围挡，此时对环城路其中一侧道路的通行产生一定影响，但桥墩修建工程工期短，工期结束后影响也消失。因此，本项目修建对环城路通行影响较小。</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cs="宋体"/>
                <w:color w:val="000000" w:themeColor="text1"/>
                <w:kern w:val="2"/>
                <w:sz w:val="24"/>
                <w:szCs w:val="24"/>
                <w:highlight w:val="none"/>
                <w:lang w:val="en-US" w:eastAsia="zh-CN" w:bidi="ar"/>
                <w14:textFill>
                  <w14:solidFill>
                    <w14:schemeClr w14:val="tx1"/>
                  </w14:solidFill>
                </w14:textFill>
              </w:rPr>
            </w:pPr>
            <w:r>
              <w:rPr>
                <w:rFonts w:hint="eastAsia" w:cs="宋体"/>
                <w:color w:val="000000" w:themeColor="text1"/>
                <w:kern w:val="2"/>
                <w:sz w:val="24"/>
                <w:szCs w:val="24"/>
                <w:highlight w:val="none"/>
                <w:lang w:val="en-US" w:eastAsia="zh-CN" w:bidi="ar"/>
                <w14:textFill>
                  <w14:solidFill>
                    <w14:schemeClr w14:val="tx1"/>
                  </w14:solidFill>
                </w14:textFill>
              </w:rPr>
              <w:t>3、乡道</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为减小本项目规划线路对南北侧村民出行的影响，修建时将留出临时通行道路，按照</w:t>
            </w:r>
            <w:r>
              <w:rPr>
                <w:rFonts w:hint="eastAsia" w:ascii="宋体" w:hAnsi="宋体" w:eastAsia="宋体" w:cs="Times New Roman"/>
                <w:color w:val="000000" w:themeColor="text1"/>
                <w:sz w:val="24"/>
                <w:highlight w:val="none"/>
                <w14:textFill>
                  <w14:solidFill>
                    <w14:schemeClr w14:val="tx1"/>
                  </w14:solidFill>
                </w14:textFill>
              </w:rPr>
              <w:t>车道宽度设计原则</w:t>
            </w:r>
            <w:r>
              <w:rPr>
                <w:rFonts w:hint="eastAsia" w:cs="Times New Roman"/>
                <w:color w:val="000000" w:themeColor="text1"/>
                <w:sz w:val="24"/>
                <w:highlight w:val="none"/>
                <w:lang w:val="en-US" w:eastAsia="zh-CN"/>
                <w14:textFill>
                  <w14:solidFill>
                    <w14:schemeClr w14:val="tx1"/>
                  </w14:solidFill>
                </w14:textFill>
              </w:rPr>
              <w:t>修建，后期恢复。</w:t>
            </w:r>
          </w:p>
          <w:p>
            <w:pPr>
              <w:keepNext w:val="0"/>
              <w:keepLines w:val="0"/>
              <w:suppressLineNumbers w:val="0"/>
              <w:autoSpaceDE w:val="0"/>
              <w:autoSpaceDN w:val="0"/>
              <w:adjustRightInd w:val="0"/>
              <w:spacing w:before="0" w:beforeAutospacing="0" w:after="0" w:afterAutospacing="0" w:line="360" w:lineRule="auto"/>
              <w:ind w:left="0" w:right="0" w:firstLine="482"/>
              <w:rPr>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03" w:type="dxa"/>
            <w:vAlign w:val="center"/>
          </w:tcPr>
          <w:p>
            <w:pPr>
              <w:keepNext w:val="0"/>
              <w:keepLines w:val="0"/>
              <w:suppressLineNumbers w:val="0"/>
              <w:adjustRightInd w:val="0"/>
              <w:snapToGrid w:val="0"/>
              <w:spacing w:before="0" w:beforeAutospacing="0" w:after="0" w:afterAutospacing="0"/>
              <w:ind w:left="0" w:right="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总平面及现场布置</w:t>
            </w:r>
          </w:p>
        </w:tc>
        <w:tc>
          <w:tcPr>
            <w:tcW w:w="8689" w:type="dxa"/>
            <w:vAlign w:val="center"/>
          </w:tcPr>
          <w:p>
            <w:pPr>
              <w:keepNext w:val="0"/>
              <w:keepLines w:val="0"/>
              <w:suppressLineNumbers w:val="0"/>
              <w:adjustRightInd w:val="0"/>
              <w:snapToGrid w:val="0"/>
              <w:spacing w:before="0" w:beforeAutospacing="0" w:after="0" w:afterAutospacing="0" w:line="360" w:lineRule="auto"/>
              <w:ind w:left="0" w:right="0"/>
              <w:rPr>
                <w:b/>
                <w:bCs/>
                <w:color w:val="000000" w:themeColor="text1"/>
                <w:kern w:val="0"/>
                <w:sz w:val="24"/>
                <w:highlight w:val="none"/>
                <w:lang w:val="zh-CN"/>
                <w14:textFill>
                  <w14:solidFill>
                    <w14:schemeClr w14:val="tx1"/>
                  </w14:solidFill>
                </w14:textFill>
              </w:rPr>
            </w:pPr>
            <w:r>
              <w:rPr>
                <w:rFonts w:hint="eastAsia"/>
                <w:b/>
                <w:bCs/>
                <w:color w:val="000000" w:themeColor="text1"/>
                <w:kern w:val="0"/>
                <w:sz w:val="24"/>
                <w:highlight w:val="none"/>
                <w:lang w:val="zh-CN"/>
                <w14:textFill>
                  <w14:solidFill>
                    <w14:schemeClr w14:val="tx1"/>
                  </w14:solidFill>
                </w14:textFill>
              </w:rPr>
              <w:t>（</w:t>
            </w:r>
            <w:r>
              <w:rPr>
                <w:rFonts w:hint="eastAsia"/>
                <w:b/>
                <w:bCs/>
                <w:color w:val="000000" w:themeColor="text1"/>
                <w:kern w:val="0"/>
                <w:sz w:val="24"/>
                <w:highlight w:val="none"/>
                <w:lang w:val="en-US" w:eastAsia="zh-CN"/>
                <w14:textFill>
                  <w14:solidFill>
                    <w14:schemeClr w14:val="tx1"/>
                  </w14:solidFill>
                </w14:textFill>
              </w:rPr>
              <w:t>一）</w:t>
            </w:r>
            <w:r>
              <w:rPr>
                <w:b/>
                <w:bCs/>
                <w:color w:val="000000" w:themeColor="text1"/>
                <w:kern w:val="0"/>
                <w:sz w:val="24"/>
                <w:highlight w:val="none"/>
                <w:lang w:val="zh-CN"/>
                <w14:textFill>
                  <w14:solidFill>
                    <w14:schemeClr w14:val="tx1"/>
                  </w14:solidFill>
                </w14:textFill>
              </w:rPr>
              <w:t>总平面布置简介</w:t>
            </w:r>
          </w:p>
          <w:p>
            <w:pPr>
              <w:keepNext w:val="0"/>
              <w:keepLines w:val="0"/>
              <w:widowControl/>
              <w:suppressLineNumbers w:val="0"/>
              <w:spacing w:before="0" w:beforeAutospacing="0" w:after="0" w:afterAutospacing="0" w:line="360" w:lineRule="auto"/>
              <w:ind w:left="0" w:right="0" w:firstLine="480" w:firstLineChars="200"/>
              <w:rPr>
                <w:color w:val="000000" w:themeColor="text1"/>
                <w:sz w:val="24"/>
                <w:highlight w:val="none"/>
                <w:lang w:val="zh-CN"/>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本项目道路位于</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金南大道西延线三期</w:t>
            </w:r>
            <w:r>
              <w:rPr>
                <w:rFonts w:hint="eastAsia" w:ascii="Times New Roman" w:hAnsi="Times New Roman" w:eastAsia="宋体" w:cs="Times New Roman"/>
                <w:color w:val="000000" w:themeColor="text1"/>
                <w:sz w:val="24"/>
                <w:highlight w:val="none"/>
                <w14:textFill>
                  <w14:solidFill>
                    <w14:schemeClr w14:val="tx1"/>
                  </w14:solidFill>
                </w14:textFill>
              </w:rPr>
              <w:t>与</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达州绕西高速连接线</w:t>
            </w:r>
            <w:r>
              <w:rPr>
                <w:rFonts w:hint="eastAsia" w:ascii="Times New Roman" w:hAnsi="Times New Roman" w:eastAsia="宋体" w:cs="Times New Roman"/>
                <w:color w:val="000000" w:themeColor="text1"/>
                <w:sz w:val="24"/>
                <w:highlight w:val="none"/>
                <w14:textFill>
                  <w14:solidFill>
                    <w14:schemeClr w14:val="tx1"/>
                  </w14:solidFill>
                </w14:textFill>
              </w:rPr>
              <w:t>之间，</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设计</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起点为金南大道西延线三期预留位置向东延伸242m，终点为达州绕西高速连接线隧道出口100m处（根据</w:t>
            </w:r>
            <w:r>
              <w:rPr>
                <w:rFonts w:hint="eastAsia" w:ascii="Times New Roman" w:hAnsi="Times New Roman" w:eastAsia="宋体" w:cs="Times New Roman"/>
                <w:color w:val="000000" w:themeColor="text1"/>
                <w:sz w:val="24"/>
                <w:highlight w:val="none"/>
                <w14:textFill>
                  <w14:solidFill>
                    <w14:schemeClr w14:val="tx1"/>
                  </w14:solidFill>
                </w14:textFill>
              </w:rPr>
              <w:t>《</w:t>
            </w:r>
            <w:r>
              <w:rPr>
                <w:rFonts w:ascii="Times New Roman" w:hAnsi="Times New Roman" w:eastAsia="宋体" w:cs="Times New Roman"/>
                <w:color w:val="000000" w:themeColor="text1"/>
                <w:sz w:val="24"/>
                <w:highlight w:val="none"/>
                <w14:textFill>
                  <w14:solidFill>
                    <w14:schemeClr w14:val="tx1"/>
                  </w14:solidFill>
                </w14:textFill>
              </w:rPr>
              <w:t>达州市</w:t>
            </w:r>
            <w:r>
              <w:rPr>
                <w:rFonts w:hint="eastAsia" w:ascii="Times New Roman" w:hAnsi="Times New Roman" w:eastAsia="宋体" w:cs="Times New Roman"/>
                <w:color w:val="000000" w:themeColor="text1"/>
                <w:sz w:val="24"/>
                <w:highlight w:val="none"/>
                <w14:textFill>
                  <w14:solidFill>
                    <w14:schemeClr w14:val="tx1"/>
                  </w14:solidFill>
                </w14:textFill>
              </w:rPr>
              <w:t>城乡</w:t>
            </w:r>
            <w:r>
              <w:rPr>
                <w:rFonts w:ascii="Times New Roman" w:hAnsi="Times New Roman" w:eastAsia="宋体" w:cs="Times New Roman"/>
                <w:color w:val="000000" w:themeColor="text1"/>
                <w:sz w:val="24"/>
                <w:highlight w:val="none"/>
                <w14:textFill>
                  <w14:solidFill>
                    <w14:schemeClr w14:val="tx1"/>
                  </w14:solidFill>
                </w14:textFill>
              </w:rPr>
              <w:t>规划</w:t>
            </w:r>
            <w:r>
              <w:rPr>
                <w:rFonts w:hint="eastAsia" w:ascii="Times New Roman" w:hAnsi="Times New Roman" w:eastAsia="宋体" w:cs="Times New Roman"/>
                <w:color w:val="000000" w:themeColor="text1"/>
                <w:sz w:val="24"/>
                <w:highlight w:val="none"/>
                <w14:textFill>
                  <w14:solidFill>
                    <w14:schemeClr w14:val="tx1"/>
                  </w14:solidFill>
                </w14:textFill>
              </w:rPr>
              <w:t>委员会2020年第5次会议纪要》达市规委会〔2020〕5号</w:t>
            </w:r>
            <w:r>
              <w:rPr>
                <w:rFonts w:ascii="Times New Roman" w:hAnsi="Times New Roman" w:eastAsia="宋体" w:cs="Times New Roman"/>
                <w:color w:val="000000" w:themeColor="text1"/>
                <w:sz w:val="24"/>
                <w:highlight w:val="none"/>
                <w14:textFill>
                  <w14:solidFill>
                    <w14:schemeClr w14:val="tx1"/>
                  </w14:solidFill>
                </w14:textFill>
              </w:rPr>
              <w:t>文件</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议定），</w:t>
            </w:r>
            <w:r>
              <w:rPr>
                <w:rFonts w:hint="eastAsia" w:ascii="Times New Roman" w:hAnsi="Times New Roman" w:eastAsia="宋体" w:cs="Times New Roman"/>
                <w:color w:val="000000" w:themeColor="text1"/>
                <w:sz w:val="24"/>
                <w:highlight w:val="none"/>
                <w14:textFill>
                  <w14:solidFill>
                    <w14:schemeClr w14:val="tx1"/>
                  </w14:solidFill>
                </w14:textFill>
              </w:rPr>
              <w:t>本项目道路走向由东向西</w:t>
            </w:r>
            <w:r>
              <w:rPr>
                <w:rFonts w:hint="eastAsia"/>
                <w:color w:val="000000" w:themeColor="text1"/>
                <w:sz w:val="24"/>
                <w:highlight w:val="none"/>
                <w:lang w:val="zh-CN"/>
                <w14:textFill>
                  <w14:solidFill>
                    <w14:schemeClr w14:val="tx1"/>
                  </w14:solidFill>
                </w14:textFill>
              </w:rPr>
              <w:t>。</w:t>
            </w:r>
          </w:p>
          <w:p>
            <w:pPr>
              <w:keepNext w:val="0"/>
              <w:keepLines w:val="0"/>
              <w:widowControl/>
              <w:suppressLineNumbers w:val="0"/>
              <w:spacing w:before="0" w:beforeAutospacing="0" w:after="0" w:afterAutospacing="0" w:line="360" w:lineRule="auto"/>
              <w:ind w:left="0" w:right="0" w:firstLine="480" w:firstLineChars="200"/>
              <w:rPr>
                <w:rFonts w:hint="eastAsia"/>
                <w:color w:val="000000" w:themeColor="text1"/>
                <w:highlight w:val="none"/>
                <w:lang w:val="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项目平面布置如下图</w:t>
            </w:r>
            <w:r>
              <w:rPr>
                <w:rFonts w:hint="eastAsia"/>
                <w:color w:val="000000" w:themeColor="text1"/>
                <w:sz w:val="24"/>
                <w:highlight w:val="none"/>
                <w:lang w:val="zh-CN"/>
                <w14:textFill>
                  <w14:solidFill>
                    <w14:schemeClr w14:val="tx1"/>
                  </w14:solidFill>
                </w14:textFill>
              </w:rPr>
              <w:t>。</w:t>
            </w:r>
          </w:p>
          <w:p>
            <w:pPr>
              <w:pStyle w:val="3"/>
              <w:keepNext/>
              <w:keepLines/>
              <w:pageBreakBefore w:val="0"/>
              <w:widowControl w:val="0"/>
              <w:suppressLineNumbers w:val="0"/>
              <w:kinsoku/>
              <w:wordWrap/>
              <w:overflowPunct/>
              <w:topLinePunct w:val="0"/>
              <w:autoSpaceDE/>
              <w:autoSpaceDN/>
              <w:bidi w:val="0"/>
              <w:adjustRightInd/>
              <w:snapToGrid/>
              <w:spacing w:before="0" w:after="0" w:line="240" w:lineRule="auto"/>
              <w:ind w:left="0" w:right="0"/>
              <w:jc w:val="center"/>
              <w:textAlignment w:val="auto"/>
              <w:rPr>
                <w:color w:val="000000" w:themeColor="text1"/>
                <w:highlight w:val="none"/>
                <w:lang w:val="zh-CN"/>
                <w14:textFill>
                  <w14:solidFill>
                    <w14:schemeClr w14:val="tx1"/>
                  </w14:solidFill>
                </w14:textFill>
              </w:rPr>
            </w:pPr>
            <w:r>
              <w:rPr>
                <w:color w:val="000000" w:themeColor="text1"/>
                <w:highlight w:val="none"/>
                <w:lang w:val="zh-CN"/>
                <w14:textFill>
                  <w14:solidFill>
                    <w14:schemeClr w14:val="tx1"/>
                  </w14:solidFill>
                </w14:textFill>
              </w:rPr>
              <w:drawing>
                <wp:inline distT="0" distB="0" distL="114300" distR="114300">
                  <wp:extent cx="5014595" cy="3161030"/>
                  <wp:effectExtent l="0" t="0" r="14605" b="8890"/>
                  <wp:docPr id="58" name="图片 58" descr="170486377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704863773584"/>
                          <pic:cNvPicPr>
                            <a:picLocks noChangeAspect="1"/>
                          </pic:cNvPicPr>
                        </pic:nvPicPr>
                        <pic:blipFill>
                          <a:blip r:embed="rId28"/>
                          <a:stretch>
                            <a:fillRect/>
                          </a:stretch>
                        </pic:blipFill>
                        <pic:spPr>
                          <a:xfrm>
                            <a:off x="0" y="0"/>
                            <a:ext cx="5014595" cy="3161030"/>
                          </a:xfrm>
                          <a:prstGeom prst="rect">
                            <a:avLst/>
                          </a:prstGeom>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图</w:t>
            </w:r>
            <w:r>
              <w:rPr>
                <w:rFonts w:hint="default" w:ascii="黑体" w:hAnsi="黑体" w:eastAsia="黑体" w:cs="黑体"/>
                <w:color w:val="000000" w:themeColor="text1"/>
                <w:kern w:val="0"/>
                <w:sz w:val="24"/>
                <w:szCs w:val="24"/>
                <w:highlight w:val="none"/>
                <w:lang w:val="en-US" w:eastAsia="zh-CN" w:bidi="ar"/>
                <w14:textFill>
                  <w14:solidFill>
                    <w14:schemeClr w14:val="tx1"/>
                  </w14:solidFill>
                </w14:textFill>
              </w:rPr>
              <w:t>2-1</w:t>
            </w: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4  项目平面布局示意图（实施范围</w:t>
            </w:r>
            <w:r>
              <w:rPr>
                <w:rFonts w:hint="default" w:ascii="黑体" w:hAnsi="黑体" w:eastAsia="黑体" w:cs="黑体"/>
                <w:color w:val="000000" w:themeColor="text1"/>
                <w:kern w:val="0"/>
                <w:sz w:val="24"/>
                <w:szCs w:val="24"/>
                <w:highlight w:val="none"/>
                <w:lang w:val="en-US" w:eastAsia="zh-CN" w:bidi="ar"/>
                <w14:textFill>
                  <w14:solidFill>
                    <w14:schemeClr w14:val="tx1"/>
                  </w14:solidFill>
                </w14:textFill>
              </w:rPr>
              <w:t>-</w:t>
            </w: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红色段）</w:t>
            </w:r>
          </w:p>
          <w:p>
            <w:pPr>
              <w:keepNext w:val="0"/>
              <w:keepLines w:val="0"/>
              <w:suppressLineNumbers w:val="0"/>
              <w:spacing w:before="0" w:beforeAutospacing="0" w:after="0" w:afterAutospacing="0"/>
              <w:ind w:left="0" w:right="0"/>
              <w:rPr>
                <w:color w:val="000000" w:themeColor="text1"/>
                <w:highlight w:val="none"/>
                <w:lang w:val="zh-CN"/>
                <w14:textFill>
                  <w14:solidFill>
                    <w14:schemeClr w14:val="tx1"/>
                  </w14:solidFill>
                </w14:textFill>
              </w:rPr>
            </w:pPr>
          </w:p>
          <w:p>
            <w:pPr>
              <w:keepNext w:val="0"/>
              <w:keepLines w:val="0"/>
              <w:widowControl/>
              <w:suppressLineNumbers w:val="0"/>
              <w:spacing w:before="0" w:beforeAutospacing="0" w:after="0" w:afterAutospacing="0" w:line="360" w:lineRule="auto"/>
              <w:ind w:left="0" w:right="0"/>
              <w:rPr>
                <w:rFonts w:hint="default" w:eastAsia="宋体"/>
                <w:b/>
                <w:color w:val="000000" w:themeColor="text1"/>
                <w:sz w:val="24"/>
                <w:szCs w:val="22"/>
                <w:highlight w:val="none"/>
                <w:lang w:val="en-US" w:eastAsia="zh-CN"/>
                <w14:textFill>
                  <w14:solidFill>
                    <w14:schemeClr w14:val="tx1"/>
                  </w14:solidFill>
                </w14:textFill>
              </w:rPr>
            </w:pPr>
            <w:r>
              <w:rPr>
                <w:b/>
                <w:color w:val="000000" w:themeColor="text1"/>
                <w:sz w:val="24"/>
                <w:szCs w:val="22"/>
                <w:highlight w:val="none"/>
                <w14:textFill>
                  <w14:solidFill>
                    <w14:schemeClr w14:val="tx1"/>
                  </w14:solidFill>
                </w14:textFill>
              </w:rPr>
              <w:t>（</w:t>
            </w:r>
            <w:r>
              <w:rPr>
                <w:rFonts w:hint="eastAsia"/>
                <w:b/>
                <w:color w:val="000000" w:themeColor="text1"/>
                <w:sz w:val="24"/>
                <w:szCs w:val="22"/>
                <w:highlight w:val="none"/>
                <w:lang w:val="en-US" w:eastAsia="zh-CN"/>
                <w14:textFill>
                  <w14:solidFill>
                    <w14:schemeClr w14:val="tx1"/>
                  </w14:solidFill>
                </w14:textFill>
              </w:rPr>
              <w:t>二</w:t>
            </w:r>
            <w:r>
              <w:rPr>
                <w:b/>
                <w:color w:val="000000" w:themeColor="text1"/>
                <w:sz w:val="24"/>
                <w:szCs w:val="22"/>
                <w:highlight w:val="none"/>
                <w14:textFill>
                  <w14:solidFill>
                    <w14:schemeClr w14:val="tx1"/>
                  </w14:solidFill>
                </w14:textFill>
              </w:rPr>
              <w:t>）</w:t>
            </w:r>
            <w:r>
              <w:rPr>
                <w:rFonts w:hint="eastAsia"/>
                <w:b/>
                <w:color w:val="000000" w:themeColor="text1"/>
                <w:sz w:val="24"/>
                <w:szCs w:val="22"/>
                <w:highlight w:val="none"/>
                <w:lang w:val="en-US" w:eastAsia="zh-CN"/>
                <w14:textFill>
                  <w14:solidFill>
                    <w14:schemeClr w14:val="tx1"/>
                  </w14:solidFill>
                </w14:textFill>
              </w:rPr>
              <w:t>施工布置</w:t>
            </w:r>
          </w:p>
          <w:p>
            <w:pPr>
              <w:pStyle w:val="19"/>
              <w:keepNext w:val="0"/>
              <w:keepLines w:val="0"/>
              <w:widowControl w:val="0"/>
              <w:suppressLineNumbers w:val="0"/>
              <w:spacing w:before="0" w:beforeAutospacing="0" w:after="0" w:afterAutospacing="0" w:line="360" w:lineRule="auto"/>
              <w:ind w:left="0" w:leftChars="0" w:right="0" w:firstLine="482" w:firstLineChars="200"/>
              <w:jc w:val="left"/>
              <w:rPr>
                <w:rFonts w:hint="eastAsia"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一、临时施工便道</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本工程线路穿过城市</w:t>
            </w:r>
            <w:r>
              <w:rPr>
                <w:rFonts w:hint="eastAsia" w:cs="Times New Roman"/>
                <w:color w:val="000000" w:themeColor="text1"/>
                <w:sz w:val="24"/>
                <w:highlight w:val="none"/>
                <w:lang w:val="en-US" w:eastAsia="zh-CN"/>
                <w14:textFill>
                  <w14:solidFill>
                    <w14:schemeClr w14:val="tx1"/>
                  </w14:solidFill>
                </w14:textFill>
              </w:rPr>
              <w:t>建成区</w:t>
            </w:r>
            <w:r>
              <w:rPr>
                <w:rFonts w:hint="eastAsia" w:ascii="宋体" w:hAnsi="宋体" w:eastAsia="宋体" w:cs="Times New Roman"/>
                <w:color w:val="000000" w:themeColor="text1"/>
                <w:sz w:val="24"/>
                <w:highlight w:val="none"/>
                <w14:textFill>
                  <w14:solidFill>
                    <w14:schemeClr w14:val="tx1"/>
                  </w14:solidFill>
                </w14:textFill>
              </w:rPr>
              <w:t>，周边路网</w:t>
            </w:r>
            <w:r>
              <w:rPr>
                <w:rFonts w:hint="eastAsia" w:cs="Times New Roman"/>
                <w:color w:val="000000" w:themeColor="text1"/>
                <w:sz w:val="24"/>
                <w:highlight w:val="none"/>
                <w:lang w:val="en-US" w:eastAsia="zh-CN"/>
                <w14:textFill>
                  <w14:solidFill>
                    <w14:schemeClr w14:val="tx1"/>
                  </w14:solidFill>
                </w14:textFill>
              </w:rPr>
              <w:t>较</w:t>
            </w:r>
            <w:r>
              <w:rPr>
                <w:rFonts w:hint="eastAsia" w:ascii="宋体" w:hAnsi="宋体" w:eastAsia="宋体" w:cs="Times New Roman"/>
                <w:color w:val="000000" w:themeColor="text1"/>
                <w:sz w:val="24"/>
                <w:highlight w:val="none"/>
                <w14:textFill>
                  <w14:solidFill>
                    <w14:schemeClr w14:val="tx1"/>
                  </w14:solidFill>
                </w14:textFill>
              </w:rPr>
              <w:t>发达，</w:t>
            </w:r>
            <w:r>
              <w:rPr>
                <w:rFonts w:hint="eastAsia" w:cs="Times New Roman"/>
                <w:color w:val="000000" w:themeColor="text1"/>
                <w:sz w:val="24"/>
                <w:highlight w:val="none"/>
                <w:lang w:val="en-US" w:eastAsia="zh-CN"/>
                <w14:textFill>
                  <w14:solidFill>
                    <w14:schemeClr w14:val="tx1"/>
                  </w14:solidFill>
                </w14:textFill>
              </w:rPr>
              <w:t>与本项目相交道路有</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金南大道三期（已建）、环城路（已建）、好一新市场（已建）、纵一路（规划）、纵二路（规划）</w:t>
            </w:r>
            <w:r>
              <w:rPr>
                <w:rFonts w:hint="eastAsia" w:ascii="Times New Roman" w:hAnsi="Times New Roman" w:cs="Times New Roman"/>
                <w:bCs/>
                <w:color w:val="000000" w:themeColor="text1"/>
                <w:sz w:val="24"/>
                <w:highlight w:val="none"/>
                <w:lang w:val="en-US" w:eastAsia="zh-CN"/>
                <w14:textFill>
                  <w14:solidFill>
                    <w14:schemeClr w14:val="tx1"/>
                  </w14:solidFill>
                </w14:textFill>
              </w:rPr>
              <w:t>和</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达州绕西高速连接线（在建）</w:t>
            </w:r>
            <w:r>
              <w:rPr>
                <w:rFonts w:hint="eastAsia" w:ascii="Times New Roman" w:hAnsi="Times New Roman" w:cs="Times New Roman"/>
                <w:bCs/>
                <w:color w:val="000000" w:themeColor="text1"/>
                <w:sz w:val="24"/>
                <w:highlight w:val="none"/>
                <w:lang w:val="en-US" w:eastAsia="zh-CN"/>
                <w14:textFill>
                  <w14:solidFill>
                    <w14:schemeClr w14:val="tx1"/>
                  </w14:solidFill>
                </w14:textFill>
              </w:rPr>
              <w:t>，</w:t>
            </w:r>
            <w:r>
              <w:rPr>
                <w:rFonts w:hint="eastAsia" w:ascii="宋体" w:hAnsi="宋体" w:eastAsia="宋体" w:cs="Times New Roman"/>
                <w:color w:val="000000" w:themeColor="text1"/>
                <w:sz w:val="24"/>
                <w:highlight w:val="none"/>
                <w14:textFill>
                  <w14:solidFill>
                    <w14:schemeClr w14:val="tx1"/>
                  </w14:solidFill>
                </w14:textFill>
              </w:rPr>
              <w:t>施工期间</w:t>
            </w:r>
            <w:r>
              <w:rPr>
                <w:rFonts w:hint="eastAsia" w:cs="Times New Roman"/>
                <w:color w:val="000000" w:themeColor="text1"/>
                <w:sz w:val="24"/>
                <w:highlight w:val="none"/>
                <w:lang w:val="en-US" w:eastAsia="zh-CN"/>
                <w14:textFill>
                  <w14:solidFill>
                    <w14:schemeClr w14:val="tx1"/>
                  </w14:solidFill>
                </w14:textFill>
              </w:rPr>
              <w:t>主要</w:t>
            </w:r>
            <w:r>
              <w:rPr>
                <w:rFonts w:hint="eastAsia" w:ascii="宋体" w:hAnsi="宋体" w:eastAsia="宋体" w:cs="Times New Roman"/>
                <w:color w:val="000000" w:themeColor="text1"/>
                <w:sz w:val="24"/>
                <w:highlight w:val="none"/>
                <w14:textFill>
                  <w14:solidFill>
                    <w14:schemeClr w14:val="tx1"/>
                  </w14:solidFill>
                </w14:textFill>
              </w:rPr>
              <w:t>利用周边现有道路</w:t>
            </w:r>
            <w:r>
              <w:rPr>
                <w:rFonts w:hint="eastAsia" w:cs="Times New Roman"/>
                <w:color w:val="000000" w:themeColor="text1"/>
                <w:sz w:val="24"/>
                <w:highlight w:val="none"/>
                <w:lang w:val="en-US" w:eastAsia="zh-CN"/>
                <w14:textFill>
                  <w14:solidFill>
                    <w14:schemeClr w14:val="tx1"/>
                  </w14:solidFill>
                </w14:textFill>
              </w:rPr>
              <w:t>将物料运输至现场。由于项目为新建道路，沿线无施工便道，因此，拟</w:t>
            </w:r>
            <w:r>
              <w:rPr>
                <w:rFonts w:hint="eastAsia" w:ascii="Times New Roman" w:hAnsi="Times New Roman" w:eastAsia="宋体" w:cs="Times New Roman"/>
                <w:color w:val="000000" w:themeColor="text1"/>
                <w:szCs w:val="21"/>
                <w:highlight w:val="none"/>
                <w14:textFill>
                  <w14:solidFill>
                    <w14:schemeClr w14:val="tx1"/>
                  </w14:solidFill>
                </w14:textFill>
              </w:rPr>
              <w:t>设置</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临时</w:t>
            </w:r>
            <w:r>
              <w:rPr>
                <w:rFonts w:hint="eastAsia" w:ascii="Times New Roman" w:hAnsi="Times New Roman" w:eastAsia="宋体" w:cs="Times New Roman"/>
                <w:color w:val="000000" w:themeColor="text1"/>
                <w:szCs w:val="21"/>
                <w:highlight w:val="none"/>
                <w14:textFill>
                  <w14:solidFill>
                    <w14:schemeClr w14:val="tx1"/>
                  </w14:solidFill>
                </w14:textFill>
              </w:rPr>
              <w:t>施工便道</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1条</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以碎石铺设，主要沿本项目规划线路修建，位于项目红线范围内，不新增占地</w:t>
            </w:r>
            <w:r>
              <w:rPr>
                <w:rFonts w:hint="eastAsia" w:ascii="宋体" w:hAnsi="宋体" w:eastAsia="宋体" w:cs="Times New Roman"/>
                <w:color w:val="000000" w:themeColor="text1"/>
                <w:sz w:val="24"/>
                <w:highlight w:val="none"/>
                <w14:textFill>
                  <w14:solidFill>
                    <w14:schemeClr w14:val="tx1"/>
                  </w14:solidFill>
                </w14:textFill>
              </w:rPr>
              <w:t>。</w:t>
            </w:r>
          </w:p>
          <w:p>
            <w:pPr>
              <w:pStyle w:val="19"/>
              <w:keepNext w:val="0"/>
              <w:keepLines w:val="0"/>
              <w:widowControl w:val="0"/>
              <w:suppressLineNumbers w:val="0"/>
              <w:spacing w:before="0" w:beforeAutospacing="0" w:after="0" w:afterAutospacing="0" w:line="360" w:lineRule="auto"/>
              <w:ind w:left="0" w:leftChars="0" w:right="0" w:firstLine="482" w:firstLineChars="200"/>
              <w:jc w:val="left"/>
              <w:rPr>
                <w:rFonts w:hint="eastAsia"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二、临时施工场地</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本工程涉及拆迁问题。</w:t>
            </w:r>
            <w:r>
              <w:rPr>
                <w:rFonts w:hint="eastAsia" w:cs="Times New Roman"/>
                <w:color w:val="000000" w:themeColor="text1"/>
                <w:sz w:val="24"/>
                <w:highlight w:val="none"/>
                <w:lang w:val="en-US" w:eastAsia="zh-CN"/>
                <w14:textFill>
                  <w14:solidFill>
                    <w14:schemeClr w14:val="tx1"/>
                  </w14:solidFill>
                </w14:textFill>
              </w:rPr>
              <w:t>本项目设置1处临时施工场地，</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拟选址规划外环快速路与本项目相汇处东南侧</w:t>
            </w:r>
            <w:r>
              <w:rPr>
                <w:rFonts w:hint="eastAsia" w:ascii="Times New Roman" w:hAnsi="Times New Roman" w:eastAsia="宋体" w:cs="Times New Roman"/>
                <w:color w:val="000000" w:themeColor="text1"/>
                <w:szCs w:val="21"/>
                <w:highlight w:val="none"/>
                <w14:textFill>
                  <w14:solidFill>
                    <w14:schemeClr w14:val="tx1"/>
                  </w14:solidFill>
                </w14:textFill>
              </w:rPr>
              <w:t>，占地面积约1</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Cs w:val="21"/>
                <w:highlight w:val="none"/>
                <w14:textFill>
                  <w14:solidFill>
                    <w14:schemeClr w14:val="tx1"/>
                  </w14:solidFill>
                </w14:textFill>
              </w:rPr>
              <w:t>00</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平方米</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hint="eastAsia" w:ascii="Times New Roman" w:hAnsi="Times New Roman" w:cs="Times New Roman"/>
                <w:color w:val="000000" w:themeColor="text1"/>
                <w:szCs w:val="21"/>
                <w:highlight w:val="none"/>
                <w:lang w:val="en-US" w:eastAsia="zh-CN"/>
                <w14:textFill>
                  <w14:solidFill>
                    <w14:schemeClr w14:val="tx1"/>
                  </w14:solidFill>
                </w14:textFill>
              </w:rPr>
              <w:t>采用</w:t>
            </w:r>
            <w:r>
              <w:rPr>
                <w:rFonts w:hint="eastAsia" w:ascii="Times New Roman" w:hAnsi="Times New Roman" w:eastAsia="宋体" w:cs="Times New Roman"/>
                <w:color w:val="000000" w:themeColor="text1"/>
                <w:szCs w:val="21"/>
                <w:highlight w:val="none"/>
                <w14:textFill>
                  <w14:solidFill>
                    <w14:schemeClr w14:val="tx1"/>
                  </w14:solidFill>
                </w14:textFill>
              </w:rPr>
              <w:t>集中分布共用</w:t>
            </w:r>
            <w:r>
              <w:rPr>
                <w:rFonts w:hint="eastAsia" w:ascii="Times New Roman" w:hAnsi="Times New Roman" w:cs="Times New Roman"/>
                <w:color w:val="000000" w:themeColor="text1"/>
                <w:szCs w:val="21"/>
                <w:highlight w:val="none"/>
                <w:lang w:val="en-US" w:eastAsia="zh-CN"/>
                <w14:textFill>
                  <w14:solidFill>
                    <w14:schemeClr w14:val="tx1"/>
                  </w14:solidFill>
                </w14:textFill>
              </w:rPr>
              <w:t>方式</w:t>
            </w:r>
            <w:r>
              <w:rPr>
                <w:rFonts w:hint="eastAsia" w:ascii="Times New Roman" w:hAnsi="Times New Roman" w:eastAsia="宋体" w:cs="Times New Roman"/>
                <w:color w:val="000000" w:themeColor="text1"/>
                <w:szCs w:val="21"/>
                <w:highlight w:val="none"/>
                <w14:textFill>
                  <w14:solidFill>
                    <w14:schemeClr w14:val="tx1"/>
                  </w14:solidFill>
                </w14:textFill>
              </w:rPr>
              <w:t>，主要功能为施工机械临时停放点、拌合站、钢筋笼预制（不涉及桥涵预制）、施工物料临时堆场和材料预加工场等。</w:t>
            </w:r>
            <w:r>
              <w:rPr>
                <w:rFonts w:hint="eastAsia" w:ascii="Times New Roman" w:hAnsi="Times New Roman" w:cs="Times New Roman"/>
                <w:color w:val="000000" w:themeColor="text1"/>
                <w:szCs w:val="21"/>
                <w:highlight w:val="none"/>
                <w:lang w:val="en-US" w:eastAsia="zh-CN"/>
                <w14:textFill>
                  <w14:solidFill>
                    <w14:schemeClr w14:val="tx1"/>
                  </w14:solidFill>
                </w14:textFill>
              </w:rPr>
              <w:t>场内</w:t>
            </w:r>
            <w:r>
              <w:rPr>
                <w:rFonts w:hint="eastAsia" w:ascii="宋体" w:hAnsi="宋体" w:eastAsia="宋体" w:cs="Times New Roman"/>
                <w:color w:val="000000" w:themeColor="text1"/>
                <w:sz w:val="24"/>
                <w:highlight w:val="none"/>
                <w14:textFill>
                  <w14:solidFill>
                    <w14:schemeClr w14:val="tx1"/>
                  </w14:solidFill>
                </w14:textFill>
              </w:rPr>
              <w:t>不设置食宿等设施，施工人员食宿租用附近民房解决，施工人员生活污水排放依托道路周边设施，排入市政污水管网。</w:t>
            </w:r>
            <w:r>
              <w:rPr>
                <w:rFonts w:hint="eastAsia" w:ascii="宋体" w:hAnsi="宋体" w:eastAsia="宋体" w:cs="Times New Roman"/>
                <w:color w:val="000000" w:themeColor="text1"/>
                <w:sz w:val="24"/>
                <w:highlight w:val="none"/>
                <w:lang w:val="zh-CN"/>
                <w14:textFill>
                  <w14:solidFill>
                    <w14:schemeClr w14:val="tx1"/>
                  </w14:solidFill>
                </w14:textFill>
              </w:rPr>
              <w:t>占地为交通运输用地，位于永久占地范围内，</w:t>
            </w:r>
            <w:r>
              <w:rPr>
                <w:rFonts w:hint="eastAsia" w:ascii="宋体" w:hAnsi="宋体" w:eastAsia="宋体" w:cs="Times New Roman"/>
                <w:color w:val="000000" w:themeColor="text1"/>
                <w:sz w:val="24"/>
                <w:highlight w:val="none"/>
                <w14:textFill>
                  <w14:solidFill>
                    <w14:schemeClr w14:val="tx1"/>
                  </w14:solidFill>
                </w14:textFill>
              </w:rPr>
              <w:t>不新增临时占地</w:t>
            </w:r>
            <w:r>
              <w:rPr>
                <w:rFonts w:hint="eastAsia" w:ascii="宋体" w:hAnsi="宋体" w:eastAsia="宋体" w:cs="Times New Roman"/>
                <w:color w:val="000000" w:themeColor="text1"/>
                <w:sz w:val="24"/>
                <w:highlight w:val="none"/>
                <w:lang w:val="zh-CN"/>
                <w14:textFill>
                  <w14:solidFill>
                    <w14:schemeClr w14:val="tx1"/>
                  </w14:solidFill>
                </w14:textFill>
              </w:rPr>
              <w:t>。</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根据现场勘查，施工临时设施设置点位均为地形较为平坦区域，</w:t>
            </w:r>
            <w:r>
              <w:rPr>
                <w:rFonts w:hint="eastAsia" w:cs="Times New Roman"/>
                <w:color w:val="000000" w:themeColor="text1"/>
                <w:sz w:val="24"/>
                <w:highlight w:val="none"/>
                <w:lang w:val="en-US" w:eastAsia="zh-CN"/>
                <w14:textFill>
                  <w14:solidFill>
                    <w14:schemeClr w14:val="tx1"/>
                  </w14:solidFill>
                </w14:textFill>
              </w:rPr>
              <w:t>周边农户少</w:t>
            </w:r>
            <w:r>
              <w:rPr>
                <w:rFonts w:hint="eastAsia" w:ascii="宋体" w:hAnsi="宋体" w:eastAsia="宋体" w:cs="Times New Roman"/>
                <w:color w:val="000000" w:themeColor="text1"/>
                <w:sz w:val="24"/>
                <w:highlight w:val="none"/>
                <w14:textFill>
                  <w14:solidFill>
                    <w14:schemeClr w14:val="tx1"/>
                  </w14:solidFill>
                </w14:textFill>
              </w:rPr>
              <w:t>，适合</w:t>
            </w:r>
            <w:r>
              <w:rPr>
                <w:rFonts w:hint="eastAsia" w:cs="Times New Roman"/>
                <w:color w:val="000000" w:themeColor="text1"/>
                <w:sz w:val="24"/>
                <w:highlight w:val="none"/>
                <w:lang w:val="en-US" w:eastAsia="zh-CN"/>
                <w14:textFill>
                  <w14:solidFill>
                    <w14:schemeClr w14:val="tx1"/>
                  </w14:solidFill>
                </w14:textFill>
              </w:rPr>
              <w:t>设置临时施工场地</w:t>
            </w:r>
            <w:r>
              <w:rPr>
                <w:rFonts w:hint="eastAsia" w:ascii="宋体" w:hAnsi="宋体" w:eastAsia="宋体" w:cs="Times New Roman"/>
                <w:color w:val="000000" w:themeColor="text1"/>
                <w:sz w:val="24"/>
                <w:highlight w:val="none"/>
                <w14:textFill>
                  <w14:solidFill>
                    <w14:schemeClr w14:val="tx1"/>
                  </w14:solidFill>
                </w14:textFill>
              </w:rPr>
              <w:t>。</w:t>
            </w:r>
          </w:p>
          <w:p>
            <w:pPr>
              <w:pStyle w:val="19"/>
              <w:keepNext w:val="0"/>
              <w:keepLines w:val="0"/>
              <w:widowControl w:val="0"/>
              <w:suppressLineNumbers w:val="0"/>
              <w:spacing w:before="0" w:beforeAutospacing="0" w:after="0" w:afterAutospacing="0" w:line="360" w:lineRule="auto"/>
              <w:ind w:left="0" w:leftChars="0" w:right="0" w:firstLine="482" w:firstLineChars="200"/>
              <w:jc w:val="left"/>
              <w:rPr>
                <w:rFonts w:hint="eastAsia"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三、临时堆场</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Times New Roman"/>
                <w:color w:val="000000" w:themeColor="text1"/>
                <w:sz w:val="24"/>
                <w:highlight w:val="none"/>
                <w:lang w:val="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1、</w:t>
            </w:r>
            <w:r>
              <w:rPr>
                <w:rFonts w:hint="eastAsia" w:ascii="宋体" w:hAnsi="宋体" w:eastAsia="宋体" w:cs="Times New Roman"/>
                <w:color w:val="000000" w:themeColor="text1"/>
                <w:sz w:val="24"/>
                <w:highlight w:val="none"/>
                <w:lang w:val="zh-CN"/>
                <w14:textFill>
                  <w14:solidFill>
                    <w14:schemeClr w14:val="tx1"/>
                  </w14:solidFill>
                </w14:textFill>
              </w:rPr>
              <w:t>临时堆</w:t>
            </w:r>
            <w:r>
              <w:rPr>
                <w:rFonts w:hint="eastAsia" w:cs="Times New Roman"/>
                <w:color w:val="000000" w:themeColor="text1"/>
                <w:sz w:val="24"/>
                <w:highlight w:val="none"/>
                <w:lang w:val="en-US" w:eastAsia="zh-CN"/>
                <w14:textFill>
                  <w14:solidFill>
                    <w14:schemeClr w14:val="tx1"/>
                  </w14:solidFill>
                </w14:textFill>
              </w:rPr>
              <w:t>土</w:t>
            </w:r>
            <w:r>
              <w:rPr>
                <w:rFonts w:hint="eastAsia" w:ascii="宋体" w:hAnsi="宋体" w:eastAsia="宋体" w:cs="Times New Roman"/>
                <w:color w:val="000000" w:themeColor="text1"/>
                <w:sz w:val="24"/>
                <w:highlight w:val="none"/>
                <w:lang w:val="zh-CN"/>
                <w14:textFill>
                  <w14:solidFill>
                    <w14:schemeClr w14:val="tx1"/>
                  </w14:solidFill>
                </w14:textFill>
              </w:rPr>
              <w:t>场</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本项目设置</w:t>
            </w:r>
            <w:r>
              <w:rPr>
                <w:rFonts w:hint="eastAsia" w:cs="Times New Roman"/>
                <w:color w:val="000000" w:themeColor="text1"/>
                <w:sz w:val="24"/>
                <w:highlight w:val="none"/>
                <w:lang w:val="en-US" w:eastAsia="zh-CN"/>
                <w14:textFill>
                  <w14:solidFill>
                    <w14:schemeClr w14:val="tx1"/>
                  </w14:solidFill>
                </w14:textFill>
              </w:rPr>
              <w:t>1处</w:t>
            </w:r>
            <w:r>
              <w:rPr>
                <w:rFonts w:hint="eastAsia" w:ascii="宋体" w:hAnsi="宋体" w:eastAsia="宋体" w:cs="Times New Roman"/>
                <w:color w:val="000000" w:themeColor="text1"/>
                <w:sz w:val="24"/>
                <w:highlight w:val="none"/>
                <w14:textFill>
                  <w14:solidFill>
                    <w14:schemeClr w14:val="tx1"/>
                  </w14:solidFill>
                </w14:textFill>
              </w:rPr>
              <w:t>临时堆</w:t>
            </w:r>
            <w:r>
              <w:rPr>
                <w:rFonts w:hint="eastAsia" w:cs="Times New Roman"/>
                <w:color w:val="000000" w:themeColor="text1"/>
                <w:sz w:val="24"/>
                <w:highlight w:val="none"/>
                <w:lang w:val="en-US" w:eastAsia="zh-CN"/>
                <w14:textFill>
                  <w14:solidFill>
                    <w14:schemeClr w14:val="tx1"/>
                  </w14:solidFill>
                </w14:textFill>
              </w:rPr>
              <w:t>土</w:t>
            </w:r>
            <w:r>
              <w:rPr>
                <w:rFonts w:hint="eastAsia" w:ascii="宋体" w:hAnsi="宋体" w:eastAsia="宋体" w:cs="Times New Roman"/>
                <w:color w:val="000000" w:themeColor="text1"/>
                <w:sz w:val="24"/>
                <w:highlight w:val="none"/>
                <w14:textFill>
                  <w14:solidFill>
                    <w14:schemeClr w14:val="tx1"/>
                  </w14:solidFill>
                </w14:textFill>
              </w:rPr>
              <w:t>场，</w:t>
            </w:r>
            <w:r>
              <w:rPr>
                <w:rFonts w:hint="eastAsia" w:cs="Times New Roman"/>
                <w:color w:val="000000" w:themeColor="text1"/>
                <w:sz w:val="24"/>
                <w:highlight w:val="none"/>
                <w:lang w:val="en-US" w:eastAsia="zh-CN"/>
                <w14:textFill>
                  <w14:solidFill>
                    <w14:schemeClr w14:val="tx1"/>
                  </w14:solidFill>
                </w14:textFill>
              </w:rPr>
              <w:t>采用</w:t>
            </w:r>
            <w:r>
              <w:rPr>
                <w:rFonts w:hint="eastAsia" w:ascii="宋体" w:hAnsi="宋体" w:eastAsia="宋体" w:cs="Times New Roman"/>
                <w:color w:val="000000" w:themeColor="text1"/>
                <w:sz w:val="24"/>
                <w:highlight w:val="none"/>
                <w14:textFill>
                  <w14:solidFill>
                    <w14:schemeClr w14:val="tx1"/>
                  </w14:solidFill>
                </w14:textFill>
              </w:rPr>
              <w:t>集中分布共用</w:t>
            </w:r>
            <w:r>
              <w:rPr>
                <w:rFonts w:hint="eastAsia" w:cs="Times New Roman"/>
                <w:color w:val="000000" w:themeColor="text1"/>
                <w:sz w:val="24"/>
                <w:highlight w:val="none"/>
                <w:lang w:val="en-US" w:eastAsia="zh-CN"/>
                <w14:textFill>
                  <w14:solidFill>
                    <w14:schemeClr w14:val="tx1"/>
                  </w14:solidFill>
                </w14:textFill>
              </w:rPr>
              <w:t>方式</w:t>
            </w:r>
            <w:r>
              <w:rPr>
                <w:rFonts w:hint="eastAsia" w:ascii="宋体" w:hAnsi="宋体"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紧邻临时施工场地西侧，占地面积约</w:t>
            </w:r>
            <w:r>
              <w:rPr>
                <w:rFonts w:hint="eastAsia" w:ascii="Times New Roman" w:hAnsi="Times New Roman" w:cs="Times New Roman"/>
                <w:color w:val="000000" w:themeColor="text1"/>
                <w:szCs w:val="2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00平方米。主要包括环形排水沟</w:t>
            </w:r>
            <w:r>
              <w:rPr>
                <w:rFonts w:hint="eastAsia" w:ascii="Times New Roman" w:hAnsi="Times New Roman" w:cs="Times New Roman"/>
                <w:color w:val="000000" w:themeColor="text1"/>
                <w:szCs w:val="2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00m，沉砂池1个1</w:t>
            </w:r>
            <w:r>
              <w:rPr>
                <w:rFonts w:hint="eastAsia" w:ascii="Times New Roman" w:hAnsi="Times New Roman" w:cs="Times New Roman"/>
                <w:color w:val="000000" w:themeColor="text1"/>
                <w:szCs w:val="21"/>
                <w:highlight w:val="none"/>
                <w:lang w:val="en-US" w:eastAsia="zh-CN"/>
                <w14:textFill>
                  <w14:solidFill>
                    <w14:schemeClr w14:val="tx1"/>
                  </w14:solidFill>
                </w14:textFill>
              </w:rPr>
              <w:t>0m</w:t>
            </w:r>
            <w:r>
              <w:rPr>
                <w:rFonts w:hint="eastAsia" w:ascii="Times New Roman" w:hAnsi="Times New Roman" w:cs="Times New Roman"/>
                <w:color w:val="000000" w:themeColor="text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，土袋拦挡</w:t>
            </w:r>
            <w:r>
              <w:rPr>
                <w:rFonts w:hint="eastAsia" w:ascii="Times New Roman" w:hAnsi="Times New Roman" w:cs="Times New Roman"/>
                <w:color w:val="000000" w:themeColor="text1"/>
                <w:szCs w:val="2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0m，主要功能为道路开挖土石方的暂存。</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default" w:ascii="宋体" w:hAnsi="宋体"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2、临时表土堆场</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Times New Roman"/>
                <w:color w:val="000000" w:themeColor="text1"/>
                <w:sz w:val="24"/>
                <w:highlight w:val="none"/>
                <w:lang w:val="zh-CN"/>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本项目设置</w:t>
            </w:r>
            <w:r>
              <w:rPr>
                <w:rFonts w:hint="eastAsia" w:cs="Times New Roman"/>
                <w:color w:val="000000" w:themeColor="text1"/>
                <w:sz w:val="24"/>
                <w:highlight w:val="none"/>
                <w:lang w:val="en-US" w:eastAsia="zh-CN"/>
                <w14:textFill>
                  <w14:solidFill>
                    <w14:schemeClr w14:val="tx1"/>
                  </w14:solidFill>
                </w14:textFill>
              </w:rPr>
              <w:t>1处</w:t>
            </w:r>
            <w:r>
              <w:rPr>
                <w:rFonts w:hint="eastAsia" w:ascii="宋体" w:hAnsi="宋体" w:eastAsia="宋体" w:cs="Times New Roman"/>
                <w:color w:val="000000" w:themeColor="text1"/>
                <w:sz w:val="24"/>
                <w:highlight w:val="none"/>
                <w14:textFill>
                  <w14:solidFill>
                    <w14:schemeClr w14:val="tx1"/>
                  </w14:solidFill>
                </w14:textFill>
              </w:rPr>
              <w:t>临时</w:t>
            </w:r>
            <w:r>
              <w:rPr>
                <w:rFonts w:hint="eastAsia" w:cs="Times New Roman"/>
                <w:color w:val="000000" w:themeColor="text1"/>
                <w:sz w:val="24"/>
                <w:highlight w:val="none"/>
                <w:lang w:val="en-US" w:eastAsia="zh-CN"/>
                <w14:textFill>
                  <w14:solidFill>
                    <w14:schemeClr w14:val="tx1"/>
                  </w14:solidFill>
                </w14:textFill>
              </w:rPr>
              <w:t>表土</w:t>
            </w:r>
            <w:r>
              <w:rPr>
                <w:rFonts w:hint="eastAsia" w:ascii="宋体" w:hAnsi="宋体" w:eastAsia="宋体" w:cs="Times New Roman"/>
                <w:color w:val="000000" w:themeColor="text1"/>
                <w:sz w:val="24"/>
                <w:highlight w:val="none"/>
                <w14:textFill>
                  <w14:solidFill>
                    <w14:schemeClr w14:val="tx1"/>
                  </w14:solidFill>
                </w14:textFill>
              </w:rPr>
              <w:t>场，</w:t>
            </w:r>
            <w:r>
              <w:rPr>
                <w:rFonts w:hint="eastAsia" w:cs="Times New Roman"/>
                <w:color w:val="000000" w:themeColor="text1"/>
                <w:sz w:val="24"/>
                <w:highlight w:val="none"/>
                <w:lang w:val="en-US" w:eastAsia="zh-CN"/>
                <w14:textFill>
                  <w14:solidFill>
                    <w14:schemeClr w14:val="tx1"/>
                  </w14:solidFill>
                </w14:textFill>
              </w:rPr>
              <w:t>采用</w:t>
            </w:r>
            <w:r>
              <w:rPr>
                <w:rFonts w:hint="eastAsia" w:ascii="宋体" w:hAnsi="宋体" w:eastAsia="宋体" w:cs="Times New Roman"/>
                <w:color w:val="000000" w:themeColor="text1"/>
                <w:sz w:val="24"/>
                <w:highlight w:val="none"/>
                <w14:textFill>
                  <w14:solidFill>
                    <w14:schemeClr w14:val="tx1"/>
                  </w14:solidFill>
                </w14:textFill>
              </w:rPr>
              <w:t>集中分布共用</w:t>
            </w:r>
            <w:r>
              <w:rPr>
                <w:rFonts w:hint="eastAsia" w:cs="Times New Roman"/>
                <w:color w:val="000000" w:themeColor="text1"/>
                <w:sz w:val="24"/>
                <w:highlight w:val="none"/>
                <w:lang w:val="en-US" w:eastAsia="zh-CN"/>
                <w14:textFill>
                  <w14:solidFill>
                    <w14:schemeClr w14:val="tx1"/>
                  </w14:solidFill>
                </w14:textFill>
              </w:rPr>
              <w:t>方式</w:t>
            </w:r>
            <w:r>
              <w:rPr>
                <w:rFonts w:hint="eastAsia" w:ascii="宋体" w:hAnsi="宋体"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紧邻临时堆土场南侧，占地面积约</w:t>
            </w:r>
            <w:r>
              <w:rPr>
                <w:rFonts w:hint="eastAsia" w:ascii="Times New Roman" w:hAnsi="Times New Roman" w:cs="Times New Roman"/>
                <w:color w:val="000000" w:themeColor="text1"/>
                <w:szCs w:val="2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00平方米。主要包括环形排水沟</w:t>
            </w:r>
            <w:r>
              <w:rPr>
                <w:rFonts w:hint="eastAsia" w:ascii="Times New Roman" w:hAnsi="Times New Roman" w:cs="Times New Roman"/>
                <w:color w:val="000000" w:themeColor="text1"/>
                <w:szCs w:val="21"/>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0m，沉砂池1个</w:t>
            </w:r>
            <w:r>
              <w:rPr>
                <w:rFonts w:hint="eastAsia" w:ascii="Times New Roman" w:hAnsi="Times New Roman" w:cs="Times New Roman"/>
                <w:color w:val="000000" w:themeColor="text1"/>
                <w:szCs w:val="21"/>
                <w:highlight w:val="none"/>
                <w:lang w:val="en-US" w:eastAsia="zh-CN"/>
                <w14:textFill>
                  <w14:solidFill>
                    <w14:schemeClr w14:val="tx1"/>
                  </w14:solidFill>
                </w14:textFill>
              </w:rPr>
              <w:t>m</w:t>
            </w:r>
            <w:r>
              <w:rPr>
                <w:rFonts w:hint="eastAsia" w:ascii="Times New Roman" w:hAnsi="Times New Roman" w:cs="Times New Roman"/>
                <w:color w:val="000000" w:themeColor="text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，土袋拦挡</w:t>
            </w:r>
            <w:r>
              <w:rPr>
                <w:rFonts w:hint="eastAsia" w:ascii="Times New Roman" w:hAnsi="Times New Roman" w:cs="Times New Roman"/>
                <w:color w:val="000000" w:themeColor="text1"/>
                <w:szCs w:val="2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0m，主要功能为表土的暂存，后期回用于绿化工程。</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Times New Roman"/>
                <w:color w:val="000000" w:themeColor="text1"/>
                <w:sz w:val="24"/>
                <w:highlight w:val="none"/>
                <w:lang w:val="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3、</w:t>
            </w:r>
            <w:r>
              <w:rPr>
                <w:rFonts w:hint="eastAsia" w:ascii="宋体" w:hAnsi="宋体" w:eastAsia="宋体" w:cs="Times New Roman"/>
                <w:color w:val="000000" w:themeColor="text1"/>
                <w:sz w:val="24"/>
                <w:highlight w:val="none"/>
                <w:lang w:val="zh-CN"/>
                <w14:textFill>
                  <w14:solidFill>
                    <w14:schemeClr w14:val="tx1"/>
                  </w14:solidFill>
                </w14:textFill>
              </w:rPr>
              <w:t>弃渣场</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本项目不设弃渣场，弃方均外运至政府指定弃渣场</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4、</w:t>
            </w:r>
            <w:r>
              <w:rPr>
                <w:rFonts w:hint="eastAsia" w:ascii="宋体" w:hAnsi="宋体" w:eastAsia="宋体" w:cs="Times New Roman"/>
                <w:color w:val="000000" w:themeColor="text1"/>
                <w:sz w:val="24"/>
                <w:highlight w:val="none"/>
                <w14:textFill>
                  <w14:solidFill>
                    <w14:schemeClr w14:val="tx1"/>
                  </w14:solidFill>
                </w14:textFill>
              </w:rPr>
              <w:t>料场</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ascii="宋体" w:hAnsi="宋体" w:eastAsia="宋体" w:cs="Times New Roman"/>
                <w:color w:val="000000" w:themeColor="text1"/>
                <w:sz w:val="24"/>
                <w:highlight w:val="none"/>
                <w:lang w:val="zh-CN"/>
                <w14:textFill>
                  <w14:solidFill>
                    <w14:schemeClr w14:val="tx1"/>
                  </w14:solidFill>
                </w14:textFill>
              </w:rPr>
            </w:pPr>
            <w:r>
              <w:rPr>
                <w:rFonts w:hint="eastAsia" w:ascii="宋体" w:hAnsi="宋体" w:eastAsia="宋体" w:cs="Times New Roman"/>
                <w:color w:val="000000" w:themeColor="text1"/>
                <w:sz w:val="24"/>
                <w:highlight w:val="none"/>
                <w:lang w:val="zh-CN"/>
                <w14:textFill>
                  <w14:solidFill>
                    <w14:schemeClr w14:val="tx1"/>
                  </w14:solidFill>
                </w14:textFill>
              </w:rPr>
              <w:t>项目不设料场，所需材料均外购，</w:t>
            </w:r>
            <w:r>
              <w:rPr>
                <w:rFonts w:hint="eastAsia" w:ascii="宋体" w:hAnsi="宋体" w:eastAsia="宋体" w:cs="Times New Roman"/>
                <w:color w:val="000000" w:themeColor="text1"/>
                <w:sz w:val="24"/>
                <w:highlight w:val="none"/>
                <w14:textFill>
                  <w14:solidFill>
                    <w14:schemeClr w14:val="tx1"/>
                  </w14:solidFill>
                </w14:textFill>
              </w:rPr>
              <w:t>建设单位的购料合同中应明确该工程购料所连带的水土流失防治责任及相关工作由料场业主负责。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503" w:type="dxa"/>
            <w:vAlign w:val="center"/>
          </w:tcPr>
          <w:p>
            <w:pPr>
              <w:keepNext w:val="0"/>
              <w:keepLines w:val="0"/>
              <w:suppressLineNumbers w:val="0"/>
              <w:adjustRightInd w:val="0"/>
              <w:snapToGrid w:val="0"/>
              <w:spacing w:before="0" w:beforeAutospacing="0" w:after="0" w:afterAutospacing="0"/>
              <w:ind w:left="0" w:right="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施工方案</w:t>
            </w:r>
          </w:p>
        </w:tc>
        <w:tc>
          <w:tcPr>
            <w:tcW w:w="8689" w:type="dxa"/>
            <w:vAlign w:val="center"/>
          </w:tcPr>
          <w:p>
            <w:pPr>
              <w:keepNext w:val="0"/>
              <w:keepLines w:val="0"/>
              <w:suppressLineNumbers w:val="0"/>
              <w:adjustRightInd w:val="0"/>
              <w:snapToGrid w:val="0"/>
              <w:spacing w:before="0" w:beforeAutospacing="0" w:after="0" w:afterAutospacing="0" w:line="360" w:lineRule="auto"/>
              <w:ind w:left="0" w:right="0"/>
              <w:rPr>
                <w:b/>
                <w:bCs/>
                <w:color w:val="000000" w:themeColor="text1"/>
                <w:kern w:val="0"/>
                <w:sz w:val="24"/>
                <w:highlight w:val="none"/>
                <w14:textFill>
                  <w14:solidFill>
                    <w14:schemeClr w14:val="tx1"/>
                  </w14:solidFill>
                </w14:textFill>
              </w:rPr>
            </w:pPr>
            <w:r>
              <w:rPr>
                <w:b/>
                <w:bCs/>
                <w:color w:val="000000" w:themeColor="text1"/>
                <w:kern w:val="0"/>
                <w:sz w:val="24"/>
                <w:highlight w:val="none"/>
                <w14:textFill>
                  <w14:solidFill>
                    <w14:schemeClr w14:val="tx1"/>
                  </w14:solidFill>
                </w14:textFill>
              </w:rPr>
              <w:t>（一）工艺流程简述</w:t>
            </w:r>
          </w:p>
          <w:p>
            <w:pPr>
              <w:keepNext w:val="0"/>
              <w:keepLines w:val="0"/>
              <w:suppressLineNumbers w:val="0"/>
              <w:spacing w:before="0" w:beforeAutospacing="0" w:after="0" w:afterAutospacing="0" w:line="360" w:lineRule="auto"/>
              <w:ind w:left="0" w:right="0" w:firstLine="482" w:firstLineChars="200"/>
              <w:rPr>
                <w:b/>
                <w:color w:val="000000" w:themeColor="text1"/>
                <w:sz w:val="24"/>
                <w:highlight w:val="none"/>
                <w14:textFill>
                  <w14:solidFill>
                    <w14:schemeClr w14:val="tx1"/>
                  </w14:solidFill>
                </w14:textFill>
              </w:rPr>
            </w:pPr>
            <w:r>
              <w:rPr>
                <w:rFonts w:hint="eastAsia"/>
                <w:b/>
                <w:color w:val="000000" w:themeColor="text1"/>
                <w:sz w:val="24"/>
                <w:highlight w:val="none"/>
                <w:lang w:val="en-US" w:eastAsia="zh-CN"/>
                <w14:textFill>
                  <w14:solidFill>
                    <w14:schemeClr w14:val="tx1"/>
                  </w14:solidFill>
                </w14:textFill>
              </w:rPr>
              <w:t>一</w:t>
            </w:r>
            <w:r>
              <w:rPr>
                <w:b/>
                <w:color w:val="000000" w:themeColor="text1"/>
                <w:sz w:val="24"/>
                <w:highlight w:val="none"/>
                <w14:textFill>
                  <w14:solidFill>
                    <w14:schemeClr w14:val="tx1"/>
                  </w14:solidFill>
                </w14:textFill>
              </w:rPr>
              <w:t>、施工期工程分析</w:t>
            </w:r>
          </w:p>
          <w:p>
            <w:pPr>
              <w:keepNext w:val="0"/>
              <w:keepLines w:val="0"/>
              <w:suppressLineNumbers w:val="0"/>
              <w:spacing w:before="0" w:beforeAutospacing="0" w:after="0" w:afterAutospacing="0" w:line="360" w:lineRule="auto"/>
              <w:ind w:left="0" w:right="0" w:firstLine="482" w:firstLineChars="200"/>
              <w:rPr>
                <w:b/>
                <w:color w:val="000000" w:themeColor="text1"/>
                <w:sz w:val="24"/>
                <w:highlight w:val="none"/>
                <w14:textFill>
                  <w14:solidFill>
                    <w14:schemeClr w14:val="tx1"/>
                  </w14:solidFill>
                </w14:textFill>
              </w:rPr>
            </w:pPr>
            <w:r>
              <w:rPr>
                <w:rFonts w:hint="eastAsia"/>
                <w:b/>
                <w:color w:val="000000" w:themeColor="text1"/>
                <w:sz w:val="24"/>
                <w:highlight w:val="none"/>
                <w:lang w:val="en-US" w:eastAsia="zh-CN"/>
                <w14:textFill>
                  <w14:solidFill>
                    <w14:schemeClr w14:val="tx1"/>
                  </w14:solidFill>
                </w14:textFill>
              </w:rPr>
              <w:t>1、</w:t>
            </w:r>
            <w:r>
              <w:rPr>
                <w:b/>
                <w:color w:val="000000" w:themeColor="text1"/>
                <w:sz w:val="24"/>
                <w:highlight w:val="none"/>
                <w14:textFill>
                  <w14:solidFill>
                    <w14:schemeClr w14:val="tx1"/>
                  </w14:solidFill>
                </w14:textFill>
              </w:rPr>
              <w:t>施工期工艺流程分析</w:t>
            </w:r>
          </w:p>
          <w:p>
            <w:pPr>
              <w:keepNext w:val="0"/>
              <w:keepLines w:val="0"/>
              <w:suppressLineNumbers w:val="0"/>
              <w:spacing w:before="0" w:beforeAutospacing="0" w:after="0" w:afterAutospacing="0" w:line="360" w:lineRule="auto"/>
              <w:ind w:left="0" w:right="0" w:firstLine="480" w:firstLineChars="200"/>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施工期主要污染为施工扬尘、施工噪声等，其对环境的不利影响是短暂的，将随着施工期的结束而消失。</w:t>
            </w:r>
          </w:p>
          <w:p>
            <w:pPr>
              <w:keepNext w:val="0"/>
              <w:keepLines w:val="0"/>
              <w:suppressLineNumbers w:val="0"/>
              <w:spacing w:before="0" w:beforeAutospacing="0" w:after="0" w:afterAutospacing="0" w:line="360" w:lineRule="auto"/>
              <w:ind w:left="0" w:right="0" w:firstLine="482" w:firstLineChars="200"/>
              <w:rPr>
                <w:rFonts w:hint="eastAsia"/>
                <w:b/>
                <w:color w:val="000000" w:themeColor="text1"/>
                <w:sz w:val="24"/>
                <w:highlight w:val="none"/>
                <w:lang w:eastAsia="zh-CN"/>
                <w14:textFill>
                  <w14:solidFill>
                    <w14:schemeClr w14:val="tx1"/>
                  </w14:solidFill>
                </w14:textFill>
              </w:rPr>
            </w:pPr>
            <w:r>
              <w:rPr>
                <w:rFonts w:hint="eastAsia"/>
                <w:b/>
                <w:color w:val="000000" w:themeColor="text1"/>
                <w:sz w:val="24"/>
                <w:highlight w:val="none"/>
                <w:lang w:val="en-US" w:eastAsia="zh-CN"/>
                <w14:textFill>
                  <w14:solidFill>
                    <w14:schemeClr w14:val="tx1"/>
                  </w14:solidFill>
                </w14:textFill>
              </w:rPr>
              <w:t>2、</w:t>
            </w:r>
            <w:r>
              <w:rPr>
                <w:rFonts w:hint="eastAsia"/>
                <w:b/>
                <w:color w:val="000000" w:themeColor="text1"/>
                <w:sz w:val="24"/>
                <w:highlight w:val="none"/>
                <w:lang w:eastAsia="zh-CN"/>
                <w14:textFill>
                  <w14:solidFill>
                    <w14:schemeClr w14:val="tx1"/>
                  </w14:solidFill>
                </w14:textFill>
              </w:rPr>
              <w:t>施工期工艺流程</w:t>
            </w:r>
          </w:p>
          <w:p>
            <w:pPr>
              <w:keepNext w:val="0"/>
              <w:keepLines w:val="0"/>
              <w:suppressLineNumbers w:val="0"/>
              <w:spacing w:before="0" w:beforeAutospacing="0" w:after="0" w:afterAutospacing="0" w:line="360" w:lineRule="auto"/>
              <w:ind w:left="0" w:right="0" w:firstLine="482" w:firstLineChars="200"/>
              <w:rPr>
                <w:rFonts w:ascii="Times New Roman" w:hAnsi="Times New Roman"/>
                <w:b/>
                <w:color w:val="000000" w:themeColor="text1"/>
                <w:sz w:val="24"/>
                <w:highlight w:val="none"/>
                <w14:textFill>
                  <w14:solidFill>
                    <w14:schemeClr w14:val="tx1"/>
                  </w14:solidFill>
                </w14:textFill>
              </w:rPr>
            </w:pPr>
            <w:r>
              <w:rPr>
                <w:rFonts w:ascii="Times New Roman" w:hAnsi="Times New Roman"/>
                <w:b/>
                <w:color w:val="000000" w:themeColor="text1"/>
                <w:sz w:val="24"/>
                <w:highlight w:val="none"/>
                <w14:textFill>
                  <w14:solidFill>
                    <w14:schemeClr w14:val="tx1"/>
                  </w14:solidFill>
                </w14:textFill>
              </w:rPr>
              <w:t>（1）道路工程</w:t>
            </w:r>
          </w:p>
          <w:p>
            <w:pPr>
              <w:pStyle w:val="32"/>
              <w:keepNext w:val="0"/>
              <w:keepLines w:val="0"/>
              <w:suppressLineNumbers w:val="0"/>
              <w:spacing w:before="0" w:beforeAutospacing="0" w:after="0" w:afterAutospacing="0" w:line="360" w:lineRule="auto"/>
              <w:ind w:left="0" w:right="0" w:firstLine="480" w:firstLineChars="200"/>
              <w:rPr>
                <w:rFonts w:ascii="Times New Roman" w:hAnsi="Times New Roman" w:eastAsia="宋体"/>
                <w:bCs/>
                <w:color w:val="000000" w:themeColor="text1"/>
                <w:kern w:val="2"/>
                <w:highlight w:val="none"/>
                <w14:textFill>
                  <w14:solidFill>
                    <w14:schemeClr w14:val="tx1"/>
                  </w14:solidFill>
                </w14:textFill>
              </w:rPr>
            </w:pPr>
            <w:r>
              <w:rPr>
                <w:rFonts w:ascii="Times New Roman" w:hAnsi="Times New Roman" w:eastAsia="宋体"/>
                <w:bCs/>
                <w:color w:val="000000" w:themeColor="text1"/>
                <w:kern w:val="2"/>
                <w:highlight w:val="none"/>
                <w14:textFill>
                  <w14:solidFill>
                    <w14:schemeClr w14:val="tx1"/>
                  </w14:solidFill>
                </w14:textFill>
              </w:rPr>
              <w:t>道路工程施工流程及产污节点图如图所示：</w:t>
            </w:r>
          </w:p>
          <w:p>
            <w:pPr>
              <w:pStyle w:val="32"/>
              <w:keepNext w:val="0"/>
              <w:keepLines w:val="0"/>
              <w:suppressLineNumbers w:val="0"/>
              <w:spacing w:before="0" w:beforeAutospacing="0" w:after="0" w:afterAutospacing="0" w:line="360" w:lineRule="auto"/>
              <w:ind w:left="0" w:right="0"/>
              <w:rPr>
                <w:rFonts w:ascii="Times New Roman" w:hAnsi="Times New Roman" w:eastAsia="宋体"/>
                <w:bCs/>
                <w:color w:val="000000" w:themeColor="text1"/>
                <w:kern w:val="2"/>
                <w:highlight w:val="none"/>
                <w14:textFill>
                  <w14:solidFill>
                    <w14:schemeClr w14:val="tx1"/>
                  </w14:solidFill>
                </w14:textFill>
              </w:rPr>
            </w:pPr>
            <w:r>
              <w:rPr>
                <w:rFonts w:ascii="Times New Roman" w:hAnsi="Times New Roman" w:eastAsia="宋体"/>
                <w:bCs/>
                <w:color w:val="000000" w:themeColor="text1"/>
                <w:kern w:val="2"/>
                <w:highlight w:val="none"/>
                <w14:textFill>
                  <w14:solidFill>
                    <w14:schemeClr w14:val="tx1"/>
                  </w14:solidFill>
                </w14:textFill>
              </w:rPr>
              <mc:AlternateContent>
                <mc:Choice Requires="wpc">
                  <w:drawing>
                    <wp:inline distT="0" distB="0" distL="114300" distR="114300">
                      <wp:extent cx="5432425" cy="2686685"/>
                      <wp:effectExtent l="0" t="4445" r="8255" b="6350"/>
                      <wp:docPr id="164" name="画布 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5" name="文本框 135"/>
                              <wps:cNvSpPr txBox="1"/>
                              <wps:spPr>
                                <a:xfrm>
                                  <a:off x="46355" y="922020"/>
                                  <a:ext cx="735965" cy="425450"/>
                                </a:xfrm>
                                <a:prstGeom prst="rect">
                                  <a:avLst/>
                                </a:prstGeom>
                                <a:noFill/>
                                <a:ln w="3175" cap="flat" cmpd="sng">
                                  <a:solidFill>
                                    <a:srgbClr val="000000"/>
                                  </a:solidFill>
                                  <a:prstDash val="solid"/>
                                  <a:miter/>
                                  <a:headEnd type="none" w="med" len="med"/>
                                  <a:tailEnd type="none" w="med" len="med"/>
                                </a:ln>
                              </wps:spPr>
                              <wps:txbx>
                                <w:txbxContent>
                                  <w:p>
                                    <w:pPr>
                                      <w:rPr>
                                        <w:rFonts w:hint="default" w:ascii="宋体" w:hAnsi="宋体" w:eastAsia="宋体" w:cs="宋体"/>
                                        <w:lang w:val="en-US" w:eastAsia="zh-CN"/>
                                      </w:rPr>
                                    </w:pPr>
                                    <w:r>
                                      <w:rPr>
                                        <w:rFonts w:hint="eastAsia" w:ascii="宋体" w:hAnsi="宋体" w:cs="宋体"/>
                                        <w:lang w:val="en-US" w:eastAsia="zh-CN"/>
                                      </w:rPr>
                                      <w:t>路线平整清障</w:t>
                                    </w:r>
                                  </w:p>
                                </w:txbxContent>
                              </wps:txbx>
                              <wps:bodyPr upright="1"/>
                            </wps:wsp>
                            <wps:wsp>
                              <wps:cNvPr id="136" name="文本框 136"/>
                              <wps:cNvSpPr txBox="1"/>
                              <wps:spPr>
                                <a:xfrm>
                                  <a:off x="1005840" y="932180"/>
                                  <a:ext cx="873125" cy="423545"/>
                                </a:xfrm>
                                <a:prstGeom prst="rect">
                                  <a:avLst/>
                                </a:prstGeom>
                                <a:noFill/>
                                <a:ln w="3175" cap="flat" cmpd="sng">
                                  <a:solidFill>
                                    <a:srgbClr val="000000"/>
                                  </a:solidFill>
                                  <a:prstDash val="solid"/>
                                  <a:miter/>
                                  <a:headEnd type="none" w="med" len="med"/>
                                  <a:tailEnd type="none" w="med" len="med"/>
                                </a:ln>
                              </wps:spPr>
                              <wps:txbx>
                                <w:txbxContent>
                                  <w:p>
                                    <w:pPr>
                                      <w:rPr>
                                        <w:rFonts w:hint="default" w:ascii="宋体" w:hAnsi="宋体" w:eastAsia="宋体" w:cs="宋体"/>
                                        <w:lang w:val="en-US" w:eastAsia="zh-CN"/>
                                      </w:rPr>
                                    </w:pPr>
                                    <w:r>
                                      <w:rPr>
                                        <w:rFonts w:hint="eastAsia" w:ascii="宋体" w:hAnsi="宋体" w:cs="宋体"/>
                                        <w:lang w:val="en-US" w:eastAsia="zh-CN"/>
                                      </w:rPr>
                                      <w:t>路基土石方工程</w:t>
                                    </w:r>
                                  </w:p>
                                </w:txbxContent>
                              </wps:txbx>
                              <wps:bodyPr upright="1"/>
                            </wps:wsp>
                            <wps:wsp>
                              <wps:cNvPr id="137" name="文本框 137"/>
                              <wps:cNvSpPr txBox="1"/>
                              <wps:spPr>
                                <a:xfrm>
                                  <a:off x="3477260" y="923925"/>
                                  <a:ext cx="735965" cy="322580"/>
                                </a:xfrm>
                                <a:prstGeom prst="rect">
                                  <a:avLst/>
                                </a:prstGeom>
                                <a:noFill/>
                                <a:ln w="3175" cap="flat" cmpd="sng">
                                  <a:solidFill>
                                    <a:srgbClr val="000000"/>
                                  </a:solidFill>
                                  <a:prstDash val="solid"/>
                                  <a:miter/>
                                  <a:headEnd type="none" w="med" len="med"/>
                                  <a:tailEnd type="none" w="med" len="med"/>
                                </a:ln>
                              </wps:spPr>
                              <wps:txbx>
                                <w:txbxContent>
                                  <w:p>
                                    <w:pPr>
                                      <w:rPr>
                                        <w:rFonts w:hint="eastAsia" w:ascii="宋体" w:hAnsi="宋体" w:cs="宋体"/>
                                      </w:rPr>
                                    </w:pPr>
                                    <w:r>
                                      <w:rPr>
                                        <w:rFonts w:hint="eastAsia" w:ascii="宋体" w:hAnsi="宋体" w:cs="宋体"/>
                                      </w:rPr>
                                      <w:t>路基施工</w:t>
                                    </w:r>
                                  </w:p>
                                </w:txbxContent>
                              </wps:txbx>
                              <wps:bodyPr upright="1"/>
                            </wps:wsp>
                            <wps:wsp>
                              <wps:cNvPr id="138" name="文本框 138"/>
                              <wps:cNvSpPr txBox="1"/>
                              <wps:spPr>
                                <a:xfrm>
                                  <a:off x="4609465" y="925195"/>
                                  <a:ext cx="735965" cy="321945"/>
                                </a:xfrm>
                                <a:prstGeom prst="rect">
                                  <a:avLst/>
                                </a:prstGeom>
                                <a:noFill/>
                                <a:ln w="3175" cap="flat" cmpd="sng">
                                  <a:solidFill>
                                    <a:srgbClr val="000000"/>
                                  </a:solidFill>
                                  <a:prstDash val="solid"/>
                                  <a:miter/>
                                  <a:headEnd type="none" w="med" len="med"/>
                                  <a:tailEnd type="none" w="med" len="med"/>
                                </a:ln>
                              </wps:spPr>
                              <wps:txbx>
                                <w:txbxContent>
                                  <w:p>
                                    <w:pPr>
                                      <w:rPr>
                                        <w:rFonts w:hint="eastAsia" w:ascii="宋体" w:hAnsi="宋体" w:cs="宋体"/>
                                      </w:rPr>
                                    </w:pPr>
                                    <w:r>
                                      <w:rPr>
                                        <w:rFonts w:hint="eastAsia" w:ascii="宋体" w:hAnsi="宋体" w:cs="宋体"/>
                                      </w:rPr>
                                      <w:t>路面施工</w:t>
                                    </w:r>
                                  </w:p>
                                </w:txbxContent>
                              </wps:txbx>
                              <wps:bodyPr upright="1"/>
                            </wps:wsp>
                            <wps:wsp>
                              <wps:cNvPr id="139" name="文本框 139"/>
                              <wps:cNvSpPr txBox="1"/>
                              <wps:spPr>
                                <a:xfrm>
                                  <a:off x="4615180" y="1811655"/>
                                  <a:ext cx="735330" cy="324485"/>
                                </a:xfrm>
                                <a:prstGeom prst="rect">
                                  <a:avLst/>
                                </a:prstGeom>
                                <a:noFill/>
                                <a:ln w="3175" cap="flat" cmpd="sng">
                                  <a:solidFill>
                                    <a:srgbClr val="000000"/>
                                  </a:solidFill>
                                  <a:prstDash val="solid"/>
                                  <a:miter/>
                                  <a:headEnd type="none" w="med" len="med"/>
                                  <a:tailEnd type="none" w="med" len="med"/>
                                </a:ln>
                              </wps:spPr>
                              <wps:txbx>
                                <w:txbxContent>
                                  <w:p>
                                    <w:pPr>
                                      <w:rPr>
                                        <w:rFonts w:hint="eastAsia" w:ascii="宋体" w:hAnsi="宋体" w:cs="宋体"/>
                                      </w:rPr>
                                    </w:pPr>
                                    <w:r>
                                      <w:rPr>
                                        <w:rFonts w:hint="eastAsia" w:ascii="宋体" w:hAnsi="宋体" w:cs="宋体"/>
                                      </w:rPr>
                                      <w:t>交</w:t>
                                    </w:r>
                                    <w:r>
                                      <w:rPr>
                                        <w:rFonts w:hint="eastAsia" w:ascii="宋体" w:hAnsi="宋体" w:cs="宋体"/>
                                        <w:lang w:val="en-US" w:eastAsia="zh-CN"/>
                                      </w:rPr>
                                      <w:t>安</w:t>
                                    </w:r>
                                    <w:r>
                                      <w:rPr>
                                        <w:rFonts w:hint="eastAsia" w:ascii="宋体" w:hAnsi="宋体" w:cs="宋体"/>
                                      </w:rPr>
                                      <w:t>工程</w:t>
                                    </w:r>
                                  </w:p>
                                </w:txbxContent>
                              </wps:txbx>
                              <wps:bodyPr upright="1"/>
                            </wps:wsp>
                            <wps:wsp>
                              <wps:cNvPr id="140" name="文本框 140"/>
                              <wps:cNvSpPr txBox="1"/>
                              <wps:spPr>
                                <a:xfrm>
                                  <a:off x="3495040" y="1814195"/>
                                  <a:ext cx="742950" cy="321945"/>
                                </a:xfrm>
                                <a:prstGeom prst="rect">
                                  <a:avLst/>
                                </a:prstGeom>
                                <a:noFill/>
                                <a:ln w="3175" cap="flat" cmpd="sng">
                                  <a:solidFill>
                                    <a:srgbClr val="000000"/>
                                  </a:solidFill>
                                  <a:prstDash val="solid"/>
                                  <a:miter/>
                                  <a:headEnd type="none" w="med" len="med"/>
                                  <a:tailEnd type="none" w="med" len="med"/>
                                </a:ln>
                              </wps:spPr>
                              <wps:txbx>
                                <w:txbxContent>
                                  <w:p>
                                    <w:pPr>
                                      <w:rPr>
                                        <w:rFonts w:hint="eastAsia" w:ascii="宋体" w:hAnsi="宋体" w:cs="宋体"/>
                                      </w:rPr>
                                    </w:pPr>
                                    <w:r>
                                      <w:rPr>
                                        <w:rFonts w:hint="eastAsia" w:ascii="宋体" w:hAnsi="宋体" w:cs="宋体"/>
                                      </w:rPr>
                                      <w:t>绿化工程</w:t>
                                    </w:r>
                                  </w:p>
                                </w:txbxContent>
                              </wps:txbx>
                              <wps:bodyPr upright="1"/>
                            </wps:wsp>
                            <wps:wsp>
                              <wps:cNvPr id="141" name="文本框 141"/>
                              <wps:cNvSpPr txBox="1"/>
                              <wps:spPr>
                                <a:xfrm>
                                  <a:off x="2154555" y="888365"/>
                                  <a:ext cx="1028700" cy="462915"/>
                                </a:xfrm>
                                <a:prstGeom prst="rect">
                                  <a:avLst/>
                                </a:prstGeom>
                                <a:noFill/>
                                <a:ln w="3175" cap="flat" cmpd="sng">
                                  <a:solidFill>
                                    <a:srgbClr val="000000"/>
                                  </a:solidFill>
                                  <a:prstDash val="solid"/>
                                  <a:miter/>
                                  <a:headEnd type="none" w="med" len="med"/>
                                  <a:tailEnd type="none" w="med" len="med"/>
                                </a:ln>
                              </wps:spPr>
                              <wps:txbx>
                                <w:txbxContent>
                                  <w:p>
                                    <w:pPr>
                                      <w:rPr>
                                        <w:rFonts w:hint="eastAsia" w:ascii="宋体" w:hAnsi="宋体" w:cs="宋体"/>
                                      </w:rPr>
                                    </w:pPr>
                                    <w:r>
                                      <w:rPr>
                                        <w:rFonts w:hint="eastAsia" w:ascii="宋体" w:hAnsi="宋体" w:cs="宋体"/>
                                      </w:rPr>
                                      <w:t>桥涵工程</w:t>
                                    </w:r>
                                  </w:p>
                                  <w:p>
                                    <w:pPr>
                                      <w:pStyle w:val="32"/>
                                      <w:rPr>
                                        <w:rFonts w:hint="eastAsia" w:ascii="宋体" w:hAnsi="宋体" w:eastAsia="宋体" w:cs="宋体"/>
                                        <w:color w:val="auto"/>
                                        <w:kern w:val="2"/>
                                        <w:sz w:val="21"/>
                                      </w:rPr>
                                    </w:pPr>
                                    <w:r>
                                      <w:rPr>
                                        <w:rFonts w:hint="eastAsia" w:ascii="宋体" w:hAnsi="宋体" w:eastAsia="宋体" w:cs="宋体"/>
                                        <w:color w:val="auto"/>
                                        <w:kern w:val="2"/>
                                        <w:sz w:val="21"/>
                                      </w:rPr>
                                      <w:t>市政管线工程</w:t>
                                    </w:r>
                                  </w:p>
                                </w:txbxContent>
                              </wps:txbx>
                              <wps:bodyPr upright="1"/>
                            </wps:wsp>
                            <wps:wsp>
                              <wps:cNvPr id="142" name="文本框 142"/>
                              <wps:cNvSpPr txBox="1"/>
                              <wps:spPr>
                                <a:xfrm>
                                  <a:off x="2357755" y="1814195"/>
                                  <a:ext cx="744855" cy="324485"/>
                                </a:xfrm>
                                <a:prstGeom prst="rect">
                                  <a:avLst/>
                                </a:prstGeom>
                                <a:noFill/>
                                <a:ln w="3175" cap="flat" cmpd="sng">
                                  <a:solidFill>
                                    <a:srgbClr val="000000"/>
                                  </a:solidFill>
                                  <a:prstDash val="solid"/>
                                  <a:miter/>
                                  <a:headEnd type="none" w="med" len="med"/>
                                  <a:tailEnd type="none" w="med" len="med"/>
                                </a:ln>
                              </wps:spPr>
                              <wps:txbx>
                                <w:txbxContent>
                                  <w:p>
                                    <w:pPr>
                                      <w:rPr>
                                        <w:rFonts w:hint="eastAsia" w:ascii="宋体" w:hAnsi="宋体" w:cs="宋体"/>
                                      </w:rPr>
                                    </w:pPr>
                                    <w:r>
                                      <w:rPr>
                                        <w:rFonts w:hint="eastAsia" w:ascii="宋体" w:hAnsi="宋体" w:cs="宋体"/>
                                      </w:rPr>
                                      <w:t>配套设施</w:t>
                                    </w:r>
                                  </w:p>
                                </w:txbxContent>
                              </wps:txbx>
                              <wps:bodyPr upright="1"/>
                            </wps:wsp>
                            <wps:wsp>
                              <wps:cNvPr id="143" name="文本框 143"/>
                              <wps:cNvSpPr txBox="1"/>
                              <wps:spPr>
                                <a:xfrm>
                                  <a:off x="1255395" y="1812925"/>
                                  <a:ext cx="744855" cy="323215"/>
                                </a:xfrm>
                                <a:prstGeom prst="rect">
                                  <a:avLst/>
                                </a:prstGeom>
                                <a:noFill/>
                                <a:ln w="3175" cap="flat" cmpd="sng">
                                  <a:solidFill>
                                    <a:srgbClr val="000000"/>
                                  </a:solidFill>
                                  <a:prstDash val="solid"/>
                                  <a:miter/>
                                  <a:headEnd type="none" w="med" len="med"/>
                                  <a:tailEnd type="none" w="med" len="med"/>
                                </a:ln>
                              </wps:spPr>
                              <wps:txbx>
                                <w:txbxContent>
                                  <w:p>
                                    <w:pPr>
                                      <w:rPr>
                                        <w:rFonts w:hint="eastAsia" w:ascii="宋体" w:hAnsi="宋体" w:cs="宋体"/>
                                      </w:rPr>
                                    </w:pPr>
                                    <w:r>
                                      <w:rPr>
                                        <w:rFonts w:hint="eastAsia" w:ascii="宋体" w:hAnsi="宋体" w:cs="宋体"/>
                                      </w:rPr>
                                      <w:t>道路运营</w:t>
                                    </w:r>
                                  </w:p>
                                </w:txbxContent>
                              </wps:txbx>
                              <wps:bodyPr upright="1"/>
                            </wps:wsp>
                            <wps:wsp>
                              <wps:cNvPr id="144" name="直接箭头连接符 144"/>
                              <wps:cNvCnPr>
                                <a:endCxn id="136" idx="1"/>
                              </wps:cNvCnPr>
                              <wps:spPr>
                                <a:xfrm>
                                  <a:off x="782320" y="1143000"/>
                                  <a:ext cx="223520" cy="1270"/>
                                </a:xfrm>
                                <a:prstGeom prst="straightConnector1">
                                  <a:avLst/>
                                </a:prstGeom>
                                <a:ln w="3175" cap="flat" cmpd="sng">
                                  <a:solidFill>
                                    <a:srgbClr val="000000"/>
                                  </a:solidFill>
                                  <a:prstDash val="solid"/>
                                  <a:headEnd type="none" w="med" len="med"/>
                                  <a:tailEnd type="triangle" w="med" len="med"/>
                                </a:ln>
                              </wps:spPr>
                              <wps:bodyPr/>
                            </wps:wsp>
                            <wps:wsp>
                              <wps:cNvPr id="145" name="直接箭头连接符 145"/>
                              <wps:cNvCnPr>
                                <a:endCxn id="141" idx="1"/>
                              </wps:cNvCnPr>
                              <wps:spPr>
                                <a:xfrm flipV="1">
                                  <a:off x="1889760" y="1120140"/>
                                  <a:ext cx="264795" cy="3175"/>
                                </a:xfrm>
                                <a:prstGeom prst="straightConnector1">
                                  <a:avLst/>
                                </a:prstGeom>
                                <a:ln w="3175" cap="flat" cmpd="sng">
                                  <a:solidFill>
                                    <a:srgbClr val="000000"/>
                                  </a:solidFill>
                                  <a:prstDash val="solid"/>
                                  <a:headEnd type="none" w="med" len="med"/>
                                  <a:tailEnd type="triangle" w="med" len="med"/>
                                </a:ln>
                              </wps:spPr>
                              <wps:bodyPr/>
                            </wps:wsp>
                            <wps:wsp>
                              <wps:cNvPr id="146" name="直接箭头连接符 146"/>
                              <wps:cNvCnPr/>
                              <wps:spPr>
                                <a:xfrm>
                                  <a:off x="3194050" y="1082675"/>
                                  <a:ext cx="316230" cy="2540"/>
                                </a:xfrm>
                                <a:prstGeom prst="straightConnector1">
                                  <a:avLst/>
                                </a:prstGeom>
                                <a:ln w="3175" cap="flat" cmpd="sng">
                                  <a:solidFill>
                                    <a:srgbClr val="000000"/>
                                  </a:solidFill>
                                  <a:prstDash val="solid"/>
                                  <a:headEnd type="none" w="med" len="med"/>
                                  <a:tailEnd type="triangle" w="med" len="med"/>
                                </a:ln>
                              </wps:spPr>
                              <wps:bodyPr/>
                            </wps:wsp>
                            <wps:wsp>
                              <wps:cNvPr id="147" name="直接箭头连接符 147"/>
                              <wps:cNvCnPr/>
                              <wps:spPr>
                                <a:xfrm>
                                  <a:off x="4221480" y="1085215"/>
                                  <a:ext cx="396240" cy="1270"/>
                                </a:xfrm>
                                <a:prstGeom prst="straightConnector1">
                                  <a:avLst/>
                                </a:prstGeom>
                                <a:ln w="3175" cap="flat" cmpd="sng">
                                  <a:solidFill>
                                    <a:srgbClr val="000000"/>
                                  </a:solidFill>
                                  <a:prstDash val="solid"/>
                                  <a:headEnd type="none" w="med" len="med"/>
                                  <a:tailEnd type="triangle" w="med" len="med"/>
                                </a:ln>
                              </wps:spPr>
                              <wps:bodyPr/>
                            </wps:wsp>
                            <wps:wsp>
                              <wps:cNvPr id="148" name="直接箭头连接符 148"/>
                              <wps:cNvCnPr/>
                              <wps:spPr>
                                <a:xfrm>
                                  <a:off x="4977765" y="1247140"/>
                                  <a:ext cx="5080" cy="564515"/>
                                </a:xfrm>
                                <a:prstGeom prst="straightConnector1">
                                  <a:avLst/>
                                </a:prstGeom>
                                <a:ln w="3175" cap="flat" cmpd="sng">
                                  <a:solidFill>
                                    <a:srgbClr val="000000"/>
                                  </a:solidFill>
                                  <a:prstDash val="solid"/>
                                  <a:headEnd type="none" w="med" len="med"/>
                                  <a:tailEnd type="triangle" w="med" len="med"/>
                                </a:ln>
                              </wps:spPr>
                              <wps:bodyPr/>
                            </wps:wsp>
                            <wps:wsp>
                              <wps:cNvPr id="149" name="直接箭头连接符 149"/>
                              <wps:cNvCnPr/>
                              <wps:spPr>
                                <a:xfrm flipH="1">
                                  <a:off x="4246245" y="1974215"/>
                                  <a:ext cx="377190" cy="1270"/>
                                </a:xfrm>
                                <a:prstGeom prst="straightConnector1">
                                  <a:avLst/>
                                </a:prstGeom>
                                <a:ln w="3175" cap="flat" cmpd="sng">
                                  <a:solidFill>
                                    <a:srgbClr val="000000"/>
                                  </a:solidFill>
                                  <a:prstDash val="solid"/>
                                  <a:headEnd type="none" w="med" len="med"/>
                                  <a:tailEnd type="triangle" w="med" len="med"/>
                                </a:ln>
                              </wps:spPr>
                              <wps:bodyPr/>
                            </wps:wsp>
                            <wps:wsp>
                              <wps:cNvPr id="150" name="直接箭头连接符 150"/>
                              <wps:cNvCnPr/>
                              <wps:spPr>
                                <a:xfrm flipH="1">
                                  <a:off x="3110865" y="1975485"/>
                                  <a:ext cx="392430" cy="1270"/>
                                </a:xfrm>
                                <a:prstGeom prst="straightConnector1">
                                  <a:avLst/>
                                </a:prstGeom>
                                <a:ln w="3175" cap="flat" cmpd="sng">
                                  <a:solidFill>
                                    <a:srgbClr val="000000"/>
                                  </a:solidFill>
                                  <a:prstDash val="solid"/>
                                  <a:headEnd type="none" w="med" len="med"/>
                                  <a:tailEnd type="triangle" w="med" len="med"/>
                                </a:ln>
                              </wps:spPr>
                              <wps:bodyPr/>
                            </wps:wsp>
                            <wps:wsp>
                              <wps:cNvPr id="151" name="直接箭头连接符 151"/>
                              <wps:cNvCnPr/>
                              <wps:spPr>
                                <a:xfrm flipH="1" flipV="1">
                                  <a:off x="2008505" y="1974850"/>
                                  <a:ext cx="357505" cy="1905"/>
                                </a:xfrm>
                                <a:prstGeom prst="straightConnector1">
                                  <a:avLst/>
                                </a:prstGeom>
                                <a:ln w="3175" cap="flat" cmpd="sng">
                                  <a:solidFill>
                                    <a:srgbClr val="000000"/>
                                  </a:solidFill>
                                  <a:prstDash val="solid"/>
                                  <a:headEnd type="none" w="med" len="med"/>
                                  <a:tailEnd type="triangle" w="med" len="med"/>
                                </a:ln>
                              </wps:spPr>
                              <wps:bodyPr/>
                            </wps:wsp>
                            <wps:wsp>
                              <wps:cNvPr id="152" name="文本框 152"/>
                              <wps:cNvSpPr txBox="1"/>
                              <wps:spPr>
                                <a:xfrm>
                                  <a:off x="8255" y="19050"/>
                                  <a:ext cx="824865" cy="461645"/>
                                </a:xfrm>
                                <a:prstGeom prst="rect">
                                  <a:avLst/>
                                </a:prstGeom>
                                <a:noFill/>
                                <a:ln w="3175" cap="flat" cmpd="sng">
                                  <a:solidFill>
                                    <a:srgbClr val="000000"/>
                                  </a:solidFill>
                                  <a:prstDash val="dash"/>
                                  <a:miter/>
                                  <a:headEnd type="none" w="med" len="med"/>
                                  <a:tailEnd type="none" w="med" len="med"/>
                                </a:ln>
                              </wps:spPr>
                              <wps:txbx>
                                <w:txbxContent>
                                  <w:p>
                                    <w:pPr>
                                      <w:rPr>
                                        <w:rFonts w:hint="eastAsia" w:ascii="宋体" w:hAnsi="宋体" w:cs="宋体"/>
                                      </w:rPr>
                                    </w:pPr>
                                    <w:r>
                                      <w:rPr>
                                        <w:rFonts w:hint="eastAsia" w:ascii="宋体" w:hAnsi="宋体" w:cs="宋体"/>
                                      </w:rPr>
                                      <w:t>噪声、扬尘、弃渣</w:t>
                                    </w:r>
                                  </w:p>
                                </w:txbxContent>
                              </wps:txbx>
                              <wps:bodyPr upright="1"/>
                            </wps:wsp>
                            <wps:wsp>
                              <wps:cNvPr id="153" name="文本框 153"/>
                              <wps:cNvSpPr txBox="1"/>
                              <wps:spPr>
                                <a:xfrm>
                                  <a:off x="939165" y="5080"/>
                                  <a:ext cx="687070" cy="485775"/>
                                </a:xfrm>
                                <a:prstGeom prst="rect">
                                  <a:avLst/>
                                </a:prstGeom>
                                <a:noFill/>
                                <a:ln w="3175" cap="flat" cmpd="sng">
                                  <a:solidFill>
                                    <a:srgbClr val="000000"/>
                                  </a:solidFill>
                                  <a:prstDash val="dash"/>
                                  <a:miter/>
                                  <a:headEnd type="none" w="med" len="med"/>
                                  <a:tailEnd type="none" w="med" len="med"/>
                                </a:ln>
                              </wps:spPr>
                              <wps:txbx>
                                <w:txbxContent>
                                  <w:p>
                                    <w:pPr>
                                      <w:rPr>
                                        <w:rFonts w:hint="eastAsia" w:ascii="宋体" w:hAnsi="宋体" w:cs="宋体"/>
                                      </w:rPr>
                                    </w:pPr>
                                    <w:r>
                                      <w:rPr>
                                        <w:rFonts w:hint="eastAsia" w:ascii="宋体" w:hAnsi="宋体" w:cs="宋体"/>
                                      </w:rPr>
                                      <w:t>水土流失、扬尘</w:t>
                                    </w:r>
                                  </w:p>
                                </w:txbxContent>
                              </wps:txbx>
                              <wps:bodyPr upright="1"/>
                            </wps:wsp>
                            <wps:wsp>
                              <wps:cNvPr id="154" name="文本框 154"/>
                              <wps:cNvSpPr txBox="1"/>
                              <wps:spPr>
                                <a:xfrm>
                                  <a:off x="1744345" y="0"/>
                                  <a:ext cx="1489075" cy="485775"/>
                                </a:xfrm>
                                <a:prstGeom prst="rect">
                                  <a:avLst/>
                                </a:prstGeom>
                                <a:noFill/>
                                <a:ln w="3175" cap="flat" cmpd="sng">
                                  <a:solidFill>
                                    <a:srgbClr val="000000"/>
                                  </a:solidFill>
                                  <a:prstDash val="dash"/>
                                  <a:miter/>
                                  <a:headEnd type="none" w="med" len="med"/>
                                  <a:tailEnd type="none" w="med" len="med"/>
                                </a:ln>
                              </wps:spPr>
                              <wps:txbx>
                                <w:txbxContent>
                                  <w:p>
                                    <w:pPr>
                                      <w:rPr>
                                        <w:rFonts w:hint="eastAsia" w:ascii="宋体" w:hAnsi="宋体" w:cs="宋体"/>
                                      </w:rPr>
                                    </w:pPr>
                                    <w:r>
                                      <w:rPr>
                                        <w:rFonts w:hint="eastAsia" w:ascii="宋体" w:hAnsi="宋体" w:cs="宋体"/>
                                      </w:rPr>
                                      <w:t>噪声、水土流失、扬尘、固废、废气、废水</w:t>
                                    </w:r>
                                  </w:p>
                                </w:txbxContent>
                              </wps:txbx>
                              <wps:bodyPr upright="1"/>
                            </wps:wsp>
                            <wps:wsp>
                              <wps:cNvPr id="155" name="文本框 155"/>
                              <wps:cNvSpPr txBox="1"/>
                              <wps:spPr>
                                <a:xfrm>
                                  <a:off x="3200400" y="0"/>
                                  <a:ext cx="1270635" cy="485775"/>
                                </a:xfrm>
                                <a:prstGeom prst="rect">
                                  <a:avLst/>
                                </a:prstGeom>
                                <a:noFill/>
                                <a:ln w="3175" cap="flat" cmpd="sng">
                                  <a:solidFill>
                                    <a:srgbClr val="000000"/>
                                  </a:solidFill>
                                  <a:prstDash val="dash"/>
                                  <a:miter/>
                                  <a:headEnd type="none" w="med" len="med"/>
                                  <a:tailEnd type="none" w="med" len="med"/>
                                </a:ln>
                              </wps:spPr>
                              <wps:txbx>
                                <w:txbxContent>
                                  <w:p>
                                    <w:pPr>
                                      <w:rPr>
                                        <w:rFonts w:hint="eastAsia" w:ascii="宋体" w:hAnsi="宋体" w:cs="宋体"/>
                                      </w:rPr>
                                    </w:pPr>
                                    <w:r>
                                      <w:rPr>
                                        <w:rFonts w:hint="eastAsia" w:ascii="宋体" w:hAnsi="宋体" w:cs="宋体"/>
                                      </w:rPr>
                                      <w:t>噪声、水土流失、扬尘、固废、废水</w:t>
                                    </w:r>
                                  </w:p>
                                </w:txbxContent>
                              </wps:txbx>
                              <wps:bodyPr upright="1"/>
                            </wps:wsp>
                            <wps:wsp>
                              <wps:cNvPr id="156" name="文本框 156"/>
                              <wps:cNvSpPr txBox="1"/>
                              <wps:spPr>
                                <a:xfrm>
                                  <a:off x="4563110" y="24765"/>
                                  <a:ext cx="824865" cy="461645"/>
                                </a:xfrm>
                                <a:prstGeom prst="rect">
                                  <a:avLst/>
                                </a:prstGeom>
                                <a:noFill/>
                                <a:ln w="3175" cap="flat" cmpd="sng">
                                  <a:solidFill>
                                    <a:srgbClr val="000000"/>
                                  </a:solidFill>
                                  <a:prstDash val="dash"/>
                                  <a:miter/>
                                  <a:headEnd type="none" w="med" len="med"/>
                                  <a:tailEnd type="none" w="med" len="med"/>
                                </a:ln>
                              </wps:spPr>
                              <wps:txbx>
                                <w:txbxContent>
                                  <w:p>
                                    <w:pPr>
                                      <w:rPr>
                                        <w:rFonts w:hint="eastAsia" w:ascii="宋体" w:hAnsi="宋体" w:cs="宋体"/>
                                      </w:rPr>
                                    </w:pPr>
                                    <w:r>
                                      <w:rPr>
                                        <w:rFonts w:hint="eastAsia" w:ascii="宋体" w:hAnsi="宋体" w:cs="宋体"/>
                                      </w:rPr>
                                      <w:t>噪声、废水、废气</w:t>
                                    </w:r>
                                  </w:p>
                                </w:txbxContent>
                              </wps:txbx>
                              <wps:bodyPr upright="1"/>
                            </wps:wsp>
                            <wps:wsp>
                              <wps:cNvPr id="157" name="文本框 157"/>
                              <wps:cNvSpPr txBox="1"/>
                              <wps:spPr>
                                <a:xfrm>
                                  <a:off x="1062355" y="2385695"/>
                                  <a:ext cx="1126490" cy="275590"/>
                                </a:xfrm>
                                <a:prstGeom prst="rect">
                                  <a:avLst/>
                                </a:prstGeom>
                                <a:noFill/>
                                <a:ln w="3175" cap="flat" cmpd="sng">
                                  <a:solidFill>
                                    <a:srgbClr val="000000"/>
                                  </a:solidFill>
                                  <a:prstDash val="dash"/>
                                  <a:miter/>
                                  <a:headEnd type="none" w="med" len="med"/>
                                  <a:tailEnd type="none" w="med" len="med"/>
                                </a:ln>
                              </wps:spPr>
                              <wps:txbx>
                                <w:txbxContent>
                                  <w:p>
                                    <w:pPr>
                                      <w:rPr>
                                        <w:rFonts w:hint="eastAsia" w:ascii="宋体" w:hAnsi="宋体" w:cs="宋体"/>
                                      </w:rPr>
                                    </w:pPr>
                                    <w:r>
                                      <w:rPr>
                                        <w:rFonts w:hint="eastAsia" w:ascii="宋体" w:hAnsi="宋体" w:cs="宋体"/>
                                      </w:rPr>
                                      <w:t>汽车尾气、噪声</w:t>
                                    </w:r>
                                  </w:p>
                                </w:txbxContent>
                              </wps:txbx>
                              <wps:bodyPr upright="1"/>
                            </wps:wsp>
                            <wps:wsp>
                              <wps:cNvPr id="158" name="直接箭头连接符 158"/>
                              <wps:cNvCnPr/>
                              <wps:spPr>
                                <a:xfrm flipV="1">
                                  <a:off x="414655" y="480695"/>
                                  <a:ext cx="6350" cy="449580"/>
                                </a:xfrm>
                                <a:prstGeom prst="straightConnector1">
                                  <a:avLst/>
                                </a:prstGeom>
                                <a:ln w="3175" cap="flat" cmpd="sng">
                                  <a:solidFill>
                                    <a:srgbClr val="000000"/>
                                  </a:solidFill>
                                  <a:prstDash val="dash"/>
                                  <a:headEnd type="none" w="med" len="med"/>
                                  <a:tailEnd type="triangle" w="med" len="med"/>
                                </a:ln>
                              </wps:spPr>
                              <wps:bodyPr/>
                            </wps:wsp>
                            <wps:wsp>
                              <wps:cNvPr id="159" name="直接箭头连接符 159"/>
                              <wps:cNvCnPr/>
                              <wps:spPr>
                                <a:xfrm flipH="1" flipV="1">
                                  <a:off x="1315720" y="490855"/>
                                  <a:ext cx="3175" cy="441325"/>
                                </a:xfrm>
                                <a:prstGeom prst="straightConnector1">
                                  <a:avLst/>
                                </a:prstGeom>
                                <a:ln w="3175" cap="flat" cmpd="sng">
                                  <a:solidFill>
                                    <a:srgbClr val="000000"/>
                                  </a:solidFill>
                                  <a:prstDash val="dash"/>
                                  <a:headEnd type="none" w="med" len="med"/>
                                  <a:tailEnd type="triangle" w="med" len="med"/>
                                </a:ln>
                              </wps:spPr>
                              <wps:bodyPr/>
                            </wps:wsp>
                            <wps:wsp>
                              <wps:cNvPr id="160" name="直接箭头连接符 160"/>
                              <wps:cNvCnPr/>
                              <wps:spPr>
                                <a:xfrm flipV="1">
                                  <a:off x="2575560" y="469900"/>
                                  <a:ext cx="1905" cy="171450"/>
                                </a:xfrm>
                                <a:prstGeom prst="straightConnector1">
                                  <a:avLst/>
                                </a:prstGeom>
                                <a:ln w="3175" cap="flat" cmpd="sng">
                                  <a:solidFill>
                                    <a:srgbClr val="000000"/>
                                  </a:solidFill>
                                  <a:prstDash val="dash"/>
                                  <a:headEnd type="none" w="med" len="med"/>
                                  <a:tailEnd type="triangle" w="med" len="med"/>
                                </a:ln>
                              </wps:spPr>
                              <wps:bodyPr/>
                            </wps:wsp>
                            <wps:wsp>
                              <wps:cNvPr id="161" name="直接箭头连接符 161"/>
                              <wps:cNvCnPr/>
                              <wps:spPr>
                                <a:xfrm flipH="1" flipV="1">
                                  <a:off x="3836035" y="485775"/>
                                  <a:ext cx="9525" cy="438150"/>
                                </a:xfrm>
                                <a:prstGeom prst="straightConnector1">
                                  <a:avLst/>
                                </a:prstGeom>
                                <a:ln w="3175" cap="flat" cmpd="sng">
                                  <a:solidFill>
                                    <a:srgbClr val="000000"/>
                                  </a:solidFill>
                                  <a:prstDash val="dash"/>
                                  <a:headEnd type="none" w="med" len="med"/>
                                  <a:tailEnd type="triangle" w="med" len="med"/>
                                </a:ln>
                              </wps:spPr>
                              <wps:bodyPr/>
                            </wps:wsp>
                            <wps:wsp>
                              <wps:cNvPr id="162" name="直接箭头连接符 162"/>
                              <wps:cNvCnPr/>
                              <wps:spPr>
                                <a:xfrm flipH="1" flipV="1">
                                  <a:off x="4975860" y="486410"/>
                                  <a:ext cx="1905" cy="438785"/>
                                </a:xfrm>
                                <a:prstGeom prst="straightConnector1">
                                  <a:avLst/>
                                </a:prstGeom>
                                <a:ln w="3175" cap="flat" cmpd="sng">
                                  <a:solidFill>
                                    <a:srgbClr val="000000"/>
                                  </a:solidFill>
                                  <a:prstDash val="dash"/>
                                  <a:headEnd type="none" w="med" len="med"/>
                                  <a:tailEnd type="triangle" w="med" len="med"/>
                                </a:ln>
                              </wps:spPr>
                              <wps:bodyPr/>
                            </wps:wsp>
                            <wps:wsp>
                              <wps:cNvPr id="163" name="直接箭头连接符 163"/>
                              <wps:cNvCnPr/>
                              <wps:spPr>
                                <a:xfrm flipH="1">
                                  <a:off x="1625600" y="2136140"/>
                                  <a:ext cx="2540" cy="249555"/>
                                </a:xfrm>
                                <a:prstGeom prst="straightConnector1">
                                  <a:avLst/>
                                </a:prstGeom>
                                <a:ln w="3175" cap="flat" cmpd="sng">
                                  <a:solidFill>
                                    <a:srgbClr val="000000"/>
                                  </a:solidFill>
                                  <a:prstDash val="dash"/>
                                  <a:headEnd type="none" w="med" len="med"/>
                                  <a:tailEnd type="triangle" w="med" len="med"/>
                                </a:ln>
                              </wps:spPr>
                              <wps:bodyPr/>
                            </wps:wsp>
                          </wpc:wpc>
                        </a:graphicData>
                      </a:graphic>
                    </wp:inline>
                  </w:drawing>
                </mc:Choice>
                <mc:Fallback>
                  <w:pict>
                    <v:group id="_x0000_s1026" o:spid="_x0000_s1026" o:spt="203" style="height:211.55pt;width:427.75pt;" coordsize="5432425,2686685" editas="canvas" o:gfxdata="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">
                      <o:lock v:ext="edit" aspectratio="f"/>
                      <v:shape id="_x0000_s1026" o:spid="_x0000_s1026" style="position:absolute;left:0;top:0;height:2686685;width:5432425;" filled="f" stroked="f" coordsize="21600,21600" o:gfxdata="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&#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">
                        <v:fill on="f" focussize="0,0"/>
                        <v:stroke on="f"/>
                        <v:imagedata o:title=""/>
                        <o:lock v:ext="edit" aspectratio="t"/>
                      </v:shape>
                      <v:shape id="_x0000_s1026" o:spid="_x0000_s1026" o:spt="202" type="#_x0000_t202" style="position:absolute;left:46355;top:922020;height:425450;width:735965;" filled="f" stroked="t" coordsize="21600,21600" o:gfxdata="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sYktUAAAAFAQAADwAAAAAAAAABACAA&#10;AAAiAAAAZHJzL2Rvd25yZXYueG1sUEsBAhQAFAAAAAgAh07iQBdBS7IQAgAAGQQAAA4AAAAAAAAA&#10;AQAgAAAAJAEAAGRycy9lMm9Eb2MueG1sUEsFBgAAAAAGAAYAWQEAAKYFAAAAAA==&#10;">
                        <v:fill on="f" focussize="0,0"/>
                        <v:stroke weight="0.25pt" color="#000000" joinstyle="miter"/>
                        <v:imagedata o:title=""/>
                        <o:lock v:ext="edit" aspectratio="f"/>
                        <v:textbox>
                          <w:txbxContent>
                            <w:p>
                              <w:pPr>
                                <w:rPr>
                                  <w:rFonts w:hint="default" w:ascii="宋体" w:hAnsi="宋体" w:eastAsia="宋体" w:cs="宋体"/>
                                  <w:lang w:val="en-US" w:eastAsia="zh-CN"/>
                                </w:rPr>
                              </w:pPr>
                              <w:r>
                                <w:rPr>
                                  <w:rFonts w:hint="eastAsia" w:ascii="宋体" w:hAnsi="宋体" w:cs="宋体"/>
                                  <w:lang w:val="en-US" w:eastAsia="zh-CN"/>
                                </w:rPr>
                                <w:t>路线平整清障</w:t>
                              </w:r>
                            </w:p>
                          </w:txbxContent>
                        </v:textbox>
                      </v:shape>
                      <v:shape id="_x0000_s1026" o:spid="_x0000_s1026" o:spt="202" type="#_x0000_t202" style="position:absolute;left:1005840;top:932180;height:423545;width:873125;" filled="f" stroked="t" coordsize="21600,21600" o:gfxdata="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sYktUAAAAFAQAADwAAAAAAAAABACAA&#10;AAAiAAAAZHJzL2Rvd25yZXYueG1sUEsBAhQAFAAAAAgAh07iQPQbcUIQAgAAGwQAAA4AAAAAAAAA&#10;AQAgAAAAJAEAAGRycy9lMm9Eb2MueG1sUEsFBgAAAAAGAAYAWQEAAKYFAAAAAA==&#10;">
                        <v:fill on="f" focussize="0,0"/>
                        <v:stroke weight="0.25pt" color="#000000" joinstyle="miter"/>
                        <v:imagedata o:title=""/>
                        <o:lock v:ext="edit" aspectratio="f"/>
                        <v:textbox>
                          <w:txbxContent>
                            <w:p>
                              <w:pPr>
                                <w:rPr>
                                  <w:rFonts w:hint="default" w:ascii="宋体" w:hAnsi="宋体" w:eastAsia="宋体" w:cs="宋体"/>
                                  <w:lang w:val="en-US" w:eastAsia="zh-CN"/>
                                </w:rPr>
                              </w:pPr>
                              <w:r>
                                <w:rPr>
                                  <w:rFonts w:hint="eastAsia" w:ascii="宋体" w:hAnsi="宋体" w:cs="宋体"/>
                                  <w:lang w:val="en-US" w:eastAsia="zh-CN"/>
                                </w:rPr>
                                <w:t>路基土石方工程</w:t>
                              </w:r>
                            </w:p>
                          </w:txbxContent>
                        </v:textbox>
                      </v:shape>
                      <v:shape id="_x0000_s1026" o:spid="_x0000_s1026" o:spt="202" type="#_x0000_t202" style="position:absolute;left:3477260;top:923925;height:322580;width:735965;" filled="f" stroked="t" coordsize="21600,21600" o:gfxdata="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vrGJLVAAAABQEAAA8AAAAAAAAA&#10;AQAgAAAAIgAAAGRycy9kb3ducmV2LnhtbFBLAQIUABQAAAAIAIdO4kAmrm8NFAIAABsEAAAOAAAA&#10;AAAAAAEAIAAAACQBAABkcnMvZTJvRG9jLnhtbFBLBQYAAAAABgAGAFkBAACqBQAAAAA=&#10;">
                        <v:fill on="f" focussize="0,0"/>
                        <v:stroke weight="0.25pt" color="#000000" joinstyle="miter"/>
                        <v:imagedata o:title=""/>
                        <o:lock v:ext="edit" aspectratio="f"/>
                        <v:textbox>
                          <w:txbxContent>
                            <w:p>
                              <w:pPr>
                                <w:rPr>
                                  <w:rFonts w:hint="eastAsia" w:ascii="宋体" w:hAnsi="宋体" w:cs="宋体"/>
                                </w:rPr>
                              </w:pPr>
                              <w:r>
                                <w:rPr>
                                  <w:rFonts w:hint="eastAsia" w:ascii="宋体" w:hAnsi="宋体" w:cs="宋体"/>
                                </w:rPr>
                                <w:t>路基施工</w:t>
                              </w:r>
                            </w:p>
                          </w:txbxContent>
                        </v:textbox>
                      </v:shape>
                      <v:shape id="_x0000_s1026" o:spid="_x0000_s1026" o:spt="202" type="#_x0000_t202" style="position:absolute;left:4609465;top:925195;height:321945;width:735965;" filled="f" stroked="t" coordsize="21600,21600" o:gfxdata="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76xiS1QAAAAUBAAAPAAAAAAAAAAEAIAAA&#10;ACIAAABkcnMvZG93bnJldi54bWxQSwECFAAUAAAACACHTuJAT1fOzQ8CAAAbBAAADgAAAAAAAAAB&#10;ACAAAAAkAQAAZHJzL2Uyb0RvYy54bWxQSwUGAAAAAAYABgBZAQAApQUAAAAA&#10;">
                        <v:fill on="f" focussize="0,0"/>
                        <v:stroke weight="0.25pt" color="#000000" joinstyle="miter"/>
                        <v:imagedata o:title=""/>
                        <o:lock v:ext="edit" aspectratio="f"/>
                        <v:textbox>
                          <w:txbxContent>
                            <w:p>
                              <w:pPr>
                                <w:rPr>
                                  <w:rFonts w:hint="eastAsia" w:ascii="宋体" w:hAnsi="宋体" w:cs="宋体"/>
                                </w:rPr>
                              </w:pPr>
                              <w:r>
                                <w:rPr>
                                  <w:rFonts w:hint="eastAsia" w:ascii="宋体" w:hAnsi="宋体" w:cs="宋体"/>
                                </w:rPr>
                                <w:t>路面施工</w:t>
                              </w:r>
                            </w:p>
                          </w:txbxContent>
                        </v:textbox>
                      </v:shape>
                      <v:shape id="_x0000_s1026" o:spid="_x0000_s1026" o:spt="202" type="#_x0000_t202" style="position:absolute;left:4615180;top:1811655;height:324485;width:735330;" filled="f" stroked="t" coordsize="21600,21600" o:gfxdata="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76xiS1QAAAAUBAAAPAAAAAAAAAAEA&#10;IAAAACIAAABkcnMvZG93bnJldi54bWxQSwECFAAUAAAACACHTuJACGcY5hICAAAcBAAADgAAAAAA&#10;AAABACAAAAAkAQAAZHJzL2Uyb0RvYy54bWxQSwUGAAAAAAYABgBZAQAAqAUAAAAA&#10;">
                        <v:fill on="f" focussize="0,0"/>
                        <v:stroke weight="0.25pt" color="#000000" joinstyle="miter"/>
                        <v:imagedata o:title=""/>
                        <o:lock v:ext="edit" aspectratio="f"/>
                        <v:textbox>
                          <w:txbxContent>
                            <w:p>
                              <w:pPr>
                                <w:rPr>
                                  <w:rFonts w:hint="eastAsia" w:ascii="宋体" w:hAnsi="宋体" w:cs="宋体"/>
                                </w:rPr>
                              </w:pPr>
                              <w:r>
                                <w:rPr>
                                  <w:rFonts w:hint="eastAsia" w:ascii="宋体" w:hAnsi="宋体" w:cs="宋体"/>
                                </w:rPr>
                                <w:t>交</w:t>
                              </w:r>
                              <w:r>
                                <w:rPr>
                                  <w:rFonts w:hint="eastAsia" w:ascii="宋体" w:hAnsi="宋体" w:cs="宋体"/>
                                  <w:lang w:val="en-US" w:eastAsia="zh-CN"/>
                                </w:rPr>
                                <w:t>安</w:t>
                              </w:r>
                              <w:r>
                                <w:rPr>
                                  <w:rFonts w:hint="eastAsia" w:ascii="宋体" w:hAnsi="宋体" w:cs="宋体"/>
                                </w:rPr>
                                <w:t>工程</w:t>
                              </w:r>
                            </w:p>
                          </w:txbxContent>
                        </v:textbox>
                      </v:shape>
                      <v:shape id="_x0000_s1026" o:spid="_x0000_s1026" o:spt="202" type="#_x0000_t202" style="position:absolute;left:3495040;top:1814195;height:321945;width:742950;" filled="f" stroked="t" coordsize="21600,21600" o:gfxdata="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vrGJLVAAAABQEAAA8AAAAAAAAAAQAg&#10;AAAAIgAAAGRycy9kb3ducmV2LnhtbFBLAQIUABQAAAAIAIdO4kB1OzWjEQIAABwEAAAOAAAAAAAA&#10;AAEAIAAAACQBAABkcnMvZTJvRG9jLnhtbFBLBQYAAAAABgAGAFkBAACnBQAAAAA=&#10;">
                        <v:fill on="f" focussize="0,0"/>
                        <v:stroke weight="0.25pt" color="#000000" joinstyle="miter"/>
                        <v:imagedata o:title=""/>
                        <o:lock v:ext="edit" aspectratio="f"/>
                        <v:textbox>
                          <w:txbxContent>
                            <w:p>
                              <w:pPr>
                                <w:rPr>
                                  <w:rFonts w:hint="eastAsia" w:ascii="宋体" w:hAnsi="宋体" w:cs="宋体"/>
                                </w:rPr>
                              </w:pPr>
                              <w:r>
                                <w:rPr>
                                  <w:rFonts w:hint="eastAsia" w:ascii="宋体" w:hAnsi="宋体" w:cs="宋体"/>
                                </w:rPr>
                                <w:t>绿化工程</w:t>
                              </w:r>
                            </w:p>
                          </w:txbxContent>
                        </v:textbox>
                      </v:shape>
                      <v:shape id="_x0000_s1026" o:spid="_x0000_s1026" o:spt="202" type="#_x0000_t202" style="position:absolute;left:2154555;top:888365;height:462915;width:1028700;" filled="f" stroked="t" coordsize="21600,21600" o:gfxdata="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vrGJLVAAAABQEAAA8AAAAAAAAA&#10;AQAgAAAAIgAAAGRycy9kb3ducmV2LnhtbFBLAQIUABQAAAAIAIdO4kBhL0X4FAIAABwEAAAOAAAA&#10;AAAAAAEAIAAAACQBAABkcnMvZTJvRG9jLnhtbFBLBQYAAAAABgAGAFkBAACqBQAAAAA=&#10;">
                        <v:fill on="f" focussize="0,0"/>
                        <v:stroke weight="0.25pt" color="#000000" joinstyle="miter"/>
                        <v:imagedata o:title=""/>
                        <o:lock v:ext="edit" aspectratio="f"/>
                        <v:textbox>
                          <w:txbxContent>
                            <w:p>
                              <w:pPr>
                                <w:rPr>
                                  <w:rFonts w:hint="eastAsia" w:ascii="宋体" w:hAnsi="宋体" w:cs="宋体"/>
                                </w:rPr>
                              </w:pPr>
                              <w:r>
                                <w:rPr>
                                  <w:rFonts w:hint="eastAsia" w:ascii="宋体" w:hAnsi="宋体" w:cs="宋体"/>
                                </w:rPr>
                                <w:t>桥涵工程</w:t>
                              </w:r>
                            </w:p>
                            <w:p>
                              <w:pPr>
                                <w:pStyle w:val="32"/>
                                <w:rPr>
                                  <w:rFonts w:hint="eastAsia" w:ascii="宋体" w:hAnsi="宋体" w:eastAsia="宋体" w:cs="宋体"/>
                                  <w:color w:val="auto"/>
                                  <w:kern w:val="2"/>
                                  <w:sz w:val="21"/>
                                </w:rPr>
                              </w:pPr>
                              <w:r>
                                <w:rPr>
                                  <w:rFonts w:hint="eastAsia" w:ascii="宋体" w:hAnsi="宋体" w:eastAsia="宋体" w:cs="宋体"/>
                                  <w:color w:val="auto"/>
                                  <w:kern w:val="2"/>
                                  <w:sz w:val="21"/>
                                </w:rPr>
                                <w:t>市政管线工程</w:t>
                              </w:r>
                            </w:p>
                          </w:txbxContent>
                        </v:textbox>
                      </v:shape>
                      <v:shape id="_x0000_s1026" o:spid="_x0000_s1026" o:spt="202" type="#_x0000_t202" style="position:absolute;left:2357755;top:1814195;height:324485;width:744855;" filled="f" stroked="t" coordsize="21600,21600" o:gfxdata="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sYktUAAAAFAQAADwAAAAAAAAABACAAAAAi&#10;AAAAZHJzL2Rvd25yZXYueG1sUEsBAhQAFAAAAAgAh07iQO10uGINAgAAHAQAAA4AAAAAAAAAAQAg&#10;AAAAJAEAAGRycy9lMm9Eb2MueG1sUEsFBgAAAAAGAAYAWQEAAKMFAAAAAA==&#10;">
                        <v:fill on="f" focussize="0,0"/>
                        <v:stroke weight="0.25pt" color="#000000" joinstyle="miter"/>
                        <v:imagedata o:title=""/>
                        <o:lock v:ext="edit" aspectratio="f"/>
                        <v:textbox>
                          <w:txbxContent>
                            <w:p>
                              <w:pPr>
                                <w:rPr>
                                  <w:rFonts w:hint="eastAsia" w:ascii="宋体" w:hAnsi="宋体" w:cs="宋体"/>
                                </w:rPr>
                              </w:pPr>
                              <w:r>
                                <w:rPr>
                                  <w:rFonts w:hint="eastAsia" w:ascii="宋体" w:hAnsi="宋体" w:cs="宋体"/>
                                </w:rPr>
                                <w:t>配套设施</w:t>
                              </w:r>
                            </w:p>
                          </w:txbxContent>
                        </v:textbox>
                      </v:shape>
                      <v:shape id="_x0000_s1026" o:spid="_x0000_s1026" o:spt="202" type="#_x0000_t202" style="position:absolute;left:1255395;top:1812925;height:323215;width:744855;" filled="f" stroked="t" coordsize="21600,21600" o:gfxdata="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vrGJLVAAAABQEAAA8AAAAAAAAAAQAg&#10;AAAAIgAAAGRycy9kb3ducmV2LnhtbFBLAQIUABQAAAAIAIdO4kABAYcmEQIAABwEAAAOAAAAAAAA&#10;AAEAIAAAACQBAABkcnMvZTJvRG9jLnhtbFBLBQYAAAAABgAGAFkBAACnBQAAAAA=&#10;">
                        <v:fill on="f" focussize="0,0"/>
                        <v:stroke weight="0.25pt" color="#000000" joinstyle="miter"/>
                        <v:imagedata o:title=""/>
                        <o:lock v:ext="edit" aspectratio="f"/>
                        <v:textbox>
                          <w:txbxContent>
                            <w:p>
                              <w:pPr>
                                <w:rPr>
                                  <w:rFonts w:hint="eastAsia" w:ascii="宋体" w:hAnsi="宋体" w:cs="宋体"/>
                                </w:rPr>
                              </w:pPr>
                              <w:r>
                                <w:rPr>
                                  <w:rFonts w:hint="eastAsia" w:ascii="宋体" w:hAnsi="宋体" w:cs="宋体"/>
                                </w:rPr>
                                <w:t>道路运营</w:t>
                              </w:r>
                            </w:p>
                          </w:txbxContent>
                        </v:textbox>
                      </v:shape>
                      <v:shape id="_x0000_s1026" o:spid="_x0000_s1026" o:spt="32" type="#_x0000_t32" style="position:absolute;left:782320;top:1143000;height:1270;width:223520;" filled="f" stroked="t" coordsize="21600,21600" o:gfxdata="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QEuyTU&#10;AAAABQEAAA8AAAAAAAAAAQAgAAAAIgAAAGRycy9kb3ducmV2LnhtbFBLAQIUABQAAAAIAIdO4kCb&#10;qX2OJAIAACoEAAAOAAAAAAAAAAEAIAAAACMBAABkcnMvZTJvRG9jLnhtbFBLBQYAAAAABgAGAFkB&#10;AAC5BQAAAAA=&#10;">
                        <v:fill on="f" focussize="0,0"/>
                        <v:stroke weight="0.25pt" color="#000000" joinstyle="round" endarrow="block"/>
                        <v:imagedata o:title=""/>
                        <o:lock v:ext="edit" aspectratio="f"/>
                      </v:shape>
                      <v:shape id="_x0000_s1026" o:spid="_x0000_s1026" o:spt="32" type="#_x0000_t32" style="position:absolute;left:1889760;top:1120140;flip:y;height:3175;width:264795;" filled="f" stroked="t" coordsize="21600,21600" o:gfxdata="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JDaHdcAAAAFAQAADwAAAAAAAAABACAAAAAiAAAAZHJzL2Rvd25yZXYueG1sUEsBAhQAFAAAAAgA&#10;h07iQKlDra8mAgAANQQAAA4AAAAAAAAAAQAgAAAAJgEAAGRycy9lMm9Eb2MueG1sUEsFBgAAAAAG&#10;AAYAWQEAAL4FAAAAAA==&#10;">
                        <v:fill on="f" focussize="0,0"/>
                        <v:stroke weight="0.25pt" color="#000000" joinstyle="round" endarrow="block"/>
                        <v:imagedata o:title=""/>
                        <o:lock v:ext="edit" aspectratio="f"/>
                      </v:shape>
                      <v:shape id="_x0000_s1026" o:spid="_x0000_s1026" o:spt="32" type="#_x0000_t32" style="position:absolute;left:3194050;top:1082675;height:2540;width:316230;" filled="f" stroked="t" coordsize="21600,21600" o:gfxdata="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AS7JNQAAAAFAQAADwAAAAAAAAAB&#10;ACAAAAAiAAAAZHJzL2Rvd25yZXYueG1sUEsBAhQAFAAAAAgAh07iQBUtHhMUAgAAAgQAAA4AAAAA&#10;AAAAAQAgAAAAIwEAAGRycy9lMm9Eb2MueG1sUEsFBgAAAAAGAAYAWQEAAKkFAAAAAA==&#10;">
                        <v:fill on="f" focussize="0,0"/>
                        <v:stroke weight="0.25pt" color="#000000" joinstyle="round" endarrow="block"/>
                        <v:imagedata o:title=""/>
                        <o:lock v:ext="edit" aspectratio="f"/>
                      </v:shape>
                      <v:shape id="_x0000_s1026" o:spid="_x0000_s1026" o:spt="32" type="#_x0000_t32" style="position:absolute;left:4221480;top:1085215;height:1270;width:396240;" filled="f" stroked="t" coordsize="21600,21600" o:gfxdata="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EBLsk1AAAAAUBAAAPAAAAAAAA&#10;AAEAIAAAACIAAABkcnMvZG93bnJldi54bWxQSwECFAAUAAAACACHTuJA9lq5ZBYCAAACBAAADgAA&#10;AAAAAAABACAAAAAjAQAAZHJzL2Uyb0RvYy54bWxQSwUGAAAAAAYABgBZAQAAqwUAAAAA&#10;">
                        <v:fill on="f" focussize="0,0"/>
                        <v:stroke weight="0.25pt" color="#000000" joinstyle="round" endarrow="block"/>
                        <v:imagedata o:title=""/>
                        <o:lock v:ext="edit" aspectratio="f"/>
                      </v:shape>
                      <v:shape id="_x0000_s1026" o:spid="_x0000_s1026" o:spt="32" type="#_x0000_t32" style="position:absolute;left:4977765;top:1247140;height:564515;width:5080;" filled="f" stroked="t" coordsize="21600,21600" o:gfxdata="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QEuyTUAAAABQEAAA8AAAAAAAAA&#10;AQAgAAAAIgAAAGRycy9kb3ducmV2LnhtbFBLAQIUABQAAAAIAIdO4kBl9o2QFQIAAAIEAAAOAAAA&#10;AAAAAAEAIAAAACMBAABkcnMvZTJvRG9jLnhtbFBLBQYAAAAABgAGAFkBAACqBQAAAAA=&#10;">
                        <v:fill on="f" focussize="0,0"/>
                        <v:stroke weight="0.25pt" color="#000000" joinstyle="round" endarrow="block"/>
                        <v:imagedata o:title=""/>
                        <o:lock v:ext="edit" aspectratio="f"/>
                      </v:shape>
                      <v:shape id="_x0000_s1026" o:spid="_x0000_s1026" o:spt="32" type="#_x0000_t32" style="position:absolute;left:4246245;top:1974215;flip:x;height:1270;width:377190;" filled="f" stroked="t" coordsize="21600,21600" o:gfxdata="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SQ2h3XAAAA&#10;BQEAAA8AAAAAAAAAAQAgAAAAIgAAAGRycy9kb3ducmV2LnhtbFBLAQIUABQAAAAIAIdO4kA6L01p&#10;HgIAAAwEAAAOAAAAAAAAAAEAIAAAACYBAABkcnMvZTJvRG9jLnhtbFBLBQYAAAAABgAGAFkBAAC2&#10;BQAAAAA=&#10;">
                        <v:fill on="f" focussize="0,0"/>
                        <v:stroke weight="0.25pt" color="#000000" joinstyle="round" endarrow="block"/>
                        <v:imagedata o:title=""/>
                        <o:lock v:ext="edit" aspectratio="f"/>
                      </v:shape>
                      <v:shape id="_x0000_s1026" o:spid="_x0000_s1026" o:spt="32" type="#_x0000_t32" style="position:absolute;left:3110865;top:1975485;flip:x;height:1270;width:392430;" filled="f" stroked="t" coordsize="21600,21600" o:gfxdata="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EkNod1wAAAAUB&#10;AAAPAAAAAAAAAAEAIAAAACIAAABkcnMvZG93bnJldi54bWxQSwECFAAUAAAACACHTuJAyzvckxwC&#10;AAAMBAAADgAAAAAAAAABACAAAAAmAQAAZHJzL2Uyb0RvYy54bWxQSwUGAAAAAAYABgBZAQAAtAUA&#10;AAAA&#10;">
                        <v:fill on="f" focussize="0,0"/>
                        <v:stroke weight="0.25pt" color="#000000" joinstyle="round" endarrow="block"/>
                        <v:imagedata o:title=""/>
                        <o:lock v:ext="edit" aspectratio="f"/>
                      </v:shape>
                      <v:shape id="_x0000_s1026" o:spid="_x0000_s1026" o:spt="32" type="#_x0000_t32" style="position:absolute;left:2008505;top:1974850;flip:x y;height:1905;width:357505;" filled="f" stroked="t" coordsize="21600,21600" o:gfxdata="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TIDJY1QAAAAUBAAAP&#10;AAAAAAAAAAEAIAAAACIAAABkcnMvZG93bnJldi54bWxQSwECFAAUAAAACACHTuJAO5kmyRsCAAAW&#10;BAAADgAAAAAAAAABACAAAAAkAQAAZHJzL2Uyb0RvYy54bWxQSwUGAAAAAAYABgBZAQAAsQUAAAAA&#10;">
                        <v:fill on="f" focussize="0,0"/>
                        <v:stroke weight="0.25pt" color="#000000" joinstyle="round" endarrow="block"/>
                        <v:imagedata o:title=""/>
                        <o:lock v:ext="edit" aspectratio="f"/>
                      </v:shape>
                      <v:shape id="_x0000_s1026" o:spid="_x0000_s1026" o:spt="202" type="#_x0000_t202" style="position:absolute;left:8255;top:19050;height:461645;width:824865;" filled="f" stroked="t" coordsize="21600,21600" o:gfxdata="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pyre/1AAAAAUBAAAPAAAAAAAAAAEAIAAAACIAAABk&#10;cnMvZG93bnJldi54bWxQSwECFAAUAAAACACHTuJA6NZoaQoCAAAWBAAADgAAAAAAAAABACAAAAAj&#10;AQAAZHJzL2Uyb0RvYy54bWxQSwUGAAAAAAYABgBZAQAAnwUAAAAA&#10;">
                        <v:fill on="f" focussize="0,0"/>
                        <v:stroke weight="0.25pt" color="#000000" joinstyle="miter" dashstyle="dash"/>
                        <v:imagedata o:title=""/>
                        <o:lock v:ext="edit" aspectratio="f"/>
                        <v:textbox>
                          <w:txbxContent>
                            <w:p>
                              <w:pPr>
                                <w:rPr>
                                  <w:rFonts w:hint="eastAsia" w:ascii="宋体" w:hAnsi="宋体" w:cs="宋体"/>
                                </w:rPr>
                              </w:pPr>
                              <w:r>
                                <w:rPr>
                                  <w:rFonts w:hint="eastAsia" w:ascii="宋体" w:hAnsi="宋体" w:cs="宋体"/>
                                </w:rPr>
                                <w:t>噪声、扬尘、弃渣</w:t>
                              </w:r>
                            </w:p>
                          </w:txbxContent>
                        </v:textbox>
                      </v:shape>
                      <v:shape id="_x0000_s1026" o:spid="_x0000_s1026" o:spt="202" type="#_x0000_t202" style="position:absolute;left:939165;top:5080;height:485775;width:687070;" filled="f" stroked="t" coordsize="21600,21600" o:gfxdata="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nKt7/UAAAABQEAAA8AAAAAAAAAAQAgAAAA&#10;IgAAAGRycy9kb3ducmV2LnhtbFBLAQIUABQAAAAIAIdO4kCHJUs6DwIAABcEAAAOAAAAAAAAAAEA&#10;IAAAACMBAABkcnMvZTJvRG9jLnhtbFBLBQYAAAAABgAGAFkBAACkBQAAAAA=&#10;">
                        <v:fill on="f" focussize="0,0"/>
                        <v:stroke weight="0.25pt" color="#000000" joinstyle="miter" dashstyle="dash"/>
                        <v:imagedata o:title=""/>
                        <o:lock v:ext="edit" aspectratio="f"/>
                        <v:textbox>
                          <w:txbxContent>
                            <w:p>
                              <w:pPr>
                                <w:rPr>
                                  <w:rFonts w:hint="eastAsia" w:ascii="宋体" w:hAnsi="宋体" w:cs="宋体"/>
                                </w:rPr>
                              </w:pPr>
                              <w:r>
                                <w:rPr>
                                  <w:rFonts w:hint="eastAsia" w:ascii="宋体" w:hAnsi="宋体" w:cs="宋体"/>
                                </w:rPr>
                                <w:t>水土流失、扬尘</w:t>
                              </w:r>
                            </w:p>
                          </w:txbxContent>
                        </v:textbox>
                      </v:shape>
                      <v:shape id="_x0000_s1026" o:spid="_x0000_s1026" o:spt="202" type="#_x0000_t202" style="position:absolute;left:1744345;top:0;height:485775;width:1489075;" filled="f" stroked="t" coordsize="21600,21600" o:gfxdata="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&#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pyre/1AAAAAUBAAAPAAAAAAAAAAEAIAAAACIAAABk&#10;cnMvZG93bnJldi54bWxQSwECFAAUAAAACACHTuJAdmZXwAoCAAAWBAAADgAAAAAAAAABACAAAAAj&#10;AQAAZHJzL2Uyb0RvYy54bWxQSwUGAAAAAAYABgBZAQAAnwUAAAAA&#10;">
                        <v:fill on="f" focussize="0,0"/>
                        <v:stroke weight="0.25pt" color="#000000" joinstyle="miter" dashstyle="dash"/>
                        <v:imagedata o:title=""/>
                        <o:lock v:ext="edit" aspectratio="f"/>
                        <v:textbox>
                          <w:txbxContent>
                            <w:p>
                              <w:pPr>
                                <w:rPr>
                                  <w:rFonts w:hint="eastAsia" w:ascii="宋体" w:hAnsi="宋体" w:cs="宋体"/>
                                </w:rPr>
                              </w:pPr>
                              <w:r>
                                <w:rPr>
                                  <w:rFonts w:hint="eastAsia" w:ascii="宋体" w:hAnsi="宋体" w:cs="宋体"/>
                                </w:rPr>
                                <w:t>噪声、水土流失、扬尘、固废、废气、废水</w:t>
                              </w:r>
                            </w:p>
                          </w:txbxContent>
                        </v:textbox>
                      </v:shape>
                      <v:shape id="_x0000_s1026" o:spid="_x0000_s1026" o:spt="202" type="#_x0000_t202" style="position:absolute;left:3200400;top:0;height:485775;width:1270635;" filled="f" stroked="t" coordsize="21600,21600" o:gfxdata="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nKt7/UAAAABQEAAA8AAAAAAAAAAQAgAAAAIgAA&#10;AGRycy9kb3ducmV2LnhtbFBLAQIUABQAAAAIAIdO4kCgk1roDAIAABYEAAAOAAAAAAAAAAEAIAAA&#10;ACMBAABkcnMvZTJvRG9jLnhtbFBLBQYAAAAABgAGAFkBAAChBQAAAAA=&#10;">
                        <v:fill on="f" focussize="0,0"/>
                        <v:stroke weight="0.25pt" color="#000000" joinstyle="miter" dashstyle="dash"/>
                        <v:imagedata o:title=""/>
                        <o:lock v:ext="edit" aspectratio="f"/>
                        <v:textbox>
                          <w:txbxContent>
                            <w:p>
                              <w:pPr>
                                <w:rPr>
                                  <w:rFonts w:hint="eastAsia" w:ascii="宋体" w:hAnsi="宋体" w:cs="宋体"/>
                                </w:rPr>
                              </w:pPr>
                              <w:r>
                                <w:rPr>
                                  <w:rFonts w:hint="eastAsia" w:ascii="宋体" w:hAnsi="宋体" w:cs="宋体"/>
                                </w:rPr>
                                <w:t>噪声、水土流失、扬尘、固废、废水</w:t>
                              </w:r>
                            </w:p>
                          </w:txbxContent>
                        </v:textbox>
                      </v:shape>
                      <v:shape id="_x0000_s1026" o:spid="_x0000_s1026" o:spt="202" type="#_x0000_t202" style="position:absolute;left:4563110;top:24765;height:461645;width:824865;" filled="f" stroked="t" coordsize="21600,21600" o:gfxdata="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nKt7/UAAAABQEAAA8AAAAAAAAAAQAg&#10;AAAAIgAAAGRycy9kb3ducmV2LnhtbFBLAQIUABQAAAAIAIdO4kCX27MeEgIAABkEAAAOAAAAAAAA&#10;AAEAIAAAACMBAABkcnMvZTJvRG9jLnhtbFBLBQYAAAAABgAGAFkBAACnBQAAAAA=&#10;">
                        <v:fill on="f" focussize="0,0"/>
                        <v:stroke weight="0.25pt" color="#000000" joinstyle="miter" dashstyle="dash"/>
                        <v:imagedata o:title=""/>
                        <o:lock v:ext="edit" aspectratio="f"/>
                        <v:textbox>
                          <w:txbxContent>
                            <w:p>
                              <w:pPr>
                                <w:rPr>
                                  <w:rFonts w:hint="eastAsia" w:ascii="宋体" w:hAnsi="宋体" w:cs="宋体"/>
                                </w:rPr>
                              </w:pPr>
                              <w:r>
                                <w:rPr>
                                  <w:rFonts w:hint="eastAsia" w:ascii="宋体" w:hAnsi="宋体" w:cs="宋体"/>
                                </w:rPr>
                                <w:t>噪声、废水、废气</w:t>
                              </w:r>
                            </w:p>
                          </w:txbxContent>
                        </v:textbox>
                      </v:shape>
                      <v:shape id="_x0000_s1026" o:spid="_x0000_s1026" o:spt="202" type="#_x0000_t202" style="position:absolute;left:1062355;top:2385695;height:275590;width:1126490;" filled="f" stroked="t" coordsize="21600,21600" o:gfxdata="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cq3v9QAAAAFAQAADwAAAAAAAAABACAA&#10;AAAiAAAAZHJzL2Rvd25yZXYueG1sUEsBAhQAFAAAAAgAh07iQLVeXywRAgAAHAQAAA4AAAAAAAAA&#10;AQAgAAAAIwEAAGRycy9lMm9Eb2MueG1sUEsFBgAAAAAGAAYAWQEAAKYFAAAAAA==&#10;">
                        <v:fill on="f" focussize="0,0"/>
                        <v:stroke weight="0.25pt" color="#000000" joinstyle="miter" dashstyle="dash"/>
                        <v:imagedata o:title=""/>
                        <o:lock v:ext="edit" aspectratio="f"/>
                        <v:textbox>
                          <w:txbxContent>
                            <w:p>
                              <w:pPr>
                                <w:rPr>
                                  <w:rFonts w:hint="eastAsia" w:ascii="宋体" w:hAnsi="宋体" w:cs="宋体"/>
                                </w:rPr>
                              </w:pPr>
                              <w:r>
                                <w:rPr>
                                  <w:rFonts w:hint="eastAsia" w:ascii="宋体" w:hAnsi="宋体" w:cs="宋体"/>
                                </w:rPr>
                                <w:t>汽车尾气、噪声</w:t>
                              </w:r>
                            </w:p>
                          </w:txbxContent>
                        </v:textbox>
                      </v:shape>
                      <v:shape id="_x0000_s1026" o:spid="_x0000_s1026" o:spt="32" type="#_x0000_t32" style="position:absolute;left:414655;top:480695;flip:y;height:449580;width:6350;" filled="f" stroked="t" coordsize="21600,21600" o:gfxdata="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m1nk1gAAAAUB&#10;AAAPAAAAAAAAAAEAIAAAACIAAABkcnMvZG93bnJldi54bWxQSwECFAAUAAAACACHTuJA8T/Rnx0C&#10;AAAJBAAADgAAAAAAAAABACAAAAAlAQAAZHJzL2Uyb0RvYy54bWxQSwUGAAAAAAYABgBZAQAAtAUA&#10;AAAA&#10;">
                        <v:fill on="f" focussize="0,0"/>
                        <v:stroke weight="0.25pt" color="#000000" joinstyle="round" dashstyle="dash" endarrow="block"/>
                        <v:imagedata o:title=""/>
                        <o:lock v:ext="edit" aspectratio="f"/>
                      </v:shape>
                      <v:shape id="_x0000_s1026" o:spid="_x0000_s1026" o:spt="32" type="#_x0000_t32" style="position:absolute;left:1315720;top:490855;flip:x y;height:441325;width:3175;" filled="f" stroked="t" coordsize="21600,21600" o:gfxdata="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qwnxzXAAAA&#10;BQEAAA8AAAAAAAAAAQAgAAAAIgAAAGRycy9kb3ducmV2LnhtbFBLAQIUABQAAAAIAIdO4kCuapZs&#10;HgIAABQEAAAOAAAAAAAAAAEAIAAAACYBAABkcnMvZTJvRG9jLnhtbFBLBQYAAAAABgAGAFkBAAC2&#10;BQAAAAA=&#10;">
                        <v:fill on="f" focussize="0,0"/>
                        <v:stroke weight="0.25pt" color="#000000" joinstyle="round" dashstyle="dash" endarrow="block"/>
                        <v:imagedata o:title=""/>
                        <o:lock v:ext="edit" aspectratio="f"/>
                      </v:shape>
                      <v:shape id="_x0000_s1026" o:spid="_x0000_s1026" o:spt="32" type="#_x0000_t32" style="position:absolute;left:2575560;top:469900;flip:y;height:171450;width:1905;" filled="f" stroked="t" coordsize="21600,21600" o:gfxdata="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SbWeTWAAAABQEA&#10;AA8AAAAAAAAAAQAgAAAAIgAAAGRycy9kb3ducmV2LnhtbFBLAQIUABQAAAAIAIdO4kAI3DNpHAIA&#10;AAoEAAAOAAAAAAAAAAEAIAAAACUBAABkcnMvZTJvRG9jLnhtbFBLBQYAAAAABgAGAFkBAACzBQAA&#10;AAA=&#10;">
                        <v:fill on="f" focussize="0,0"/>
                        <v:stroke weight="0.25pt" color="#000000" joinstyle="round" dashstyle="dash" endarrow="block"/>
                        <v:imagedata o:title=""/>
                        <o:lock v:ext="edit" aspectratio="f"/>
                      </v:shape>
                      <v:shape id="_x0000_s1026" o:spid="_x0000_s1026" o:spt="32" type="#_x0000_t32" style="position:absolute;left:3836035;top:485775;flip:x y;height:438150;width:9525;" filled="f" stroked="t" coordsize="21600,21600" o:gfxdata="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6sJ8c&#10;1wAAAAUBAAAPAAAAAAAAAAEAIAAAACIAAABkcnMvZG93bnJldi54bWxQSwECFAAUAAAACACHTuJA&#10;jwi4SCICAAAUBAAADgAAAAAAAAABACAAAAAmAQAAZHJzL2Uyb0RvYy54bWxQSwUGAAAAAAYABgBZ&#10;AQAAugUAAAAA&#10;">
                        <v:fill on="f" focussize="0,0"/>
                        <v:stroke weight="0.25pt" color="#000000" joinstyle="round" dashstyle="dash" endarrow="block"/>
                        <v:imagedata o:title=""/>
                        <o:lock v:ext="edit" aspectratio="f"/>
                      </v:shape>
                      <v:shape id="_x0000_s1026" o:spid="_x0000_s1026" o:spt="32" type="#_x0000_t32" style="position:absolute;left:4975860;top:486410;flip:x y;height:438785;width:1905;" filled="f" stroked="t" coordsize="21600,21600" o:gfxdata="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6sJ8c1wAA&#10;AAUBAAAPAAAAAAAAAAEAIAAAACIAAABkcnMvZG93bnJldi54bWxQSwECFAAUAAAACACHTuJAvnBr&#10;ZR8CAAAUBAAADgAAAAAAAAABACAAAAAmAQAAZHJzL2Uyb0RvYy54bWxQSwUGAAAAAAYABgBZAQAA&#10;twUAAAAA&#10;">
                        <v:fill on="f" focussize="0,0"/>
                        <v:stroke weight="0.25pt" color="#000000" joinstyle="round" dashstyle="dash" endarrow="block"/>
                        <v:imagedata o:title=""/>
                        <o:lock v:ext="edit" aspectratio="f"/>
                      </v:shape>
                      <v:shape id="_x0000_s1026" o:spid="_x0000_s1026" o:spt="32" type="#_x0000_t32" style="position:absolute;left:1625600;top:2136140;flip:x;height:249555;width:2540;" filled="f" stroked="t" coordsize="21600,21600" o:gfxdata="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Em1nk1gAAAAUBAAAP&#10;AAAAAAAAAAEAIAAAACIAAABkcnMvZG93bnJldi54bWxQSwECFAAUAAAACACHTuJAtKvVyhoCAAAL&#10;BAAADgAAAAAAAAABACAAAAAlAQAAZHJzL2Uyb0RvYy54bWxQSwUGAAAAAAYABgBZAQAAsQUAAAAA&#10;">
                        <v:fill on="f" focussize="0,0"/>
                        <v:stroke weight="0.25pt" color="#000000" joinstyle="round" dashstyle="dash" endarrow="block"/>
                        <v:imagedata o:title=""/>
                        <o:lock v:ext="edit" aspectratio="f"/>
                      </v:shape>
                      <w10:wrap type="none"/>
                      <w10:anchorlock/>
                    </v:group>
                  </w:pict>
                </mc:Fallback>
              </mc:AlternateConten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图2-15  本项目道路工程施工工艺流程及产污图</w:t>
            </w:r>
          </w:p>
          <w:p>
            <w:pPr>
              <w:keepNext w:val="0"/>
              <w:keepLines w:val="0"/>
              <w:suppressLineNumbers w:val="0"/>
              <w:spacing w:before="0" w:beforeAutospacing="0" w:after="0" w:afterAutospacing="0" w:line="360" w:lineRule="auto"/>
              <w:ind w:left="0" w:right="0" w:firstLine="482" w:firstLineChars="200"/>
              <w:jc w:val="left"/>
              <w:rPr>
                <w:rFonts w:ascii="Times New Roman" w:hAnsi="Times New Roman"/>
                <w:b/>
                <w:bCs/>
                <w:color w:val="000000" w:themeColor="text1"/>
                <w:sz w:val="24"/>
                <w:highlight w:val="none"/>
                <w14:textFill>
                  <w14:solidFill>
                    <w14:schemeClr w14:val="tx1"/>
                  </w14:solidFill>
                </w14:textFill>
              </w:rPr>
            </w:pPr>
            <w:r>
              <w:rPr>
                <w:rFonts w:ascii="Times New Roman" w:hAnsi="Times New Roman"/>
                <w:b/>
                <w:bCs/>
                <w:color w:val="000000" w:themeColor="text1"/>
                <w:sz w:val="24"/>
                <w:highlight w:val="none"/>
                <w14:textFill>
                  <w14:solidFill>
                    <w14:schemeClr w14:val="tx1"/>
                  </w14:solidFill>
                </w14:textFill>
              </w:rPr>
              <w:t>主要工艺流程简述：</w:t>
            </w:r>
          </w:p>
          <w:p>
            <w:pPr>
              <w:keepNext w:val="0"/>
              <w:keepLines w:val="0"/>
              <w:suppressLineNumbers w:val="0"/>
              <w:spacing w:before="0" w:beforeAutospacing="0" w:after="0" w:afterAutospacing="0" w:line="360" w:lineRule="auto"/>
              <w:ind w:left="0" w:right="0" w:firstLine="482" w:firstLineChars="200"/>
              <w:jc w:val="left"/>
              <w:rPr>
                <w:rFonts w:hint="eastAsia" w:ascii="Times New Roman" w:hAnsi="Times New Roman"/>
                <w:bCs/>
                <w:color w:val="000000" w:themeColor="text1"/>
                <w:sz w:val="24"/>
                <w:highlight w:val="none"/>
                <w14:textFill>
                  <w14:solidFill>
                    <w14:schemeClr w14:val="tx1"/>
                  </w14:solidFill>
                </w14:textFill>
              </w:rPr>
            </w:pPr>
            <w:r>
              <w:rPr>
                <w:rFonts w:hint="eastAsia" w:ascii="Times New Roman" w:hAnsi="Times New Roman"/>
                <w:b/>
                <w:bCs w:val="0"/>
                <w:color w:val="000000" w:themeColor="text1"/>
                <w:sz w:val="24"/>
                <w:highlight w:val="none"/>
                <w14:textFill>
                  <w14:solidFill>
                    <w14:schemeClr w14:val="tx1"/>
                  </w14:solidFill>
                </w14:textFill>
              </w:rPr>
              <w:t>路线平整清障</w:t>
            </w:r>
            <w:r>
              <w:rPr>
                <w:rFonts w:hint="eastAsia" w:ascii="Times New Roman" w:hAnsi="Times New Roman"/>
                <w:b/>
                <w:bCs w:val="0"/>
                <w:color w:val="000000" w:themeColor="text1"/>
                <w:sz w:val="24"/>
                <w:highlight w:val="none"/>
                <w:lang w:eastAsia="zh-CN"/>
                <w14:textFill>
                  <w14:solidFill>
                    <w14:schemeClr w14:val="tx1"/>
                  </w14:solidFill>
                </w14:textFill>
              </w:rPr>
              <w:t>：</w:t>
            </w:r>
            <w:r>
              <w:rPr>
                <w:rFonts w:hint="eastAsia" w:ascii="Times New Roman" w:hAnsi="Times New Roman"/>
                <w:bCs/>
                <w:color w:val="000000" w:themeColor="text1"/>
                <w:sz w:val="24"/>
                <w:highlight w:val="none"/>
                <w14:textFill>
                  <w14:solidFill>
                    <w14:schemeClr w14:val="tx1"/>
                  </w14:solidFill>
                </w14:textFill>
              </w:rPr>
              <w:t>实施时需要先对区域内的弃土和片区拆迁（由当地政府负责组织拆迁）后残留的废弃砖瓦进行清理，路线平整清障主要采用机械设备对路线沿线进行清理和初步平整，清除本项目红线范围内的障碍物。</w:t>
            </w:r>
          </w:p>
          <w:p>
            <w:pPr>
              <w:keepNext w:val="0"/>
              <w:keepLines w:val="0"/>
              <w:suppressLineNumbers w:val="0"/>
              <w:spacing w:before="0" w:beforeAutospacing="0" w:after="0" w:afterAutospacing="0" w:line="360" w:lineRule="auto"/>
              <w:ind w:left="0" w:right="0" w:firstLine="482" w:firstLineChars="200"/>
              <w:jc w:val="left"/>
              <w:rPr>
                <w:rFonts w:hint="eastAsia" w:ascii="Times New Roman" w:hAnsi="Times New Roman" w:eastAsia="宋体"/>
                <w:bCs/>
                <w:color w:val="000000" w:themeColor="text1"/>
                <w:sz w:val="24"/>
                <w:highlight w:val="none"/>
                <w:lang w:eastAsia="zh-CN"/>
                <w14:textFill>
                  <w14:solidFill>
                    <w14:schemeClr w14:val="tx1"/>
                  </w14:solidFill>
                </w14:textFill>
              </w:rPr>
            </w:pPr>
            <w:r>
              <w:rPr>
                <w:rFonts w:hint="eastAsia" w:ascii="Times New Roman" w:hAnsi="Times New Roman"/>
                <w:b/>
                <w:bCs w:val="0"/>
                <w:color w:val="000000" w:themeColor="text1"/>
                <w:sz w:val="24"/>
                <w:highlight w:val="none"/>
                <w14:textFill>
                  <w14:solidFill>
                    <w14:schemeClr w14:val="tx1"/>
                  </w14:solidFill>
                </w14:textFill>
              </w:rPr>
              <w:t>路基土石方工程</w:t>
            </w:r>
            <w:r>
              <w:rPr>
                <w:rFonts w:hint="eastAsia" w:ascii="Times New Roman" w:hAnsi="Times New Roman"/>
                <w:b/>
                <w:bCs w:val="0"/>
                <w:color w:val="000000" w:themeColor="text1"/>
                <w:sz w:val="24"/>
                <w:highlight w:val="none"/>
                <w:lang w:eastAsia="zh-CN"/>
                <w14:textFill>
                  <w14:solidFill>
                    <w14:schemeClr w14:val="tx1"/>
                  </w14:solidFill>
                </w14:textFill>
              </w:rPr>
              <w:t>：</w:t>
            </w:r>
            <w:r>
              <w:rPr>
                <w:rFonts w:hint="eastAsia" w:ascii="Times New Roman" w:hAnsi="Times New Roman"/>
                <w:bCs/>
                <w:color w:val="000000" w:themeColor="text1"/>
                <w:sz w:val="24"/>
                <w:highlight w:val="none"/>
                <w14:textFill>
                  <w14:solidFill>
                    <w14:schemeClr w14:val="tx1"/>
                  </w14:solidFill>
                </w14:textFill>
              </w:rPr>
              <w:t>路基土石方工程以机械施工为主，人工施工为辅。挖方路段在核实其长度和工程数量的条件下，布置多个作业面以推土机或挖掘机作业，配以装载机和自卸翻斗车运至填方路段填筑路堤或暂存于临时堆土场，也可采用铲运机进行连续挖运作业</w:t>
            </w:r>
            <w:r>
              <w:rPr>
                <w:rFonts w:hint="eastAsia" w:ascii="Times New Roman" w:hAnsi="Times New Roman"/>
                <w:bCs/>
                <w:color w:val="000000" w:themeColor="text1"/>
                <w:sz w:val="24"/>
                <w:highlight w:val="none"/>
                <w:lang w:eastAsia="zh-CN"/>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bCs/>
                <w:color w:val="000000" w:themeColor="text1"/>
                <w:sz w:val="24"/>
                <w:highlight w:val="none"/>
                <w14:textFill>
                  <w14:solidFill>
                    <w14:schemeClr w14:val="tx1"/>
                  </w14:solidFill>
                </w14:textFill>
              </w:rPr>
            </w:pPr>
            <w:r>
              <w:rPr>
                <w:rFonts w:hint="eastAsia" w:ascii="Times New Roman" w:hAnsi="Times New Roman"/>
                <w:bCs/>
                <w:color w:val="000000" w:themeColor="text1"/>
                <w:sz w:val="24"/>
                <w:highlight w:val="none"/>
                <w14:textFill>
                  <w14:solidFill>
                    <w14:schemeClr w14:val="tx1"/>
                  </w14:solidFill>
                </w14:textFill>
              </w:rPr>
              <w:t>填方路段则以装载机或推土机伴以人工找平，压路机碾压密实。路基开挖采用大型土石方机械和专用筑路机械联合配套，实施钻孔，机械开挖、机推、机装、自卸卡车运卸。开工前，做好施工现场的场地清理工作，及时清除垃圾、杂草等。</w:t>
            </w:r>
          </w:p>
          <w:p>
            <w:pPr>
              <w:keepNext w:val="0"/>
              <w:keepLines w:val="0"/>
              <w:suppressLineNumbers w:val="0"/>
              <w:spacing w:before="0" w:beforeAutospacing="0" w:after="0" w:afterAutospacing="0" w:line="360" w:lineRule="auto"/>
              <w:ind w:left="0" w:right="0" w:firstLine="482" w:firstLineChars="200"/>
              <w:jc w:val="left"/>
              <w:rPr>
                <w:rFonts w:ascii="Times New Roman" w:hAnsi="Times New Roman"/>
                <w:bCs/>
                <w:color w:val="000000" w:themeColor="text1"/>
                <w:sz w:val="24"/>
                <w:highlight w:val="none"/>
                <w14:textFill>
                  <w14:solidFill>
                    <w14:schemeClr w14:val="tx1"/>
                  </w14:solidFill>
                </w14:textFill>
              </w:rPr>
            </w:pPr>
            <w:r>
              <w:rPr>
                <w:rFonts w:hint="eastAsia" w:ascii="Times New Roman" w:hAnsi="Times New Roman"/>
                <w:b/>
                <w:bCs w:val="0"/>
                <w:color w:val="000000" w:themeColor="text1"/>
                <w:sz w:val="24"/>
                <w:highlight w:val="none"/>
                <w14:textFill>
                  <w14:solidFill>
                    <w14:schemeClr w14:val="tx1"/>
                  </w14:solidFill>
                </w14:textFill>
              </w:rPr>
              <w:t>开挖方式：</w:t>
            </w:r>
            <w:r>
              <w:rPr>
                <w:rFonts w:hint="eastAsia" w:ascii="Times New Roman" w:hAnsi="Times New Roman"/>
                <w:bCs/>
                <w:color w:val="000000" w:themeColor="text1"/>
                <w:sz w:val="24"/>
                <w:highlight w:val="none"/>
                <w14:textFill>
                  <w14:solidFill>
                    <w14:schemeClr w14:val="tx1"/>
                  </w14:solidFill>
                </w14:textFill>
              </w:rPr>
              <w:t>土方采用机械按混合式开挖法施工，先沿纵向挖通道，然后沿横向坡面挖掘，以增加开挖作业面。在土方开挖过程中，为防止雨水淤积，应使开挖出来的路段在纵断面上形成0.5%的纵坡。在横断面上，每开挖一层，都要在断面两侧大致形成边沟，开挖至设计标高附近时，应注意控制好开挖深度，不得超挖。石方采用机械钻孔、推土机集堆、机械装车、自卸卡车运输至填方区。开挖土石方应避免超挖，土方边坡应预留20-30cm厚度，待后期使用人工刷修边坡，以保边坡平整美观。开挖中若遇到地下水（或地表径流），应采取适当的排水措施。挖方路段聘请机械化程度较高的专业施工队伍，采用铲运机进行连续挖运作业；高填路堤、斜坡路堤施工严格按施工技术规范要求执行，分层填筑、分层压实；雨季施工和冬季施工时加强施工防护措施。</w:t>
            </w:r>
          </w:p>
          <w:p>
            <w:pPr>
              <w:keepNext w:val="0"/>
              <w:keepLines w:val="0"/>
              <w:suppressLineNumbers w:val="0"/>
              <w:spacing w:before="0" w:beforeAutospacing="0" w:after="0" w:afterAutospacing="0" w:line="360" w:lineRule="auto"/>
              <w:ind w:left="0" w:right="0" w:firstLine="482" w:firstLineChars="200"/>
              <w:rPr>
                <w:rFonts w:ascii="Times New Roman" w:hAnsi="Times New Roman"/>
                <w:b/>
                <w:bCs/>
                <w:color w:val="000000" w:themeColor="text1"/>
                <w:kern w:val="0"/>
                <w:sz w:val="24"/>
                <w:highlight w:val="none"/>
                <w14:textFill>
                  <w14:solidFill>
                    <w14:schemeClr w14:val="tx1"/>
                  </w14:solidFill>
                </w14:textFill>
              </w:rPr>
            </w:pPr>
            <w:r>
              <w:rPr>
                <w:rFonts w:ascii="Times New Roman" w:hAnsi="Times New Roman"/>
                <w:b/>
                <w:bCs/>
                <w:color w:val="000000" w:themeColor="text1"/>
                <w:kern w:val="0"/>
                <w:sz w:val="24"/>
                <w:highlight w:val="none"/>
                <w14:textFill>
                  <w14:solidFill>
                    <w14:schemeClr w14:val="tx1"/>
                  </w14:solidFill>
                </w14:textFill>
              </w:rPr>
              <w:t>（2）跨线桥工程</w:t>
            </w:r>
          </w:p>
          <w:p>
            <w:pPr>
              <w:pStyle w:val="32"/>
              <w:keepNext w:val="0"/>
              <w:keepLines w:val="0"/>
              <w:suppressLineNumbers w:val="0"/>
              <w:spacing w:before="0" w:beforeAutospacing="0" w:after="0" w:afterAutospacing="0" w:line="360" w:lineRule="auto"/>
              <w:ind w:left="0" w:right="0"/>
              <w:rPr>
                <w:rFonts w:ascii="Times New Roman" w:hAnsi="Times New Roman" w:eastAsia="宋体"/>
                <w:bCs/>
                <w:color w:val="000000" w:themeColor="text1"/>
                <w:kern w:val="2"/>
                <w:highlight w:val="none"/>
                <w14:textFill>
                  <w14:solidFill>
                    <w14:schemeClr w14:val="tx1"/>
                  </w14:solidFill>
                </w14:textFill>
              </w:rPr>
            </w:pPr>
            <w:r>
              <w:rPr>
                <w:rFonts w:ascii="Times New Roman" w:hAnsi="Times New Roman" w:eastAsia="宋体"/>
                <w:bCs/>
                <w:color w:val="000000" w:themeColor="text1"/>
                <w:kern w:val="2"/>
                <w:highlight w:val="none"/>
                <w14:textFill>
                  <w14:solidFill>
                    <w14:schemeClr w14:val="tx1"/>
                  </w14:solidFill>
                </w14:textFill>
              </w:rPr>
              <mc:AlternateContent>
                <mc:Choice Requires="wpc">
                  <w:drawing>
                    <wp:inline distT="0" distB="0" distL="114300" distR="114300">
                      <wp:extent cx="5370195" cy="2686685"/>
                      <wp:effectExtent l="0" t="0" r="9525" b="10795"/>
                      <wp:docPr id="104" name="画布 1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9" name="文本框 79"/>
                              <wps:cNvSpPr txBox="1"/>
                              <wps:spPr>
                                <a:xfrm>
                                  <a:off x="46355" y="913765"/>
                                  <a:ext cx="735965" cy="323850"/>
                                </a:xfrm>
                                <a:prstGeom prst="rect">
                                  <a:avLst/>
                                </a:prstGeom>
                                <a:noFill/>
                                <a:ln w="3175" cap="flat" cmpd="sng">
                                  <a:solidFill>
                                    <a:srgbClr val="000000"/>
                                  </a:solidFill>
                                  <a:prstDash val="solid"/>
                                  <a:miter/>
                                  <a:headEnd type="none" w="med" len="med"/>
                                  <a:tailEnd type="none" w="med" len="med"/>
                                </a:ln>
                              </wps:spPr>
                              <wps:txbx>
                                <w:txbxContent>
                                  <w:p>
                                    <w:pPr>
                                      <w:rPr>
                                        <w:rFonts w:hint="eastAsia"/>
                                      </w:rPr>
                                    </w:pPr>
                                    <w:r>
                                      <w:rPr>
                                        <w:rFonts w:hint="eastAsia"/>
                                      </w:rPr>
                                      <w:t>船槽破除</w:t>
                                    </w:r>
                                  </w:p>
                                </w:txbxContent>
                              </wps:txbx>
                              <wps:bodyPr upright="1"/>
                            </wps:wsp>
                            <wps:wsp>
                              <wps:cNvPr id="80" name="文本框 80"/>
                              <wps:cNvSpPr txBox="1"/>
                              <wps:spPr>
                                <a:xfrm>
                                  <a:off x="1537970" y="831850"/>
                                  <a:ext cx="749935" cy="475615"/>
                                </a:xfrm>
                                <a:prstGeom prst="rect">
                                  <a:avLst/>
                                </a:prstGeom>
                                <a:noFill/>
                                <a:ln w="3175" cap="flat" cmpd="sng">
                                  <a:solidFill>
                                    <a:srgbClr val="000000"/>
                                  </a:solidFill>
                                  <a:prstDash val="solid"/>
                                  <a:miter/>
                                  <a:headEnd type="none" w="med" len="med"/>
                                  <a:tailEnd type="none" w="med" len="med"/>
                                </a:ln>
                              </wps:spPr>
                              <wps:txbx>
                                <w:txbxContent>
                                  <w:p>
                                    <w:pPr>
                                      <w:rPr>
                                        <w:rFonts w:hint="eastAsia"/>
                                      </w:rPr>
                                    </w:pPr>
                                    <w:r>
                                      <w:rPr>
                                        <w:rFonts w:hint="eastAsia"/>
                                      </w:rPr>
                                      <w:t>桥梁</w:t>
                                    </w:r>
                                    <w:r>
                                      <w:t>下部结构</w:t>
                                    </w:r>
                                    <w:r>
                                      <w:rPr>
                                        <w:rFonts w:hint="eastAsia"/>
                                      </w:rPr>
                                      <w:t>修建</w:t>
                                    </w:r>
                                  </w:p>
                                </w:txbxContent>
                              </wps:txbx>
                              <wps:bodyPr upright="1"/>
                            </wps:wsp>
                            <wps:wsp>
                              <wps:cNvPr id="81" name="文本框 81"/>
                              <wps:cNvSpPr txBox="1"/>
                              <wps:spPr>
                                <a:xfrm>
                                  <a:off x="4573270" y="841375"/>
                                  <a:ext cx="661670" cy="454660"/>
                                </a:xfrm>
                                <a:prstGeom prst="rect">
                                  <a:avLst/>
                                </a:prstGeom>
                                <a:noFill/>
                                <a:ln w="3175" cap="flat" cmpd="sng">
                                  <a:solidFill>
                                    <a:srgbClr val="000000"/>
                                  </a:solidFill>
                                  <a:prstDash val="solid"/>
                                  <a:miter/>
                                  <a:headEnd type="none" w="med" len="med"/>
                                  <a:tailEnd type="none" w="med" len="med"/>
                                </a:ln>
                              </wps:spPr>
                              <wps:txbx>
                                <w:txbxContent>
                                  <w:p>
                                    <w:pPr>
                                      <w:rPr>
                                        <w:rFonts w:hint="eastAsia"/>
                                      </w:rPr>
                                    </w:pPr>
                                    <w:r>
                                      <w:rPr>
                                        <w:rFonts w:hint="eastAsia"/>
                                      </w:rPr>
                                      <w:t>路面</w:t>
                                    </w:r>
                                    <w:r>
                                      <w:t>桥面</w:t>
                                    </w:r>
                                    <w:r>
                                      <w:rPr>
                                        <w:rFonts w:hint="eastAsia"/>
                                      </w:rPr>
                                      <w:t>施工</w:t>
                                    </w:r>
                                  </w:p>
                                </w:txbxContent>
                              </wps:txbx>
                              <wps:bodyPr upright="1"/>
                            </wps:wsp>
                            <wps:wsp>
                              <wps:cNvPr id="82" name="文本框 82"/>
                              <wps:cNvSpPr txBox="1"/>
                              <wps:spPr>
                                <a:xfrm>
                                  <a:off x="4540885" y="1811655"/>
                                  <a:ext cx="735330" cy="324485"/>
                                </a:xfrm>
                                <a:prstGeom prst="rect">
                                  <a:avLst/>
                                </a:prstGeom>
                                <a:noFill/>
                                <a:ln w="3175" cap="flat" cmpd="sng">
                                  <a:solidFill>
                                    <a:srgbClr val="000000"/>
                                  </a:solidFill>
                                  <a:prstDash val="solid"/>
                                  <a:miter/>
                                  <a:headEnd type="none" w="med" len="med"/>
                                  <a:tailEnd type="none" w="med" len="med"/>
                                </a:ln>
                              </wps:spPr>
                              <wps:txbx>
                                <w:txbxContent>
                                  <w:p>
                                    <w:pPr>
                                      <w:rPr>
                                        <w:rFonts w:hint="eastAsia"/>
                                      </w:rPr>
                                    </w:pPr>
                                    <w:r>
                                      <w:rPr>
                                        <w:rFonts w:hint="eastAsia"/>
                                      </w:rPr>
                                      <w:t>交</w:t>
                                    </w:r>
                                    <w:r>
                                      <w:rPr>
                                        <w:rFonts w:hint="eastAsia"/>
                                        <w:lang w:val="en-US" w:eastAsia="zh-CN"/>
                                      </w:rPr>
                                      <w:t>安</w:t>
                                    </w:r>
                                    <w:r>
                                      <w:rPr>
                                        <w:rFonts w:hint="eastAsia"/>
                                      </w:rPr>
                                      <w:t>工程</w:t>
                                    </w:r>
                                  </w:p>
                                </w:txbxContent>
                              </wps:txbx>
                              <wps:bodyPr upright="1"/>
                            </wps:wsp>
                            <wps:wsp>
                              <wps:cNvPr id="83" name="文本框 83"/>
                              <wps:cNvSpPr txBox="1"/>
                              <wps:spPr>
                                <a:xfrm>
                                  <a:off x="3420745" y="1814195"/>
                                  <a:ext cx="742950" cy="321945"/>
                                </a:xfrm>
                                <a:prstGeom prst="rect">
                                  <a:avLst/>
                                </a:prstGeom>
                                <a:noFill/>
                                <a:ln w="3175" cap="flat" cmpd="sng">
                                  <a:solidFill>
                                    <a:srgbClr val="000000"/>
                                  </a:solidFill>
                                  <a:prstDash val="solid"/>
                                  <a:miter/>
                                  <a:headEnd type="none" w="med" len="med"/>
                                  <a:tailEnd type="none" w="med" len="med"/>
                                </a:ln>
                              </wps:spPr>
                              <wps:txbx>
                                <w:txbxContent>
                                  <w:p>
                                    <w:pPr>
                                      <w:rPr>
                                        <w:rFonts w:hint="eastAsia"/>
                                      </w:rPr>
                                    </w:pPr>
                                    <w:r>
                                      <w:rPr>
                                        <w:rFonts w:hint="eastAsia"/>
                                      </w:rPr>
                                      <w:t>绿化</w:t>
                                    </w:r>
                                  </w:p>
                                </w:txbxContent>
                              </wps:txbx>
                              <wps:bodyPr upright="1"/>
                            </wps:wsp>
                            <wps:wsp>
                              <wps:cNvPr id="84" name="文本框 84"/>
                              <wps:cNvSpPr txBox="1"/>
                              <wps:spPr>
                                <a:xfrm>
                                  <a:off x="3016250" y="839470"/>
                                  <a:ext cx="763270" cy="456565"/>
                                </a:xfrm>
                                <a:prstGeom prst="rect">
                                  <a:avLst/>
                                </a:prstGeom>
                                <a:noFill/>
                                <a:ln w="3175" cap="flat" cmpd="sng">
                                  <a:solidFill>
                                    <a:srgbClr val="000000"/>
                                  </a:solidFill>
                                  <a:prstDash val="solid"/>
                                  <a:miter/>
                                  <a:headEnd type="none" w="med" len="med"/>
                                  <a:tailEnd type="none" w="med" len="med"/>
                                </a:ln>
                              </wps:spPr>
                              <wps:txbx>
                                <w:txbxContent>
                                  <w:p>
                                    <w:pPr>
                                      <w:pStyle w:val="32"/>
                                      <w:rPr>
                                        <w:rFonts w:hint="eastAsia" w:ascii="Times New Roman" w:eastAsia="宋体"/>
                                        <w:color w:val="auto"/>
                                        <w:kern w:val="2"/>
                                        <w:sz w:val="21"/>
                                      </w:rPr>
                                    </w:pPr>
                                    <w:r>
                                      <w:rPr>
                                        <w:rFonts w:hint="eastAsia" w:ascii="Times New Roman" w:eastAsia="宋体"/>
                                        <w:color w:val="auto"/>
                                        <w:kern w:val="2"/>
                                        <w:sz w:val="21"/>
                                      </w:rPr>
                                      <w:t>桥梁上部</w:t>
                                    </w:r>
                                    <w:r>
                                      <w:rPr>
                                        <w:rFonts w:ascii="Times New Roman" w:eastAsia="宋体"/>
                                        <w:color w:val="auto"/>
                                        <w:kern w:val="2"/>
                                        <w:sz w:val="21"/>
                                      </w:rPr>
                                      <w:t>结构修建</w:t>
                                    </w:r>
                                  </w:p>
                                </w:txbxContent>
                              </wps:txbx>
                              <wps:bodyPr upright="1"/>
                            </wps:wsp>
                            <wps:wsp>
                              <wps:cNvPr id="85" name="文本框 85"/>
                              <wps:cNvSpPr txBox="1"/>
                              <wps:spPr>
                                <a:xfrm>
                                  <a:off x="2283460" y="1814195"/>
                                  <a:ext cx="744855" cy="324485"/>
                                </a:xfrm>
                                <a:prstGeom prst="rect">
                                  <a:avLst/>
                                </a:prstGeom>
                                <a:noFill/>
                                <a:ln w="3175" cap="flat" cmpd="sng">
                                  <a:solidFill>
                                    <a:srgbClr val="000000"/>
                                  </a:solidFill>
                                  <a:prstDash val="solid"/>
                                  <a:miter/>
                                  <a:headEnd type="none" w="med" len="med"/>
                                  <a:tailEnd type="none" w="med" len="med"/>
                                </a:ln>
                              </wps:spPr>
                              <wps:txbx>
                                <w:txbxContent>
                                  <w:p>
                                    <w:pPr>
                                      <w:rPr>
                                        <w:rFonts w:hint="eastAsia"/>
                                      </w:rPr>
                                    </w:pPr>
                                    <w:r>
                                      <w:rPr>
                                        <w:rFonts w:hint="eastAsia"/>
                                      </w:rPr>
                                      <w:t>配套设施</w:t>
                                    </w:r>
                                  </w:p>
                                </w:txbxContent>
                              </wps:txbx>
                              <wps:bodyPr upright="1"/>
                            </wps:wsp>
                            <wps:wsp>
                              <wps:cNvPr id="86" name="文本框 86"/>
                              <wps:cNvSpPr txBox="1"/>
                              <wps:spPr>
                                <a:xfrm>
                                  <a:off x="1181100" y="1812925"/>
                                  <a:ext cx="744855" cy="323215"/>
                                </a:xfrm>
                                <a:prstGeom prst="rect">
                                  <a:avLst/>
                                </a:prstGeom>
                                <a:noFill/>
                                <a:ln w="3175" cap="flat" cmpd="sng">
                                  <a:solidFill>
                                    <a:srgbClr val="000000"/>
                                  </a:solidFill>
                                  <a:prstDash val="solid"/>
                                  <a:miter/>
                                  <a:headEnd type="none" w="med" len="med"/>
                                  <a:tailEnd type="none" w="med" len="med"/>
                                </a:ln>
                              </wps:spPr>
                              <wps:txbx>
                                <w:txbxContent>
                                  <w:p>
                                    <w:pPr>
                                      <w:rPr>
                                        <w:rFonts w:hint="eastAsia"/>
                                      </w:rPr>
                                    </w:pPr>
                                    <w:r>
                                      <w:rPr>
                                        <w:rFonts w:hint="eastAsia"/>
                                      </w:rPr>
                                      <w:t>道路运营</w:t>
                                    </w:r>
                                  </w:p>
                                </w:txbxContent>
                              </wps:txbx>
                              <wps:bodyPr upright="1"/>
                            </wps:wsp>
                            <wps:wsp>
                              <wps:cNvPr id="87" name="直接箭头连接符 87"/>
                              <wps:cNvCnPr>
                                <a:endCxn id="80" idx="1"/>
                              </wps:cNvCnPr>
                              <wps:spPr>
                                <a:xfrm flipV="1">
                                  <a:off x="782320" y="1069975"/>
                                  <a:ext cx="755650" cy="5715"/>
                                </a:xfrm>
                                <a:prstGeom prst="straightConnector1">
                                  <a:avLst/>
                                </a:prstGeom>
                                <a:ln w="3175" cap="flat" cmpd="sng">
                                  <a:solidFill>
                                    <a:srgbClr val="000000"/>
                                  </a:solidFill>
                                  <a:prstDash val="solid"/>
                                  <a:headEnd type="none" w="med" len="med"/>
                                  <a:tailEnd type="triangle" w="med" len="med"/>
                                </a:ln>
                              </wps:spPr>
                              <wps:bodyPr/>
                            </wps:wsp>
                            <wps:wsp>
                              <wps:cNvPr id="88" name="直接箭头连接符 88"/>
                              <wps:cNvCnPr>
                                <a:endCxn id="84" idx="1"/>
                              </wps:cNvCnPr>
                              <wps:spPr>
                                <a:xfrm flipV="1">
                                  <a:off x="2287905" y="1068070"/>
                                  <a:ext cx="728345" cy="1905"/>
                                </a:xfrm>
                                <a:prstGeom prst="straightConnector1">
                                  <a:avLst/>
                                </a:prstGeom>
                                <a:ln w="3175" cap="flat" cmpd="sng">
                                  <a:solidFill>
                                    <a:srgbClr val="000000"/>
                                  </a:solidFill>
                                  <a:prstDash val="solid"/>
                                  <a:headEnd type="none" w="med" len="med"/>
                                  <a:tailEnd type="triangle" w="med" len="med"/>
                                </a:ln>
                              </wps:spPr>
                              <wps:bodyPr/>
                            </wps:wsp>
                            <wps:wsp>
                              <wps:cNvPr id="89" name="直接箭头连接符 89"/>
                              <wps:cNvCnPr/>
                              <wps:spPr>
                                <a:xfrm>
                                  <a:off x="4904105" y="1296035"/>
                                  <a:ext cx="4445" cy="515620"/>
                                </a:xfrm>
                                <a:prstGeom prst="straightConnector1">
                                  <a:avLst/>
                                </a:prstGeom>
                                <a:ln w="3175" cap="flat" cmpd="sng">
                                  <a:solidFill>
                                    <a:srgbClr val="000000"/>
                                  </a:solidFill>
                                  <a:prstDash val="solid"/>
                                  <a:headEnd type="none" w="med" len="med"/>
                                  <a:tailEnd type="triangle" w="med" len="med"/>
                                </a:ln>
                              </wps:spPr>
                              <wps:bodyPr/>
                            </wps:wsp>
                            <wps:wsp>
                              <wps:cNvPr id="90" name="直接箭头连接符 90"/>
                              <wps:cNvCnPr/>
                              <wps:spPr>
                                <a:xfrm flipH="1">
                                  <a:off x="4163695" y="1974215"/>
                                  <a:ext cx="377190" cy="1270"/>
                                </a:xfrm>
                                <a:prstGeom prst="straightConnector1">
                                  <a:avLst/>
                                </a:prstGeom>
                                <a:ln w="3175" cap="flat" cmpd="sng">
                                  <a:solidFill>
                                    <a:srgbClr val="000000"/>
                                  </a:solidFill>
                                  <a:prstDash val="solid"/>
                                  <a:headEnd type="none" w="med" len="med"/>
                                  <a:tailEnd type="triangle" w="med" len="med"/>
                                </a:ln>
                              </wps:spPr>
                              <wps:bodyPr/>
                            </wps:wsp>
                            <wps:wsp>
                              <wps:cNvPr id="91" name="直接箭头连接符 91"/>
                              <wps:cNvCnPr/>
                              <wps:spPr>
                                <a:xfrm flipH="1">
                                  <a:off x="3028315" y="1975485"/>
                                  <a:ext cx="392430" cy="1270"/>
                                </a:xfrm>
                                <a:prstGeom prst="straightConnector1">
                                  <a:avLst/>
                                </a:prstGeom>
                                <a:ln w="3175" cap="flat" cmpd="sng">
                                  <a:solidFill>
                                    <a:srgbClr val="000000"/>
                                  </a:solidFill>
                                  <a:prstDash val="solid"/>
                                  <a:headEnd type="none" w="med" len="med"/>
                                  <a:tailEnd type="triangle" w="med" len="med"/>
                                </a:ln>
                              </wps:spPr>
                              <wps:bodyPr/>
                            </wps:wsp>
                            <wps:wsp>
                              <wps:cNvPr id="92" name="直接箭头连接符 92"/>
                              <wps:cNvCnPr/>
                              <wps:spPr>
                                <a:xfrm flipH="1" flipV="1">
                                  <a:off x="1925955" y="1974850"/>
                                  <a:ext cx="357505" cy="1905"/>
                                </a:xfrm>
                                <a:prstGeom prst="straightConnector1">
                                  <a:avLst/>
                                </a:prstGeom>
                                <a:ln w="3175" cap="flat" cmpd="sng">
                                  <a:solidFill>
                                    <a:srgbClr val="000000"/>
                                  </a:solidFill>
                                  <a:prstDash val="solid"/>
                                  <a:headEnd type="none" w="med" len="med"/>
                                  <a:tailEnd type="triangle" w="med" len="med"/>
                                </a:ln>
                              </wps:spPr>
                              <wps:bodyPr/>
                            </wps:wsp>
                            <wps:wsp>
                              <wps:cNvPr id="93" name="文本框 93"/>
                              <wps:cNvSpPr txBox="1"/>
                              <wps:spPr>
                                <a:xfrm>
                                  <a:off x="8255" y="19050"/>
                                  <a:ext cx="824865" cy="461645"/>
                                </a:xfrm>
                                <a:prstGeom prst="rect">
                                  <a:avLst/>
                                </a:prstGeom>
                                <a:noFill/>
                                <a:ln w="3175" cap="flat" cmpd="sng">
                                  <a:solidFill>
                                    <a:srgbClr val="000000"/>
                                  </a:solidFill>
                                  <a:prstDash val="dash"/>
                                  <a:miter/>
                                  <a:headEnd type="none" w="med" len="med"/>
                                  <a:tailEnd type="none" w="med" len="med"/>
                                </a:ln>
                              </wps:spPr>
                              <wps:txbx>
                                <w:txbxContent>
                                  <w:p>
                                    <w:pPr>
                                      <w:rPr>
                                        <w:rFonts w:hint="eastAsia"/>
                                      </w:rPr>
                                    </w:pPr>
                                    <w:r>
                                      <w:rPr>
                                        <w:rFonts w:hint="eastAsia"/>
                                      </w:rPr>
                                      <w:t>噪声、</w:t>
                                    </w:r>
                                    <w:r>
                                      <w:t>扬尘</w:t>
                                    </w:r>
                                    <w:r>
                                      <w:rPr>
                                        <w:rFonts w:hint="eastAsia"/>
                                      </w:rPr>
                                      <w:t>、弃</w:t>
                                    </w:r>
                                    <w:r>
                                      <w:t>渣</w:t>
                                    </w:r>
                                  </w:p>
                                </w:txbxContent>
                              </wps:txbx>
                              <wps:bodyPr upright="1"/>
                            </wps:wsp>
                            <wps:wsp>
                              <wps:cNvPr id="94" name="文本框 94"/>
                              <wps:cNvSpPr txBox="1"/>
                              <wps:spPr>
                                <a:xfrm>
                                  <a:off x="1564640" y="5080"/>
                                  <a:ext cx="716915" cy="485775"/>
                                </a:xfrm>
                                <a:prstGeom prst="rect">
                                  <a:avLst/>
                                </a:prstGeom>
                                <a:noFill/>
                                <a:ln w="3175" cap="flat" cmpd="sng">
                                  <a:solidFill>
                                    <a:srgbClr val="000000"/>
                                  </a:solidFill>
                                  <a:prstDash val="dash"/>
                                  <a:miter/>
                                  <a:headEnd type="none" w="med" len="med"/>
                                  <a:tailEnd type="none" w="med" len="med"/>
                                </a:ln>
                              </wps:spPr>
                              <wps:txbx>
                                <w:txbxContent>
                                  <w:p>
                                    <w:pPr>
                                      <w:rPr>
                                        <w:rFonts w:hint="eastAsia"/>
                                      </w:rPr>
                                    </w:pPr>
                                    <w:r>
                                      <w:rPr>
                                        <w:rFonts w:hint="eastAsia"/>
                                      </w:rPr>
                                      <w:t>噪声、固废、</w:t>
                                    </w:r>
                                    <w:r>
                                      <w:t>废水</w:t>
                                    </w:r>
                                  </w:p>
                                </w:txbxContent>
                              </wps:txbx>
                              <wps:bodyPr upright="1"/>
                            </wps:wsp>
                            <wps:wsp>
                              <wps:cNvPr id="95" name="文本框 95"/>
                              <wps:cNvSpPr txBox="1"/>
                              <wps:spPr>
                                <a:xfrm>
                                  <a:off x="4488815" y="24765"/>
                                  <a:ext cx="824865" cy="461645"/>
                                </a:xfrm>
                                <a:prstGeom prst="rect">
                                  <a:avLst/>
                                </a:prstGeom>
                                <a:noFill/>
                                <a:ln w="3175" cap="flat" cmpd="sng">
                                  <a:solidFill>
                                    <a:srgbClr val="000000"/>
                                  </a:solidFill>
                                  <a:prstDash val="dash"/>
                                  <a:miter/>
                                  <a:headEnd type="none" w="med" len="med"/>
                                  <a:tailEnd type="none" w="med" len="med"/>
                                </a:ln>
                              </wps:spPr>
                              <wps:txbx>
                                <w:txbxContent>
                                  <w:p>
                                    <w:pPr>
                                      <w:rPr>
                                        <w:rFonts w:hint="eastAsia"/>
                                      </w:rPr>
                                    </w:pPr>
                                    <w:r>
                                      <w:rPr>
                                        <w:rFonts w:hint="eastAsia"/>
                                      </w:rPr>
                                      <w:t>噪声、废水、</w:t>
                                    </w:r>
                                    <w:r>
                                      <w:t>废气</w:t>
                                    </w:r>
                                  </w:p>
                                </w:txbxContent>
                              </wps:txbx>
                              <wps:bodyPr upright="1"/>
                            </wps:wsp>
                            <wps:wsp>
                              <wps:cNvPr id="96" name="文本框 96"/>
                              <wps:cNvSpPr txBox="1"/>
                              <wps:spPr>
                                <a:xfrm>
                                  <a:off x="988060" y="2385695"/>
                                  <a:ext cx="1126490" cy="275590"/>
                                </a:xfrm>
                                <a:prstGeom prst="rect">
                                  <a:avLst/>
                                </a:prstGeom>
                                <a:noFill/>
                                <a:ln w="3175" cap="flat" cmpd="sng">
                                  <a:solidFill>
                                    <a:srgbClr val="000000"/>
                                  </a:solidFill>
                                  <a:prstDash val="dash"/>
                                  <a:miter/>
                                  <a:headEnd type="none" w="med" len="med"/>
                                  <a:tailEnd type="none" w="med" len="med"/>
                                </a:ln>
                              </wps:spPr>
                              <wps:txbx>
                                <w:txbxContent>
                                  <w:p>
                                    <w:pPr>
                                      <w:rPr>
                                        <w:rFonts w:hint="eastAsia"/>
                                      </w:rPr>
                                    </w:pPr>
                                    <w:r>
                                      <w:rPr>
                                        <w:rFonts w:hint="eastAsia"/>
                                      </w:rPr>
                                      <w:t>汽车尾气</w:t>
                                    </w:r>
                                    <w:r>
                                      <w:t>、</w:t>
                                    </w:r>
                                    <w:r>
                                      <w:rPr>
                                        <w:rFonts w:hint="eastAsia"/>
                                      </w:rPr>
                                      <w:t>噪声</w:t>
                                    </w:r>
                                  </w:p>
                                </w:txbxContent>
                              </wps:txbx>
                              <wps:bodyPr upright="1"/>
                            </wps:wsp>
                            <wps:wsp>
                              <wps:cNvPr id="97" name="直接箭头连接符 97"/>
                              <wps:cNvCnPr/>
                              <wps:spPr>
                                <a:xfrm flipV="1">
                                  <a:off x="414655" y="480695"/>
                                  <a:ext cx="6350" cy="433070"/>
                                </a:xfrm>
                                <a:prstGeom prst="straightConnector1">
                                  <a:avLst/>
                                </a:prstGeom>
                                <a:ln w="3175" cap="flat" cmpd="sng">
                                  <a:solidFill>
                                    <a:srgbClr val="000000"/>
                                  </a:solidFill>
                                  <a:prstDash val="dash"/>
                                  <a:headEnd type="none" w="med" len="med"/>
                                  <a:tailEnd type="triangle" w="med" len="med"/>
                                </a:ln>
                              </wps:spPr>
                              <wps:bodyPr/>
                            </wps:wsp>
                            <wps:wsp>
                              <wps:cNvPr id="98" name="直接箭头连接符 98"/>
                              <wps:cNvCnPr/>
                              <wps:spPr>
                                <a:xfrm flipV="1">
                                  <a:off x="1913255" y="490855"/>
                                  <a:ext cx="10160" cy="340995"/>
                                </a:xfrm>
                                <a:prstGeom prst="straightConnector1">
                                  <a:avLst/>
                                </a:prstGeom>
                                <a:ln w="3175" cap="flat" cmpd="sng">
                                  <a:solidFill>
                                    <a:srgbClr val="000000"/>
                                  </a:solidFill>
                                  <a:prstDash val="dash"/>
                                  <a:headEnd type="none" w="med" len="med"/>
                                  <a:tailEnd type="triangle" w="med" len="med"/>
                                </a:ln>
                              </wps:spPr>
                              <wps:bodyPr/>
                            </wps:wsp>
                            <wps:wsp>
                              <wps:cNvPr id="99" name="直接箭头连接符 99"/>
                              <wps:cNvCnPr/>
                              <wps:spPr>
                                <a:xfrm flipH="1" flipV="1">
                                  <a:off x="4901565" y="486410"/>
                                  <a:ext cx="2540" cy="354965"/>
                                </a:xfrm>
                                <a:prstGeom prst="straightConnector1">
                                  <a:avLst/>
                                </a:prstGeom>
                                <a:ln w="3175" cap="flat" cmpd="sng">
                                  <a:solidFill>
                                    <a:srgbClr val="000000"/>
                                  </a:solidFill>
                                  <a:prstDash val="dash"/>
                                  <a:headEnd type="none" w="med" len="med"/>
                                  <a:tailEnd type="triangle" w="med" len="med"/>
                                </a:ln>
                              </wps:spPr>
                              <wps:bodyPr/>
                            </wps:wsp>
                            <wps:wsp>
                              <wps:cNvPr id="100" name="直接箭头连接符 100"/>
                              <wps:cNvCnPr/>
                              <wps:spPr>
                                <a:xfrm flipH="1">
                                  <a:off x="1551305" y="2136140"/>
                                  <a:ext cx="2540" cy="249555"/>
                                </a:xfrm>
                                <a:prstGeom prst="straightConnector1">
                                  <a:avLst/>
                                </a:prstGeom>
                                <a:ln w="3175" cap="flat" cmpd="sng">
                                  <a:solidFill>
                                    <a:srgbClr val="000000"/>
                                  </a:solidFill>
                                  <a:prstDash val="dash"/>
                                  <a:headEnd type="none" w="med" len="med"/>
                                  <a:tailEnd type="triangle" w="med" len="med"/>
                                </a:ln>
                              </wps:spPr>
                              <wps:bodyPr/>
                            </wps:wsp>
                            <wps:wsp>
                              <wps:cNvPr id="101" name="文本框 101"/>
                              <wps:cNvSpPr txBox="1"/>
                              <wps:spPr>
                                <a:xfrm>
                                  <a:off x="3054350" y="52070"/>
                                  <a:ext cx="694690" cy="485775"/>
                                </a:xfrm>
                                <a:prstGeom prst="rect">
                                  <a:avLst/>
                                </a:prstGeom>
                                <a:noFill/>
                                <a:ln w="3175" cap="flat" cmpd="sng">
                                  <a:solidFill>
                                    <a:srgbClr val="000000"/>
                                  </a:solidFill>
                                  <a:prstDash val="dash"/>
                                  <a:miter/>
                                  <a:headEnd type="none" w="med" len="med"/>
                                  <a:tailEnd type="none" w="med" len="med"/>
                                </a:ln>
                              </wps:spPr>
                              <wps:txbx>
                                <w:txbxContent>
                                  <w:p>
                                    <w:pPr>
                                      <w:rPr>
                                        <w:rFonts w:hint="eastAsia"/>
                                      </w:rPr>
                                    </w:pPr>
                                    <w:r>
                                      <w:rPr>
                                        <w:rFonts w:hint="eastAsia"/>
                                      </w:rPr>
                                      <w:t>噪声、固废、废水</w:t>
                                    </w:r>
                                  </w:p>
                                </w:txbxContent>
                              </wps:txbx>
                              <wps:bodyPr upright="1"/>
                            </wps:wsp>
                            <wps:wsp>
                              <wps:cNvPr id="102" name="直接箭头连接符 102"/>
                              <wps:cNvCnPr/>
                              <wps:spPr>
                                <a:xfrm flipV="1">
                                  <a:off x="3397885" y="537845"/>
                                  <a:ext cx="3810" cy="301625"/>
                                </a:xfrm>
                                <a:prstGeom prst="straightConnector1">
                                  <a:avLst/>
                                </a:prstGeom>
                                <a:ln w="3175" cap="flat" cmpd="sng">
                                  <a:solidFill>
                                    <a:srgbClr val="000000"/>
                                  </a:solidFill>
                                  <a:prstDash val="dash"/>
                                  <a:headEnd type="none" w="med" len="med"/>
                                  <a:tailEnd type="triangle" w="med" len="med"/>
                                </a:ln>
                              </wps:spPr>
                              <wps:bodyPr/>
                            </wps:wsp>
                            <wps:wsp>
                              <wps:cNvPr id="103" name="直接连接符 103"/>
                              <wps:cNvCnPr/>
                              <wps:spPr>
                                <a:xfrm flipV="1">
                                  <a:off x="3797300" y="1073785"/>
                                  <a:ext cx="793115" cy="7620"/>
                                </a:xfrm>
                                <a:prstGeom prst="line">
                                  <a:avLst/>
                                </a:prstGeom>
                                <a:ln w="3175" cap="flat" cmpd="sng">
                                  <a:solidFill>
                                    <a:srgbClr val="000000"/>
                                  </a:solidFill>
                                  <a:prstDash val="solid"/>
                                  <a:headEnd type="none" w="med" len="med"/>
                                  <a:tailEnd type="triangle" w="lg" len="med"/>
                                </a:ln>
                              </wps:spPr>
                              <wps:bodyPr upright="1"/>
                            </wps:wsp>
                          </wpc:wpc>
                        </a:graphicData>
                      </a:graphic>
                    </wp:inline>
                  </w:drawing>
                </mc:Choice>
                <mc:Fallback>
                  <w:pict>
                    <v:group id="_x0000_s1026" o:spid="_x0000_s1026" o:spt="203" style="height:211.55pt;width:422.85pt;" coordsize="5370195,2686685" editas="canvas" o:gfxdata="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">
                      <o:lock v:ext="edit" aspectratio="f"/>
                      <v:shape id="_x0000_s1026" o:spid="_x0000_s1026" style="position:absolute;left:0;top:0;height:2686685;width:5370195;" filled="f" stroked="f" coordsize="21600,21600" o:gfxdata="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">
                        <v:fill on="f" focussize="0,0"/>
                        <v:stroke on="f"/>
                        <v:imagedata o:title=""/>
                        <o:lock v:ext="edit" aspectratio="t"/>
                      </v:shape>
                      <v:shape id="_x0000_s1026" o:spid="_x0000_s1026" o:spt="202" type="#_x0000_t202" style="position:absolute;left:46355;top:913765;height:323850;width:735965;" filled="f" stroked="t" coordsize="21600,21600" o:gfxdata="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J8hOt1gAAAAUBAAAPAAAAAAAAAAEA&#10;IAAAACIAAABkcnMvZG93bnJldi54bWxQSwECFAAUAAAACACHTuJAiKTwZBECAAAXBAAADgAAAAAA&#10;AAABACAAAAAlAQAAZHJzL2Uyb0RvYy54bWxQSwUGAAAAAAYABgBZAQAAqAUAAAAA&#10;">
                        <v:fill on="f" focussize="0,0"/>
                        <v:stroke weight="0.25pt" color="#000000" joinstyle="miter"/>
                        <v:imagedata o:title=""/>
                        <o:lock v:ext="edit" aspectratio="f"/>
                        <v:textbox>
                          <w:txbxContent>
                            <w:p>
                              <w:pPr>
                                <w:rPr>
                                  <w:rFonts w:hint="eastAsia"/>
                                </w:rPr>
                              </w:pPr>
                              <w:r>
                                <w:rPr>
                                  <w:rFonts w:hint="eastAsia"/>
                                </w:rPr>
                                <w:t>船槽破除</w:t>
                              </w:r>
                            </w:p>
                          </w:txbxContent>
                        </v:textbox>
                      </v:shape>
                      <v:shape id="_x0000_s1026" o:spid="_x0000_s1026" o:spt="202" type="#_x0000_t202" style="position:absolute;left:1537970;top:831850;height:475615;width:749935;" filled="f" stroked="t" coordsize="21600,21600" o:gfxdata="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fITrdYAAAAFAQAADwAAAAAAAAABACAA&#10;AAAiAAAAZHJzL2Rvd25yZXYueG1sUEsBAhQAFAAAAAgAh07iQDC4L6MPAgAAGQQAAA4AAAAAAAAA&#10;AQAgAAAAJQEAAGRycy9lMm9Eb2MueG1sUEsFBgAAAAAGAAYAWQEAAKYFAAAAAA==&#10;">
                        <v:fill on="f" focussize="0,0"/>
                        <v:stroke weight="0.25pt" color="#000000" joinstyle="miter"/>
                        <v:imagedata o:title=""/>
                        <o:lock v:ext="edit" aspectratio="f"/>
                        <v:textbox>
                          <w:txbxContent>
                            <w:p>
                              <w:pPr>
                                <w:rPr>
                                  <w:rFonts w:hint="eastAsia"/>
                                </w:rPr>
                              </w:pPr>
                              <w:r>
                                <w:rPr>
                                  <w:rFonts w:hint="eastAsia"/>
                                </w:rPr>
                                <w:t>桥梁</w:t>
                              </w:r>
                              <w:r>
                                <w:t>下部结构</w:t>
                              </w:r>
                              <w:r>
                                <w:rPr>
                                  <w:rFonts w:hint="eastAsia"/>
                                </w:rPr>
                                <w:t>修建</w:t>
                              </w:r>
                            </w:p>
                          </w:txbxContent>
                        </v:textbox>
                      </v:shape>
                      <v:shape id="_x0000_s1026" o:spid="_x0000_s1026" o:spt="202" type="#_x0000_t202" style="position:absolute;left:4573270;top:841375;height:454660;width:661670;" filled="f" stroked="t" coordsize="21600,21600" o:gfxdata="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J8hOt1gAAAAUBAAAPAAAAAAAAAAEA&#10;IAAAACIAAABkcnMvZG93bnJldi54bWxQSwECFAAUAAAACACHTuJAwer7bhECAAAZBAAADgAAAAAA&#10;AAABACAAAAAlAQAAZHJzL2Uyb0RvYy54bWxQSwUGAAAAAAYABgBZAQAAqAUAAAAA&#10;">
                        <v:fill on="f" focussize="0,0"/>
                        <v:stroke weight="0.25pt" color="#000000" joinstyle="miter"/>
                        <v:imagedata o:title=""/>
                        <o:lock v:ext="edit" aspectratio="f"/>
                        <v:textbox>
                          <w:txbxContent>
                            <w:p>
                              <w:pPr>
                                <w:rPr>
                                  <w:rFonts w:hint="eastAsia"/>
                                </w:rPr>
                              </w:pPr>
                              <w:r>
                                <w:rPr>
                                  <w:rFonts w:hint="eastAsia"/>
                                </w:rPr>
                                <w:t>路面</w:t>
                              </w:r>
                              <w:r>
                                <w:t>桥面</w:t>
                              </w:r>
                              <w:r>
                                <w:rPr>
                                  <w:rFonts w:hint="eastAsia"/>
                                </w:rPr>
                                <w:t>施工</w:t>
                              </w:r>
                            </w:p>
                          </w:txbxContent>
                        </v:textbox>
                      </v:shape>
                      <v:shape id="_x0000_s1026" o:spid="_x0000_s1026" o:spt="202" type="#_x0000_t202" style="position:absolute;left:4540885;top:1811655;height:324485;width:735330;" filled="f" stroked="t" coordsize="21600,21600" o:gfxdata="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J8hOt1gAAAAUBAAAPAAAAAAAAAAEA&#10;IAAAACIAAABkcnMvZG93bnJldi54bWxQSwECFAAUAAAACACHTuJAbi06lhECAAAaBAAADgAAAAAA&#10;AAABACAAAAAlAQAAZHJzL2Uyb0RvYy54bWxQSwUGAAAAAAYABgBZAQAAqAUAAAAA&#10;">
                        <v:fill on="f" focussize="0,0"/>
                        <v:stroke weight="0.25pt" color="#000000" joinstyle="miter"/>
                        <v:imagedata o:title=""/>
                        <o:lock v:ext="edit" aspectratio="f"/>
                        <v:textbox>
                          <w:txbxContent>
                            <w:p>
                              <w:pPr>
                                <w:rPr>
                                  <w:rFonts w:hint="eastAsia"/>
                                </w:rPr>
                              </w:pPr>
                              <w:r>
                                <w:rPr>
                                  <w:rFonts w:hint="eastAsia"/>
                                </w:rPr>
                                <w:t>交</w:t>
                              </w:r>
                              <w:r>
                                <w:rPr>
                                  <w:rFonts w:hint="eastAsia"/>
                                  <w:lang w:val="en-US" w:eastAsia="zh-CN"/>
                                </w:rPr>
                                <w:t>安</w:t>
                              </w:r>
                              <w:r>
                                <w:rPr>
                                  <w:rFonts w:hint="eastAsia"/>
                                </w:rPr>
                                <w:t>工程</w:t>
                              </w:r>
                            </w:p>
                          </w:txbxContent>
                        </v:textbox>
                      </v:shape>
                      <v:shape id="_x0000_s1026" o:spid="_x0000_s1026" o:spt="202" type="#_x0000_t202" style="position:absolute;left:3420745;top:1814195;height:321945;width:742950;" filled="f" stroked="t" coordsize="21600,21600" o:gfxdata="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J8hOt1gAAAAUBAAAPAAAAAAAAAAEA&#10;IAAAACIAAABkcnMvZG93bnJldi54bWxQSwECFAAUAAAACACHTuJATITSfxECAAAaBAAADgAAAAAA&#10;AAABACAAAAAlAQAAZHJzL2Uyb0RvYy54bWxQSwUGAAAAAAYABgBZAQAAqAUAAAAA&#10;">
                        <v:fill on="f" focussize="0,0"/>
                        <v:stroke weight="0.25pt" color="#000000" joinstyle="miter"/>
                        <v:imagedata o:title=""/>
                        <o:lock v:ext="edit" aspectratio="f"/>
                        <v:textbox>
                          <w:txbxContent>
                            <w:p>
                              <w:pPr>
                                <w:rPr>
                                  <w:rFonts w:hint="eastAsia"/>
                                </w:rPr>
                              </w:pPr>
                              <w:r>
                                <w:rPr>
                                  <w:rFonts w:hint="eastAsia"/>
                                </w:rPr>
                                <w:t>绿化</w:t>
                              </w:r>
                            </w:p>
                          </w:txbxContent>
                        </v:textbox>
                      </v:shape>
                      <v:shape id="_x0000_s1026" o:spid="_x0000_s1026" o:spt="202" type="#_x0000_t202" style="position:absolute;left:3016250;top:839470;height:456565;width:763270;" filled="f" stroked="t" coordsize="21600,21600" o:gfxdata="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nyE63WAAAABQEAAA8AAAAAAAAAAQAgAAAA&#10;IgAAAGRycy9kb3ducmV2LnhtbFBLAQIUABQAAAAIAIdO4kDJRQfkDQIAABkEAAAOAAAAAAAAAAEA&#10;IAAAACUBAABkcnMvZTJvRG9jLnhtbFBLBQYAAAAABgAGAFkBAACkBQAAAAA=&#10;">
                        <v:fill on="f" focussize="0,0"/>
                        <v:stroke weight="0.25pt" color="#000000" joinstyle="miter"/>
                        <v:imagedata o:title=""/>
                        <o:lock v:ext="edit" aspectratio="f"/>
                        <v:textbox>
                          <w:txbxContent>
                            <w:p>
                              <w:pPr>
                                <w:pStyle w:val="32"/>
                                <w:rPr>
                                  <w:rFonts w:hint="eastAsia" w:ascii="Times New Roman" w:eastAsia="宋体"/>
                                  <w:color w:val="auto"/>
                                  <w:kern w:val="2"/>
                                  <w:sz w:val="21"/>
                                </w:rPr>
                              </w:pPr>
                              <w:r>
                                <w:rPr>
                                  <w:rFonts w:hint="eastAsia" w:ascii="Times New Roman" w:eastAsia="宋体"/>
                                  <w:color w:val="auto"/>
                                  <w:kern w:val="2"/>
                                  <w:sz w:val="21"/>
                                </w:rPr>
                                <w:t>桥梁上部</w:t>
                              </w:r>
                              <w:r>
                                <w:rPr>
                                  <w:rFonts w:ascii="Times New Roman" w:eastAsia="宋体"/>
                                  <w:color w:val="auto"/>
                                  <w:kern w:val="2"/>
                                  <w:sz w:val="21"/>
                                </w:rPr>
                                <w:t>结构修建</w:t>
                              </w:r>
                            </w:p>
                          </w:txbxContent>
                        </v:textbox>
                      </v:shape>
                      <v:shape id="_x0000_s1026" o:spid="_x0000_s1026" o:spt="202" type="#_x0000_t202" style="position:absolute;left:2283460;top:1814195;height:324485;width:744855;" filled="f" stroked="t" coordsize="21600,21600" o:gfxdata="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fITrdYAAAAFAQAADwAAAAAAAAABACAA&#10;AAAiAAAAZHJzL2Rvd25yZXYueG1sUEsBAhQAFAAAAAgAh07iQAhdarwPAgAAGgQAAA4AAAAAAAAA&#10;AQAgAAAAJQEAAGRycy9lMm9Eb2MueG1sUEsFBgAAAAAGAAYAWQEAAKYFAAAAAA==&#10;">
                        <v:fill on="f" focussize="0,0"/>
                        <v:stroke weight="0.25pt" color="#000000" joinstyle="miter"/>
                        <v:imagedata o:title=""/>
                        <o:lock v:ext="edit" aspectratio="f"/>
                        <v:textbox>
                          <w:txbxContent>
                            <w:p>
                              <w:pPr>
                                <w:rPr>
                                  <w:rFonts w:hint="eastAsia"/>
                                </w:rPr>
                              </w:pPr>
                              <w:r>
                                <w:rPr>
                                  <w:rFonts w:hint="eastAsia"/>
                                </w:rPr>
                                <w:t>配套设施</w:t>
                              </w:r>
                            </w:p>
                          </w:txbxContent>
                        </v:textbox>
                      </v:shape>
                      <v:shape id="_x0000_s1026" o:spid="_x0000_s1026" o:spt="202" type="#_x0000_t202" style="position:absolute;left:1181100;top:1812925;height:323215;width:744855;" filled="f" stroked="t" coordsize="21600,21600" o:gfxdata="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J8hOt1gAAAAUBAAAPAAAAAAAAAAEA&#10;IAAAACIAAABkcnMvZG93bnJldi54bWxQSwECFAAUAAAACACHTuJA81LQ3RECAAAaBAAADgAAAAAA&#10;AAABACAAAAAlAQAAZHJzL2Uyb0RvYy54bWxQSwUGAAAAAAYABgBZAQAAqAUAAAAA&#10;">
                        <v:fill on="f" focussize="0,0"/>
                        <v:stroke weight="0.25pt" color="#000000" joinstyle="miter"/>
                        <v:imagedata o:title=""/>
                        <o:lock v:ext="edit" aspectratio="f"/>
                        <v:textbox>
                          <w:txbxContent>
                            <w:p>
                              <w:pPr>
                                <w:rPr>
                                  <w:rFonts w:hint="eastAsia"/>
                                </w:rPr>
                              </w:pPr>
                              <w:r>
                                <w:rPr>
                                  <w:rFonts w:hint="eastAsia"/>
                                </w:rPr>
                                <w:t>道路运营</w:t>
                              </w:r>
                            </w:p>
                          </w:txbxContent>
                        </v:textbox>
                      </v:shape>
                      <v:shape id="_x0000_s1026" o:spid="_x0000_s1026" o:spt="32" type="#_x0000_t32" style="position:absolute;left:782320;top:1069975;flip:y;height:5715;width:755650;" filled="f" stroked="t" coordsize="21600,21600" o:gfxdata="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aJ0SLYAAAABQEAAA8AAAAAAAAAAQAgAAAAIgAAAGRycy9kb3ducmV2LnhtbFBLAQIUABQA&#10;AAAIAIdO4kD7tFLAKQIAADEEAAAOAAAAAAAAAAEAIAAAACcBAABkcnMvZTJvRG9jLnhtbFBLBQYA&#10;AAAABgAGAFkBAADCBQAAAAA=&#10;">
                        <v:fill on="f" focussize="0,0"/>
                        <v:stroke weight="0.25pt" color="#000000" joinstyle="round" endarrow="block"/>
                        <v:imagedata o:title=""/>
                        <o:lock v:ext="edit" aspectratio="f"/>
                      </v:shape>
                      <v:shape id="_x0000_s1026" o:spid="_x0000_s1026" o:spt="32" type="#_x0000_t32" style="position:absolute;left:2287905;top:1068070;flip:y;height:1905;width:728345;" filled="f" stroked="t" coordsize="21600,21600" o:gfxdata="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onRItgAAAAFAQAADwAAAAAAAAABACAAAAAiAAAAZHJzL2Rvd25yZXYueG1sUEsBAhQAFAAA&#10;AAgAh07iQEDGJiIoAgAAMgQAAA4AAAAAAAAAAQAgAAAAJwEAAGRycy9lMm9Eb2MueG1sUEsFBgAA&#10;AAAGAAYAWQEAAMEFAAAAAA==&#10;">
                        <v:fill on="f" focussize="0,0"/>
                        <v:stroke weight="0.25pt" color="#000000" joinstyle="round" endarrow="block"/>
                        <v:imagedata o:title=""/>
                        <o:lock v:ext="edit" aspectratio="f"/>
                      </v:shape>
                      <v:shape id="_x0000_s1026" o:spid="_x0000_s1026" o:spt="32" type="#_x0000_t32" style="position:absolute;left:4904105;top:1296035;height:515620;width:4445;" filled="f" stroked="t" coordsize="21600,21600" o:gfxdata="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h2wG9UAAAAFAQAADwAAAAAA&#10;AAABACAAAAAiAAAAZHJzL2Rvd25yZXYueG1sUEsBAhQAFAAAAAgAh07iQKAq1ckWAgAAAAQAAA4A&#10;AAAAAAAAAQAgAAAAJAEAAGRycy9lMm9Eb2MueG1sUEsFBgAAAAAGAAYAWQEAAKwFAAAAAA==&#10;">
                        <v:fill on="f" focussize="0,0"/>
                        <v:stroke weight="0.25pt" color="#000000" joinstyle="round" endarrow="block"/>
                        <v:imagedata o:title=""/>
                        <o:lock v:ext="edit" aspectratio="f"/>
                      </v:shape>
                      <v:shape id="_x0000_s1026" o:spid="_x0000_s1026" o:spt="32" type="#_x0000_t32" style="position:absolute;left:4163695;top:1974215;flip:x;height:1270;width:377190;" filled="f" stroked="t" coordsize="21600,21600" o:gfxdata="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onRItgAAAAF&#10;AQAADwAAAAAAAAABACAAAAAiAAAAZHJzL2Rvd25yZXYueG1sUEsBAhQAFAAAAAgAh07iQMugkusc&#10;AgAACgQAAA4AAAAAAAAAAQAgAAAAJwEAAGRycy9lMm9Eb2MueG1sUEsFBgAAAAAGAAYAWQEAALUF&#10;AAAAAA==&#10;">
                        <v:fill on="f" focussize="0,0"/>
                        <v:stroke weight="0.25pt" color="#000000" joinstyle="round" endarrow="block"/>
                        <v:imagedata o:title=""/>
                        <o:lock v:ext="edit" aspectratio="f"/>
                      </v:shape>
                      <v:shape id="_x0000_s1026" o:spid="_x0000_s1026" o:spt="32" type="#_x0000_t32" style="position:absolute;left:3028315;top:1975485;flip:x;height:1270;width:392430;" filled="f" stroked="t" coordsize="21600,21600" o:gfxdata="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aJ0SLYAAAA&#10;BQEAAA8AAAAAAAAAAQAgAAAAIgAAAGRycy9kb3ducmV2LnhtbFBLAQIUABQAAAAIAIdO4kChOmP7&#10;HQIAAAoEAAAOAAAAAAAAAAEAIAAAACcBAABkcnMvZTJvRG9jLnhtbFBLBQYAAAAABgAGAFkBAAC2&#10;BQAAAAA=&#10;">
                        <v:fill on="f" focussize="0,0"/>
                        <v:stroke weight="0.25pt" color="#000000" joinstyle="round" endarrow="block"/>
                        <v:imagedata o:title=""/>
                        <o:lock v:ext="edit" aspectratio="f"/>
                      </v:shape>
                      <v:shape id="_x0000_s1026" o:spid="_x0000_s1026" o:spt="32" type="#_x0000_t32" style="position:absolute;left:1925955;top:1974850;flip:x y;height:1905;width:357505;" filled="f" stroked="t" coordsize="21600,21600" o:gfxdata="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hOTln1gAAAAUBAAAP&#10;AAAAAAAAAAEAIAAAACIAAABkcnMvZG93bnJldi54bWxQSwECFAAUAAAACACHTuJAP0ailhoCAAAU&#10;BAAADgAAAAAAAAABACAAAAAlAQAAZHJzL2Uyb0RvYy54bWxQSwUGAAAAAAYABgBZAQAAsQUAAAAA&#10;">
                        <v:fill on="f" focussize="0,0"/>
                        <v:stroke weight="0.25pt" color="#000000" joinstyle="round" endarrow="block"/>
                        <v:imagedata o:title=""/>
                        <o:lock v:ext="edit" aspectratio="f"/>
                      </v:shape>
                      <v:shape id="_x0000_s1026" o:spid="_x0000_s1026" o:spt="202" type="#_x0000_t202" style="position:absolute;left:8255;top:19050;height:461645;width:824865;" filled="f" stroked="t" coordsize="21600,21600" o:gfxdata="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vTvIDVAAAABQEAAA8AAAAAAAAAAQAgAAAAIgAA&#10;AGRycy9kb3ducmV2LnhtbFBLAQIUABQAAAAIAIdO4kA2VsHDCwIAABQEAAAOAAAAAAAAAAEAIAAA&#10;ACQBAABkcnMvZTJvRG9jLnhtbFBLBQYAAAAABgAGAFkBAAChBQAAAAA=&#10;">
                        <v:fill on="f" focussize="0,0"/>
                        <v:stroke weight="0.25pt" color="#000000" joinstyle="miter" dashstyle="dash"/>
                        <v:imagedata o:title=""/>
                        <o:lock v:ext="edit" aspectratio="f"/>
                        <v:textbox>
                          <w:txbxContent>
                            <w:p>
                              <w:pPr>
                                <w:rPr>
                                  <w:rFonts w:hint="eastAsia"/>
                                </w:rPr>
                              </w:pPr>
                              <w:r>
                                <w:rPr>
                                  <w:rFonts w:hint="eastAsia"/>
                                </w:rPr>
                                <w:t>噪声、</w:t>
                              </w:r>
                              <w:r>
                                <w:t>扬尘</w:t>
                              </w:r>
                              <w:r>
                                <w:rPr>
                                  <w:rFonts w:hint="eastAsia"/>
                                </w:rPr>
                                <w:t>、弃</w:t>
                              </w:r>
                              <w:r>
                                <w:t>渣</w:t>
                              </w:r>
                            </w:p>
                          </w:txbxContent>
                        </v:textbox>
                      </v:shape>
                      <v:shape id="_x0000_s1026" o:spid="_x0000_s1026" o:spt="202" type="#_x0000_t202" style="position:absolute;left:1564640;top:5080;height:485775;width:716915;" filled="f" stroked="t" coordsize="21600,21600" o:gfxdata="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b07yA1QAAAAUBAAAPAAAAAAAAAAEAIAAA&#10;ACIAAABkcnMvZG93bnJldi54bWxQSwECFAAUAAAACACHTuJAOTzhXw8CAAAWBAAADgAAAAAAAAAB&#10;ACAAAAAkAQAAZHJzL2Uyb0RvYy54bWxQSwUGAAAAAAYABgBZAQAApQUAAAAA&#10;">
                        <v:fill on="f" focussize="0,0"/>
                        <v:stroke weight="0.25pt" color="#000000" joinstyle="miter" dashstyle="dash"/>
                        <v:imagedata o:title=""/>
                        <o:lock v:ext="edit" aspectratio="f"/>
                        <v:textbox>
                          <w:txbxContent>
                            <w:p>
                              <w:pPr>
                                <w:rPr>
                                  <w:rFonts w:hint="eastAsia"/>
                                </w:rPr>
                              </w:pPr>
                              <w:r>
                                <w:rPr>
                                  <w:rFonts w:hint="eastAsia"/>
                                </w:rPr>
                                <w:t>噪声、固废、</w:t>
                              </w:r>
                              <w:r>
                                <w:t>废水</w:t>
                              </w:r>
                            </w:p>
                          </w:txbxContent>
                        </v:textbox>
                      </v:shape>
                      <v:shape id="_x0000_s1026" o:spid="_x0000_s1026" o:spt="202" type="#_x0000_t202" style="position:absolute;left:4488815;top:24765;height:461645;width:824865;" filled="f" stroked="t" coordsize="21600,21600" o:gfxdata="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vTvIDVAAAABQEAAA8AAAAAAAAAAQAg&#10;AAAAIgAAAGRycy9kb3ducmV2LnhtbFBLAQIUABQAAAAIAIdO4kBQHekqEQIAABcEAAAOAAAAAAAA&#10;AAEAIAAAACQBAABkcnMvZTJvRG9jLnhtbFBLBQYAAAAABgAGAFkBAACnBQAAAAA=&#10;">
                        <v:fill on="f" focussize="0,0"/>
                        <v:stroke weight="0.25pt" color="#000000" joinstyle="miter" dashstyle="dash"/>
                        <v:imagedata o:title=""/>
                        <o:lock v:ext="edit" aspectratio="f"/>
                        <v:textbox>
                          <w:txbxContent>
                            <w:p>
                              <w:pPr>
                                <w:rPr>
                                  <w:rFonts w:hint="eastAsia"/>
                                </w:rPr>
                              </w:pPr>
                              <w:r>
                                <w:rPr>
                                  <w:rFonts w:hint="eastAsia"/>
                                </w:rPr>
                                <w:t>噪声、废水、</w:t>
                              </w:r>
                              <w:r>
                                <w:t>废气</w:t>
                              </w:r>
                            </w:p>
                          </w:txbxContent>
                        </v:textbox>
                      </v:shape>
                      <v:shape id="_x0000_s1026" o:spid="_x0000_s1026" o:spt="202" type="#_x0000_t202" style="position:absolute;left:988060;top:2385695;height:275590;width:1126490;" filled="f" stroked="t" coordsize="21600,21600" o:gfxdata="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vTvIDVAAAABQEAAA8AAAAAAAAAAQAg&#10;AAAAIgAAAGRycy9kb3ducmV2LnhtbFBLAQIUABQAAAAIAIdO4kDM+Ov7EQIAABkEAAAOAAAAAAAA&#10;AAEAIAAAACQBAABkcnMvZTJvRG9jLnhtbFBLBQYAAAAABgAGAFkBAACnBQAAAAA=&#10;">
                        <v:fill on="f" focussize="0,0"/>
                        <v:stroke weight="0.25pt" color="#000000" joinstyle="miter" dashstyle="dash"/>
                        <v:imagedata o:title=""/>
                        <o:lock v:ext="edit" aspectratio="f"/>
                        <v:textbox>
                          <w:txbxContent>
                            <w:p>
                              <w:pPr>
                                <w:rPr>
                                  <w:rFonts w:hint="eastAsia"/>
                                </w:rPr>
                              </w:pPr>
                              <w:r>
                                <w:rPr>
                                  <w:rFonts w:hint="eastAsia"/>
                                </w:rPr>
                                <w:t>汽车尾气</w:t>
                              </w:r>
                              <w:r>
                                <w:t>、</w:t>
                              </w:r>
                              <w:r>
                                <w:rPr>
                                  <w:rFonts w:hint="eastAsia"/>
                                </w:rPr>
                                <w:t>噪声</w:t>
                              </w:r>
                            </w:p>
                          </w:txbxContent>
                        </v:textbox>
                      </v:shape>
                      <v:shape id="_x0000_s1026" o:spid="_x0000_s1026" o:spt="32" type="#_x0000_t32" style="position:absolute;left:414655;top:480695;flip:y;height:433070;width:6350;" filled="f" stroked="t" coordsize="21600,21600" o:gfxdata="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2glLb1gAAAAUB&#10;AAAPAAAAAAAAAAEAIAAAACIAAABkcnMvZG93bnJldi54bWxQSwECFAAUAAAACACHTuJA62j7Lh0C&#10;AAAHBAAADgAAAAAAAAABACAAAAAlAQAAZHJzL2Uyb0RvYy54bWxQSwUGAAAAAAYABgBZAQAAtAUA&#10;AAAA&#10;">
                        <v:fill on="f" focussize="0,0"/>
                        <v:stroke weight="0.25pt" color="#000000" joinstyle="round" dashstyle="dash" endarrow="block"/>
                        <v:imagedata o:title=""/>
                        <o:lock v:ext="edit" aspectratio="f"/>
                      </v:shape>
                      <v:shape id="_x0000_s1026" o:spid="_x0000_s1026" o:spt="32" type="#_x0000_t32" style="position:absolute;left:1913255;top:490855;flip:y;height:340995;width:10160;" filled="f" stroked="t" coordsize="21600,21600" o:gfxdata="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2glLb1gAAAAUBAAAP&#10;AAAAAAAAAAEAIAAAACIAAABkcnMvZG93bnJldi54bWxQSwECFAAUAAAACACHTuJAqya5CBoCAAAJ&#10;BAAADgAAAAAAAAABACAAAAAlAQAAZHJzL2Uyb0RvYy54bWxQSwUGAAAAAAYABgBZAQAAsQUAAAAA&#10;">
                        <v:fill on="f" focussize="0,0"/>
                        <v:stroke weight="0.25pt" color="#000000" joinstyle="round" dashstyle="dash" endarrow="block"/>
                        <v:imagedata o:title=""/>
                        <o:lock v:ext="edit" aspectratio="f"/>
                      </v:shape>
                      <v:shape id="_x0000_s1026" o:spid="_x0000_s1026" o:spt="32" type="#_x0000_t32" style="position:absolute;left:4901565;top:486410;flip:x y;height:354965;width:2540;" filled="f" stroked="t" coordsize="21600,21600" o:gfxdata="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iplCPXAAAA&#10;BQEAAA8AAAAAAAAAAQAgAAAAIgAAAGRycy9kb3ducmV2LnhtbFBLAQIUABQAAAAIAIdO4kAtYhqi&#10;HgIAABIEAAAOAAAAAAAAAAEAIAAAACYBAABkcnMvZTJvRG9jLnhtbFBLBQYAAAAABgAGAFkBAAC2&#10;BQAAAAA=&#10;">
                        <v:fill on="f" focussize="0,0"/>
                        <v:stroke weight="0.25pt" color="#000000" joinstyle="round" dashstyle="dash" endarrow="block"/>
                        <v:imagedata o:title=""/>
                        <o:lock v:ext="edit" aspectratio="f"/>
                      </v:shape>
                      <v:shape id="_x0000_s1026" o:spid="_x0000_s1026" o:spt="32" type="#_x0000_t32" style="position:absolute;left:1551305;top:2136140;flip:x;height:249555;width:2540;" filled="f" stroked="t" coordsize="21600,21600" o:gfxdata="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2glLb1gAAAAUBAAAP&#10;AAAAAAAAAAEAIAAAACIAAABkcnMvZG93bnJldi54bWxQSwECFAAUAAAACACHTuJAn9PUthoCAAAL&#10;BAAADgAAAAAAAAABACAAAAAlAQAAZHJzL2Uyb0RvYy54bWxQSwUGAAAAAAYABgBZAQAAsQUAAAAA&#10;">
                        <v:fill on="f" focussize="0,0"/>
                        <v:stroke weight="0.25pt" color="#000000" joinstyle="round" dashstyle="dash" endarrow="block"/>
                        <v:imagedata o:title=""/>
                        <o:lock v:ext="edit" aspectratio="f"/>
                      </v:shape>
                      <v:shape id="_x0000_s1026" o:spid="_x0000_s1026" o:spt="202" type="#_x0000_t202" style="position:absolute;left:3054350;top:52070;height:485775;width:694690;" filled="f" stroked="t" coordsize="21600,21600" o:gfxdata="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9O8gNUAAAAFAQAADwAAAAAAAAABACAA&#10;AAAiAAAAZHJzL2Rvd25yZXYueG1sUEsBAhQAFAAAAAgAh07iQCSl8ykQAgAAGQQAAA4AAAAAAAAA&#10;AQAgAAAAJAEAAGRycy9lMm9Eb2MueG1sUEsFBgAAAAAGAAYAWQEAAKYFAAAAAA==&#10;">
                        <v:fill on="f" focussize="0,0"/>
                        <v:stroke weight="0.25pt" color="#000000" joinstyle="miter" dashstyle="dash"/>
                        <v:imagedata o:title=""/>
                        <o:lock v:ext="edit" aspectratio="f"/>
                        <v:textbox>
                          <w:txbxContent>
                            <w:p>
                              <w:pPr>
                                <w:rPr>
                                  <w:rFonts w:hint="eastAsia"/>
                                </w:rPr>
                              </w:pPr>
                              <w:r>
                                <w:rPr>
                                  <w:rFonts w:hint="eastAsia"/>
                                </w:rPr>
                                <w:t>噪声、固废、废水</w:t>
                              </w:r>
                            </w:p>
                          </w:txbxContent>
                        </v:textbox>
                      </v:shape>
                      <v:shape id="_x0000_s1026" o:spid="_x0000_s1026" o:spt="32" type="#_x0000_t32" style="position:absolute;left:3397885;top:537845;flip:y;height:301625;width:3810;" filled="f" stroked="t" coordsize="21600,21600" o:gfxdata="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2glLb1gAAAAUB&#10;AAAPAAAAAAAAAAEAIAAAACIAAABkcnMvZG93bnJldi54bWxQSwECFAAUAAAACACHTuJAC9y35x0C&#10;AAAKBAAADgAAAAAAAAABACAAAAAlAQAAZHJzL2Uyb0RvYy54bWxQSwUGAAAAAAYABgBZAQAAtAUA&#10;AAAA&#10;">
                        <v:fill on="f" focussize="0,0"/>
                        <v:stroke weight="0.25pt" color="#000000" joinstyle="round" dashstyle="dash" endarrow="block"/>
                        <v:imagedata o:title=""/>
                        <o:lock v:ext="edit" aspectratio="f"/>
                      </v:shape>
                      <v:line id="_x0000_s1026" o:spid="_x0000_s1026" o:spt="20" style="position:absolute;left:3797300;top:1073785;flip:y;height:7620;width:793115;" filled="f" stroked="t" coordsize="21600,21600" o:gfxdata="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F+h+LVAAAABQEAAA8AAAAA&#10;AAAAAQAgAAAAIgAAAGRycy9kb3ducmV2LnhtbFBLAQIUABQAAAAIAIdO4kCASDusFwIAAAMEAAAO&#10;AAAAAAAAAAEAIAAAACQBAABkcnMvZTJvRG9jLnhtbFBLBQYAAAAABgAGAFkBAACtBQAAAAA=&#10;">
                        <v:fill on="f" focussize="0,0"/>
                        <v:stroke weight="0.25pt" color="#000000" joinstyle="round" endarrow="block" endarrowwidth="wide"/>
                        <v:imagedata o:title=""/>
                        <o:lock v:ext="edit" aspectratio="f"/>
                      </v:line>
                      <w10:wrap type="none"/>
                      <w10:anchorlock/>
                    </v:group>
                  </w:pict>
                </mc:Fallback>
              </mc:AlternateConten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图2-16  跨线桥工程施工工艺流程及产污图</w:t>
            </w:r>
          </w:p>
          <w:p>
            <w:pPr>
              <w:pStyle w:val="32"/>
              <w:keepNext w:val="0"/>
              <w:keepLines w:val="0"/>
              <w:suppressLineNumbers w:val="0"/>
              <w:tabs>
                <w:tab w:val="left" w:pos="3147"/>
              </w:tabs>
              <w:spacing w:before="0" w:beforeAutospacing="0" w:after="0" w:afterAutospacing="0" w:line="360" w:lineRule="auto"/>
              <w:ind w:left="0" w:right="0" w:firstLine="482" w:firstLineChars="200"/>
              <w:rPr>
                <w:rFonts w:ascii="Times New Roman" w:hAnsi="Times New Roman" w:eastAsia="宋体"/>
                <w:b/>
                <w:color w:val="000000" w:themeColor="text1"/>
                <w:kern w:val="2"/>
                <w:highlight w:val="none"/>
                <w14:textFill>
                  <w14:solidFill>
                    <w14:schemeClr w14:val="tx1"/>
                  </w14:solidFill>
                </w14:textFill>
              </w:rPr>
            </w:pPr>
            <w:r>
              <w:rPr>
                <w:rFonts w:ascii="Times New Roman" w:hAnsi="Times New Roman" w:eastAsia="宋体"/>
                <w:b/>
                <w:color w:val="000000" w:themeColor="text1"/>
                <w:kern w:val="2"/>
                <w:highlight w:val="none"/>
                <w14:textFill>
                  <w14:solidFill>
                    <w14:schemeClr w14:val="tx1"/>
                  </w14:solidFill>
                </w14:textFill>
              </w:rPr>
              <w:t>主要工艺流程简述：</w:t>
            </w:r>
          </w:p>
          <w:p>
            <w:pPr>
              <w:pStyle w:val="32"/>
              <w:keepNext w:val="0"/>
              <w:keepLines w:val="0"/>
              <w:suppressLineNumbers w:val="0"/>
              <w:tabs>
                <w:tab w:val="left" w:pos="3147"/>
              </w:tabs>
              <w:spacing w:before="0" w:beforeAutospacing="0" w:after="0" w:afterAutospacing="0" w:line="360" w:lineRule="auto"/>
              <w:ind w:left="0" w:right="0" w:firstLine="482" w:firstLineChars="200"/>
              <w:rPr>
                <w:rFonts w:ascii="Times New Roman" w:hAnsi="Times New Roman" w:eastAsia="宋体"/>
                <w:color w:val="000000" w:themeColor="text1"/>
                <w:kern w:val="2"/>
                <w:highlight w:val="none"/>
                <w14:textFill>
                  <w14:solidFill>
                    <w14:schemeClr w14:val="tx1"/>
                  </w14:solidFill>
                </w14:textFill>
              </w:rPr>
            </w:pPr>
            <w:r>
              <w:rPr>
                <w:rFonts w:ascii="Times New Roman" w:hAnsi="Times New Roman" w:eastAsia="宋体"/>
                <w:b/>
                <w:color w:val="000000" w:themeColor="text1"/>
                <w:kern w:val="2"/>
                <w:highlight w:val="none"/>
                <w14:textFill>
                  <w14:solidFill>
                    <w14:schemeClr w14:val="tx1"/>
                  </w14:solidFill>
                </w14:textFill>
              </w:rPr>
              <w:t>桥梁下部结构修建：</w:t>
            </w:r>
            <w:r>
              <w:rPr>
                <w:rFonts w:ascii="Times New Roman" w:hAnsi="Times New Roman" w:eastAsia="宋体"/>
                <w:color w:val="000000" w:themeColor="text1"/>
                <w:kern w:val="2"/>
                <w:highlight w:val="none"/>
                <w14:textFill>
                  <w14:solidFill>
                    <w14:schemeClr w14:val="tx1"/>
                  </w14:solidFill>
                </w14:textFill>
              </w:rPr>
              <w:t>该工程不存在涉水桥墩，桥梁基础均是在陆域进行施工。首先在桩位处用挖掘机挖出深度约3m的深坑，吊放钢护筒并人工辅助稳固，在其周围对称填筑粘土并夯实；其次用钻机开钻后灌注混凝土；最后搭建模具用混凝土浇筑墩台。</w:t>
            </w:r>
          </w:p>
          <w:p>
            <w:pPr>
              <w:pStyle w:val="32"/>
              <w:keepNext w:val="0"/>
              <w:keepLines w:val="0"/>
              <w:suppressLineNumbers w:val="0"/>
              <w:tabs>
                <w:tab w:val="left" w:pos="3147"/>
              </w:tabs>
              <w:spacing w:before="0" w:beforeAutospacing="0" w:after="0" w:afterAutospacing="0" w:line="360" w:lineRule="auto"/>
              <w:ind w:left="0" w:right="0" w:firstLine="482" w:firstLineChars="200"/>
              <w:rPr>
                <w:rFonts w:ascii="Times New Roman" w:hAnsi="Times New Roman" w:eastAsia="宋体"/>
                <w:color w:val="000000" w:themeColor="text1"/>
                <w:kern w:val="2"/>
                <w:highlight w:val="none"/>
                <w14:textFill>
                  <w14:solidFill>
                    <w14:schemeClr w14:val="tx1"/>
                  </w14:solidFill>
                </w14:textFill>
              </w:rPr>
            </w:pPr>
            <w:r>
              <w:rPr>
                <w:rFonts w:ascii="Times New Roman" w:hAnsi="Times New Roman" w:eastAsia="宋体"/>
                <w:b/>
                <w:color w:val="000000" w:themeColor="text1"/>
                <w:kern w:val="2"/>
                <w:highlight w:val="none"/>
                <w14:textFill>
                  <w14:solidFill>
                    <w14:schemeClr w14:val="tx1"/>
                  </w14:solidFill>
                </w14:textFill>
              </w:rPr>
              <w:t>桥梁上部结构修建：</w:t>
            </w:r>
            <w:r>
              <w:rPr>
                <w:rFonts w:ascii="Times New Roman" w:hAnsi="Times New Roman" w:eastAsia="宋体"/>
                <w:color w:val="000000" w:themeColor="text1"/>
                <w:kern w:val="2"/>
                <w:highlight w:val="none"/>
                <w14:textFill>
                  <w14:solidFill>
                    <w14:schemeClr w14:val="tx1"/>
                  </w14:solidFill>
                </w14:textFill>
              </w:rPr>
              <w:t>跨线桥主要采用预制钢箱梁、现浇梁和预制钢筋混凝土小箱梁三种结构。预制梁采用架桥机辅以人工进行安装，现浇梁采用悬臂挂篮悬浇。</w:t>
            </w:r>
          </w:p>
          <w:p>
            <w:pPr>
              <w:pStyle w:val="32"/>
              <w:keepNext w:val="0"/>
              <w:keepLines w:val="0"/>
              <w:suppressLineNumbers w:val="0"/>
              <w:tabs>
                <w:tab w:val="left" w:pos="3147"/>
              </w:tabs>
              <w:spacing w:before="0" w:beforeAutospacing="0" w:after="0" w:afterAutospacing="0" w:line="360" w:lineRule="auto"/>
              <w:ind w:left="0" w:right="0" w:firstLine="482" w:firstLineChars="200"/>
              <w:rPr>
                <w:rFonts w:ascii="Times New Roman" w:hAnsi="Times New Roman" w:eastAsia="宋体"/>
                <w:b/>
                <w:bCs/>
                <w:color w:val="000000" w:themeColor="text1"/>
                <w:kern w:val="2"/>
                <w:highlight w:val="none"/>
                <w14:textFill>
                  <w14:solidFill>
                    <w14:schemeClr w14:val="tx1"/>
                  </w14:solidFill>
                </w14:textFill>
              </w:rPr>
            </w:pPr>
            <w:r>
              <w:rPr>
                <w:rFonts w:hint="eastAsia" w:ascii="Times New Roman" w:hAnsi="Times New Roman" w:eastAsia="宋体"/>
                <w:b/>
                <w:bCs/>
                <w:color w:val="000000" w:themeColor="text1"/>
                <w:kern w:val="2"/>
                <w:highlight w:val="none"/>
                <w14:textFill>
                  <w14:solidFill>
                    <w14:schemeClr w14:val="tx1"/>
                  </w14:solidFill>
                </w14:textFill>
              </w:rPr>
              <w:t>本项目现场不进行箱梁预制活动。</w:t>
            </w:r>
          </w:p>
          <w:p>
            <w:pPr>
              <w:pStyle w:val="32"/>
              <w:keepNext w:val="0"/>
              <w:keepLines w:val="0"/>
              <w:suppressLineNumbers w:val="0"/>
              <w:spacing w:before="0" w:beforeAutospacing="0" w:after="0" w:afterAutospacing="0" w:line="360" w:lineRule="auto"/>
              <w:ind w:left="0" w:right="0" w:firstLine="480"/>
              <w:rPr>
                <w:rFonts w:ascii="Times New Roman" w:hAnsi="Times New Roman" w:eastAsia="宋体"/>
                <w:b/>
                <w:color w:val="000000" w:themeColor="text1"/>
                <w:kern w:val="2"/>
                <w:highlight w:val="none"/>
                <w14:textFill>
                  <w14:solidFill>
                    <w14:schemeClr w14:val="tx1"/>
                  </w14:solidFill>
                </w14:textFill>
              </w:rPr>
            </w:pPr>
            <w:r>
              <w:rPr>
                <w:rFonts w:ascii="Times New Roman" w:hAnsi="Times New Roman" w:eastAsia="宋体"/>
                <w:b/>
                <w:color w:val="000000" w:themeColor="text1"/>
                <w:kern w:val="2"/>
                <w:highlight w:val="none"/>
                <w14:textFill>
                  <w14:solidFill>
                    <w14:schemeClr w14:val="tx1"/>
                  </w14:solidFill>
                </w14:textFill>
              </w:rPr>
              <w:t>（</w:t>
            </w:r>
            <w:r>
              <w:rPr>
                <w:rFonts w:hint="eastAsia" w:ascii="Times New Roman" w:hAnsi="Times New Roman" w:eastAsia="宋体"/>
                <w:b/>
                <w:color w:val="000000" w:themeColor="text1"/>
                <w:kern w:val="2"/>
                <w:highlight w:val="none"/>
                <w:lang w:val="en-US" w:eastAsia="zh-CN"/>
                <w14:textFill>
                  <w14:solidFill>
                    <w14:schemeClr w14:val="tx1"/>
                  </w14:solidFill>
                </w14:textFill>
              </w:rPr>
              <w:t>3</w:t>
            </w:r>
            <w:r>
              <w:rPr>
                <w:rFonts w:ascii="Times New Roman" w:hAnsi="Times New Roman" w:eastAsia="宋体"/>
                <w:b/>
                <w:color w:val="000000" w:themeColor="text1"/>
                <w:kern w:val="2"/>
                <w:highlight w:val="none"/>
                <w14:textFill>
                  <w14:solidFill>
                    <w14:schemeClr w14:val="tx1"/>
                  </w14:solidFill>
                </w14:textFill>
              </w:rPr>
              <w:t>）</w:t>
            </w:r>
            <w:r>
              <w:rPr>
                <w:rFonts w:hint="eastAsia" w:ascii="Times New Roman"/>
                <w:b/>
                <w:color w:val="000000" w:themeColor="text1"/>
                <w:kern w:val="2"/>
                <w:highlight w:val="none"/>
                <w:lang w:val="en-US" w:eastAsia="zh-CN"/>
                <w14:textFill>
                  <w14:solidFill>
                    <w14:schemeClr w14:val="tx1"/>
                  </w14:solidFill>
                </w14:textFill>
              </w:rPr>
              <w:t>涵洞</w:t>
            </w:r>
            <w:r>
              <w:rPr>
                <w:rFonts w:ascii="Times New Roman" w:hAnsi="Times New Roman" w:eastAsia="宋体"/>
                <w:b/>
                <w:color w:val="000000" w:themeColor="text1"/>
                <w:kern w:val="2"/>
                <w:highlight w:val="none"/>
                <w14:textFill>
                  <w14:solidFill>
                    <w14:schemeClr w14:val="tx1"/>
                  </w14:solidFill>
                </w14:textFill>
              </w:rPr>
              <w:t>工程</w:t>
            </w:r>
          </w:p>
          <w:p>
            <w:pPr>
              <w:pStyle w:val="32"/>
              <w:keepNext w:val="0"/>
              <w:keepLines w:val="0"/>
              <w:suppressLineNumbers w:val="0"/>
              <w:spacing w:before="0" w:beforeAutospacing="0" w:after="0" w:afterAutospacing="0" w:line="360" w:lineRule="auto"/>
              <w:ind w:left="0" w:right="0"/>
              <w:rPr>
                <w:rFonts w:ascii="Times New Roman" w:hAnsi="Times New Roman" w:eastAsia="宋体"/>
                <w:b/>
                <w:color w:val="000000" w:themeColor="text1"/>
                <w:kern w:val="2"/>
                <w:highlight w:val="none"/>
                <w14:textFill>
                  <w14:solidFill>
                    <w14:schemeClr w14:val="tx1"/>
                  </w14:solidFill>
                </w14:textFill>
              </w:rPr>
            </w:pPr>
            <w:r>
              <w:rPr>
                <w:rFonts w:ascii="Times New Roman" w:hAnsi="Times New Roman" w:eastAsia="宋体"/>
                <w:bCs/>
                <w:color w:val="000000" w:themeColor="text1"/>
                <w:kern w:val="2"/>
                <w:highlight w:val="none"/>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4133850</wp:posOffset>
                      </wp:positionH>
                      <wp:positionV relativeFrom="paragraph">
                        <wp:posOffset>896620</wp:posOffset>
                      </wp:positionV>
                      <wp:extent cx="735965" cy="271145"/>
                      <wp:effectExtent l="4445" t="4445" r="6350" b="13970"/>
                      <wp:wrapNone/>
                      <wp:docPr id="181" name="文本框 181"/>
                      <wp:cNvGraphicFramePr/>
                      <a:graphic xmlns:a="http://schemas.openxmlformats.org/drawingml/2006/main">
                        <a:graphicData uri="http://schemas.microsoft.com/office/word/2010/wordprocessingShape">
                          <wps:wsp>
                            <wps:cNvSpPr txBox="1"/>
                            <wps:spPr>
                              <a:xfrm>
                                <a:off x="0" y="0"/>
                                <a:ext cx="735965" cy="271145"/>
                              </a:xfrm>
                              <a:prstGeom prst="rect">
                                <a:avLst/>
                              </a:prstGeom>
                              <a:noFill/>
                              <a:ln w="3175" cap="flat" cmpd="sng">
                                <a:solidFill>
                                  <a:srgbClr val="000000"/>
                                </a:solidFill>
                                <a:prstDash val="solid"/>
                                <a:miter/>
                                <a:headEnd type="none" w="med" len="med"/>
                                <a:tailEnd type="none" w="med" len="med"/>
                              </a:ln>
                            </wps:spPr>
                            <wps:txbx>
                              <w:txbxContent>
                                <w:p>
                                  <w:pPr>
                                    <w:rPr>
                                      <w:rFonts w:hint="default" w:ascii="宋体" w:hAnsi="宋体" w:eastAsia="宋体" w:cs="宋体"/>
                                      <w:szCs w:val="21"/>
                                      <w:lang w:val="en-US" w:eastAsia="zh-CN"/>
                                    </w:rPr>
                                  </w:pPr>
                                  <w:r>
                                    <w:rPr>
                                      <w:rFonts w:hint="eastAsia" w:ascii="宋体" w:hAnsi="宋体" w:cs="宋体"/>
                                      <w:lang w:val="en-US" w:eastAsia="zh-CN"/>
                                    </w:rPr>
                                    <w:t>涵洞竣工</w:t>
                                  </w:r>
                                </w:p>
                              </w:txbxContent>
                            </wps:txbx>
                            <wps:bodyPr upright="1"/>
                          </wps:wsp>
                        </a:graphicData>
                      </a:graphic>
                    </wp:anchor>
                  </w:drawing>
                </mc:Choice>
                <mc:Fallback>
                  <w:pict>
                    <v:shape id="_x0000_s1026" o:spid="_x0000_s1026" o:spt="202" type="#_x0000_t202" style="position:absolute;left:0pt;margin-left:325.5pt;margin-top:70.6pt;height:21.35pt;width:57.95pt;z-index:251702272;mso-width-relative:page;mso-height-relative:page;" filled="f" stroked="t" coordsize="21600,21600" o:gfxdata="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cBHmU2gAAAAsBAAAPAAAAAAAAAAEAIAAAACIA&#10;AABkcnMvZG93bnJldi54bWxQSwECFAAUAAAACACHTuJAO+G1fAcCAAAQBAAADgAAAAAAAAABACAA&#10;AAApAQAAZHJzL2Uyb0RvYy54bWxQSwUGAAAAAAYABgBZAQAAogUAAAAA&#10;">
                      <v:fill on="f" focussize="0,0"/>
                      <v:stroke weight="0.25pt" color="#000000" joinstyle="miter"/>
                      <v:imagedata o:title=""/>
                      <o:lock v:ext="edit" aspectratio="f"/>
                      <v:textbox>
                        <w:txbxContent>
                          <w:p>
                            <w:pPr>
                              <w:rPr>
                                <w:rFonts w:hint="default" w:ascii="宋体" w:hAnsi="宋体" w:eastAsia="宋体" w:cs="宋体"/>
                                <w:szCs w:val="21"/>
                                <w:lang w:val="en-US" w:eastAsia="zh-CN"/>
                              </w:rPr>
                            </w:pPr>
                            <w:r>
                              <w:rPr>
                                <w:rFonts w:hint="eastAsia" w:ascii="宋体" w:hAnsi="宋体" w:cs="宋体"/>
                                <w:lang w:val="en-US" w:eastAsia="zh-CN"/>
                              </w:rPr>
                              <w:t>涵洞竣工</w:t>
                            </w:r>
                          </w:p>
                        </w:txbxContent>
                      </v:textbox>
                    </v:shape>
                  </w:pict>
                </mc:Fallback>
              </mc:AlternateContent>
            </w:r>
            <w:r>
              <w:rPr>
                <w:rFonts w:ascii="Times New Roman" w:hAnsi="Times New Roman" w:eastAsia="宋体"/>
                <w:bCs/>
                <w:color w:val="000000" w:themeColor="text1"/>
                <w:kern w:val="2"/>
                <w:highlight w:val="none"/>
                <w14:textFill>
                  <w14:solidFill>
                    <w14:schemeClr w14:val="tx1"/>
                  </w14:solidFill>
                </w14:textFill>
              </w:rPr>
              <mc:AlternateContent>
                <mc:Choice Requires="wps">
                  <w:drawing>
                    <wp:anchor distT="0" distB="0" distL="114300" distR="114300" simplePos="0" relativeHeight="251701248" behindDoc="0" locked="0" layoutInCell="1" allowOverlap="1">
                      <wp:simplePos x="0" y="0"/>
                      <wp:positionH relativeFrom="column">
                        <wp:posOffset>3627120</wp:posOffset>
                      </wp:positionH>
                      <wp:positionV relativeFrom="paragraph">
                        <wp:posOffset>1032510</wp:posOffset>
                      </wp:positionV>
                      <wp:extent cx="506730" cy="3175"/>
                      <wp:effectExtent l="0" t="37465" r="11430" b="35560"/>
                      <wp:wrapNone/>
                      <wp:docPr id="182" name="直接箭头连接符 182"/>
                      <wp:cNvGraphicFramePr/>
                      <a:graphic xmlns:a="http://schemas.openxmlformats.org/drawingml/2006/main">
                        <a:graphicData uri="http://schemas.microsoft.com/office/word/2010/wordprocessingShape">
                          <wps:wsp>
                            <wps:cNvCnPr/>
                            <wps:spPr>
                              <a:xfrm flipV="1">
                                <a:off x="0" y="0"/>
                                <a:ext cx="506730" cy="3175"/>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85.6pt;margin-top:81.3pt;height:0.25pt;width:39.9pt;z-index:251701248;mso-width-relative:page;mso-height-relative:page;" filled="f" stroked="t" coordsize="21600,21600" o:gfxdata="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hwG1toAAAALAQAADwAAAAAAAAABACAA&#10;AAAiAAAAZHJzL2Rvd25yZXYueG1sUEsBAhQAFAAAAAgAh07iQDD1+xgLAgAAAAQAAA4AAAAAAAAA&#10;AQAgAAAAKQEAAGRycy9lMm9Eb2MueG1sUEsFBgAAAAAGAAYAWQEAAKYFAAAAAA==&#10;">
                      <v:fill on="f" focussize="0,0"/>
                      <v:stroke weight="0.25pt" color="#000000" joinstyle="round" endarrow="block"/>
                      <v:imagedata o:title=""/>
                      <o:lock v:ext="edit" aspectratio="f"/>
                    </v:shape>
                  </w:pict>
                </mc:Fallback>
              </mc:AlternateContent>
            </w:r>
            <w:r>
              <w:rPr>
                <w:rFonts w:ascii="Times New Roman" w:hAnsi="Times New Roman" w:eastAsia="宋体"/>
                <w:bCs/>
                <w:color w:val="000000" w:themeColor="text1"/>
                <w:kern w:val="2"/>
                <w:highlight w:val="none"/>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2740025</wp:posOffset>
                      </wp:positionH>
                      <wp:positionV relativeFrom="paragraph">
                        <wp:posOffset>888365</wp:posOffset>
                      </wp:positionV>
                      <wp:extent cx="864235" cy="294005"/>
                      <wp:effectExtent l="5080" t="5080" r="14605" b="5715"/>
                      <wp:wrapNone/>
                      <wp:docPr id="183" name="文本框 183"/>
                      <wp:cNvGraphicFramePr/>
                      <a:graphic xmlns:a="http://schemas.openxmlformats.org/drawingml/2006/main">
                        <a:graphicData uri="http://schemas.microsoft.com/office/word/2010/wordprocessingShape">
                          <wps:wsp>
                            <wps:cNvSpPr txBox="1"/>
                            <wps:spPr>
                              <a:xfrm>
                                <a:off x="0" y="0"/>
                                <a:ext cx="864235" cy="294005"/>
                              </a:xfrm>
                              <a:prstGeom prst="rect">
                                <a:avLst/>
                              </a:prstGeom>
                              <a:noFill/>
                              <a:ln w="3175" cap="flat" cmpd="sng">
                                <a:solidFill>
                                  <a:srgbClr val="000000"/>
                                </a:solidFill>
                                <a:prstDash val="solid"/>
                                <a:miter/>
                                <a:headEnd type="none" w="med" len="med"/>
                                <a:tailEnd type="none" w="med" len="med"/>
                              </a:ln>
                            </wps:spPr>
                            <wps:txbx>
                              <w:txbxContent>
                                <w:p>
                                  <w:pPr>
                                    <w:pStyle w:val="32"/>
                                    <w:rPr>
                                      <w:rFonts w:hint="default" w:ascii="Times New Roman" w:eastAsia="宋体"/>
                                      <w:color w:val="auto"/>
                                      <w:kern w:val="2"/>
                                      <w:sz w:val="21"/>
                                      <w:lang w:val="en-US" w:eastAsia="zh-CN"/>
                                    </w:rPr>
                                  </w:pPr>
                                  <w:r>
                                    <w:rPr>
                                      <w:rFonts w:hint="eastAsia" w:ascii="Times New Roman"/>
                                      <w:color w:val="auto"/>
                                      <w:kern w:val="2"/>
                                      <w:sz w:val="21"/>
                                      <w:lang w:val="en-US" w:eastAsia="zh-CN"/>
                                    </w:rPr>
                                    <w:t>混凝土浇筑</w:t>
                                  </w:r>
                                </w:p>
                              </w:txbxContent>
                            </wps:txbx>
                            <wps:bodyPr upright="1"/>
                          </wps:wsp>
                        </a:graphicData>
                      </a:graphic>
                    </wp:anchor>
                  </w:drawing>
                </mc:Choice>
                <mc:Fallback>
                  <w:pict>
                    <v:shape id="_x0000_s1026" o:spid="_x0000_s1026" o:spt="202" type="#_x0000_t202" style="position:absolute;left:0pt;margin-left:215.75pt;margin-top:69.95pt;height:23.15pt;width:68.05pt;z-index:251700224;mso-width-relative:page;mso-height-relative:page;" filled="f" stroked="t" coordsize="21600,21600" o:gfxdata="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1wfly2gAAAAsBAAAPAAAAAAAAAAEAIAAAACIA&#10;AABkcnMvZG93bnJldi54bWxQSwECFAAUAAAACACHTuJABNaV9gcCAAAQBAAADgAAAAAAAAABACAA&#10;AAApAQAAZHJzL2Uyb0RvYy54bWxQSwUGAAAAAAYABgBZAQAAogUAAAAA&#10;">
                      <v:fill on="f" focussize="0,0"/>
                      <v:stroke weight="0.25pt" color="#000000" joinstyle="miter"/>
                      <v:imagedata o:title=""/>
                      <o:lock v:ext="edit" aspectratio="f"/>
                      <v:textbox>
                        <w:txbxContent>
                          <w:p>
                            <w:pPr>
                              <w:pStyle w:val="32"/>
                              <w:rPr>
                                <w:rFonts w:hint="default" w:ascii="Times New Roman" w:eastAsia="宋体"/>
                                <w:color w:val="auto"/>
                                <w:kern w:val="2"/>
                                <w:sz w:val="21"/>
                                <w:lang w:val="en-US" w:eastAsia="zh-CN"/>
                              </w:rPr>
                            </w:pPr>
                            <w:r>
                              <w:rPr>
                                <w:rFonts w:hint="eastAsia" w:ascii="Times New Roman"/>
                                <w:color w:val="auto"/>
                                <w:kern w:val="2"/>
                                <w:sz w:val="21"/>
                                <w:lang w:val="en-US" w:eastAsia="zh-CN"/>
                              </w:rPr>
                              <w:t>混凝土浇筑</w:t>
                            </w:r>
                          </w:p>
                        </w:txbxContent>
                      </v:textbox>
                    </v:shape>
                  </w:pict>
                </mc:Fallback>
              </mc:AlternateContent>
            </w:r>
            <w:r>
              <w:rPr>
                <w:rFonts w:ascii="Times New Roman" w:hAnsi="Times New Roman" w:eastAsia="宋体"/>
                <w:bCs/>
                <w:color w:val="000000" w:themeColor="text1"/>
                <w:kern w:val="2"/>
                <w:highlight w:val="none"/>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2286635</wp:posOffset>
                      </wp:positionH>
                      <wp:positionV relativeFrom="paragraph">
                        <wp:posOffset>1033780</wp:posOffset>
                      </wp:positionV>
                      <wp:extent cx="453390" cy="1905"/>
                      <wp:effectExtent l="0" t="36830" r="3810" b="37465"/>
                      <wp:wrapNone/>
                      <wp:docPr id="184" name="直接箭头连接符 184"/>
                      <wp:cNvGraphicFramePr/>
                      <a:graphic xmlns:a="http://schemas.openxmlformats.org/drawingml/2006/main">
                        <a:graphicData uri="http://schemas.microsoft.com/office/word/2010/wordprocessingShape">
                          <wps:wsp>
                            <wps:cNvCnPr/>
                            <wps:spPr>
                              <a:xfrm>
                                <a:off x="0" y="0"/>
                                <a:ext cx="453390" cy="1905"/>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80.05pt;margin-top:81.4pt;height:0.15pt;width:35.7pt;z-index:251699200;mso-width-relative:page;mso-height-relative:page;" filled="f" stroked="t" coordsize="21600,21600" o:gfxdata="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j3T79cAAAALAQAADwAAAAAAAAABACAAAAAiAAAA&#10;ZHJzL2Rvd25yZXYueG1sUEsBAhQAFAAAAAgAh07iQI9WSD4IAgAA9gMAAA4AAAAAAAAAAQAgAAAA&#10;JgEAAGRycy9lMm9Eb2MueG1sUEsFBgAAAAAGAAYAWQEAAKAFAAAAAA==&#10;">
                      <v:fill on="f" focussize="0,0"/>
                      <v:stroke weight="0.25pt" color="#000000" joinstyle="round" endarrow="block"/>
                      <v:imagedata o:title=""/>
                      <o:lock v:ext="edit" aspectratio="f"/>
                    </v:shape>
                  </w:pict>
                </mc:Fallback>
              </mc:AlternateContent>
            </w:r>
            <w:r>
              <w:rPr>
                <w:rFonts w:ascii="Times New Roman" w:hAnsi="Times New Roman" w:eastAsia="宋体"/>
                <w:bCs/>
                <w:color w:val="000000" w:themeColor="text1"/>
                <w:kern w:val="2"/>
                <w:highlight w:val="none"/>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1536700</wp:posOffset>
                      </wp:positionH>
                      <wp:positionV relativeFrom="paragraph">
                        <wp:posOffset>873125</wp:posOffset>
                      </wp:positionV>
                      <wp:extent cx="749935" cy="320675"/>
                      <wp:effectExtent l="4445" t="4445" r="7620" b="10160"/>
                      <wp:wrapNone/>
                      <wp:docPr id="185" name="文本框 185"/>
                      <wp:cNvGraphicFramePr/>
                      <a:graphic xmlns:a="http://schemas.openxmlformats.org/drawingml/2006/main">
                        <a:graphicData uri="http://schemas.microsoft.com/office/word/2010/wordprocessingShape">
                          <wps:wsp>
                            <wps:cNvSpPr txBox="1"/>
                            <wps:spPr>
                              <a:xfrm>
                                <a:off x="0" y="0"/>
                                <a:ext cx="749935" cy="320675"/>
                              </a:xfrm>
                              <a:prstGeom prst="rect">
                                <a:avLst/>
                              </a:prstGeom>
                              <a:noFill/>
                              <a:ln w="3175" cap="flat" cmpd="sng">
                                <a:solidFill>
                                  <a:srgbClr val="000000"/>
                                </a:solidFill>
                                <a:prstDash val="solid"/>
                                <a:miter/>
                                <a:headEnd type="none" w="med" len="med"/>
                                <a:tailEnd type="none" w="med" len="med"/>
                              </a:ln>
                            </wps:spPr>
                            <wps:txbx>
                              <w:txbxContent>
                                <w:p>
                                  <w:pPr>
                                    <w:rPr>
                                      <w:rFonts w:hint="eastAsia" w:ascii="宋体" w:hAnsi="宋体" w:cs="宋体"/>
                                    </w:rPr>
                                  </w:pPr>
                                  <w:r>
                                    <w:rPr>
                                      <w:rFonts w:hint="eastAsia" w:ascii="宋体" w:hAnsi="宋体" w:cs="宋体"/>
                                      <w:lang w:val="en-US" w:eastAsia="zh-CN"/>
                                    </w:rPr>
                                    <w:t>钻孔施工</w:t>
                                  </w:r>
                                </w:p>
                              </w:txbxContent>
                            </wps:txbx>
                            <wps:bodyPr upright="1"/>
                          </wps:wsp>
                        </a:graphicData>
                      </a:graphic>
                    </wp:anchor>
                  </w:drawing>
                </mc:Choice>
                <mc:Fallback>
                  <w:pict>
                    <v:shape id="_x0000_s1026" o:spid="_x0000_s1026" o:spt="202" type="#_x0000_t202" style="position:absolute;left:0pt;margin-left:121pt;margin-top:68.75pt;height:25.25pt;width:59.05pt;z-index:251698176;mso-width-relative:page;mso-height-relative:page;" filled="f" stroked="t" coordsize="21600,21600" o:gfxdata="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4P8lNkAAAALAQAADwAAAAAAAAABACAAAAAiAAAA&#10;ZHJzL2Rvd25yZXYueG1sUEsBAhQAFAAAAAgAh07iQOUvjHwGAgAAEAQAAA4AAAAAAAAAAQAgAAAA&#10;KAEAAGRycy9lMm9Eb2MueG1sUEsFBgAAAAAGAAYAWQEAAKAFAAAAAA==&#10;">
                      <v:fill on="f" focussize="0,0"/>
                      <v:stroke weight="0.25pt" color="#000000" joinstyle="miter"/>
                      <v:imagedata o:title=""/>
                      <o:lock v:ext="edit" aspectratio="f"/>
                      <v:textbox>
                        <w:txbxContent>
                          <w:p>
                            <w:pPr>
                              <w:rPr>
                                <w:rFonts w:hint="eastAsia" w:ascii="宋体" w:hAnsi="宋体" w:cs="宋体"/>
                              </w:rPr>
                            </w:pPr>
                            <w:r>
                              <w:rPr>
                                <w:rFonts w:hint="eastAsia" w:ascii="宋体" w:hAnsi="宋体" w:cs="宋体"/>
                                <w:lang w:val="en-US" w:eastAsia="zh-CN"/>
                              </w:rPr>
                              <w:t>钻孔施工</w:t>
                            </w:r>
                          </w:p>
                        </w:txbxContent>
                      </v:textbox>
                    </v:shape>
                  </w:pict>
                </mc:Fallback>
              </mc:AlternateContent>
            </w:r>
            <w:r>
              <w:rPr>
                <w:rFonts w:ascii="Times New Roman" w:hAnsi="Times New Roman" w:eastAsia="宋体"/>
                <w:bCs/>
                <w:color w:val="000000" w:themeColor="text1"/>
                <w:kern w:val="2"/>
                <w:highlight w:val="none"/>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874395</wp:posOffset>
                      </wp:positionH>
                      <wp:positionV relativeFrom="paragraph">
                        <wp:posOffset>1028700</wp:posOffset>
                      </wp:positionV>
                      <wp:extent cx="662305" cy="5080"/>
                      <wp:effectExtent l="0" t="33655" r="8255" b="37465"/>
                      <wp:wrapNone/>
                      <wp:docPr id="186" name="直接箭头连接符 186"/>
                      <wp:cNvGraphicFramePr/>
                      <a:graphic xmlns:a="http://schemas.openxmlformats.org/drawingml/2006/main">
                        <a:graphicData uri="http://schemas.microsoft.com/office/word/2010/wordprocessingShape">
                          <wps:wsp>
                            <wps:cNvCnPr>
                              <a:stCxn id="187" idx="3"/>
                            </wps:cNvCnPr>
                            <wps:spPr>
                              <a:xfrm>
                                <a:off x="0" y="0"/>
                                <a:ext cx="662305" cy="5080"/>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68.85pt;margin-top:81pt;height:0.4pt;width:52.15pt;z-index:251697152;mso-width-relative:page;mso-height-relative:page;" filled="f" stroked="t" coordsize="21600,21600" o:gfxdata="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rhJKnVAAAACwEAAA8A&#10;AAAAAAAAAQAgAAAAIgAAAGRycy9kb3ducmV2LnhtbFBLAQIUABQAAAAIAIdO4kC/+nSiGgIAAB4E&#10;AAAOAAAAAAAAAAEAIAAAACQBAABkcnMvZTJvRG9jLnhtbFBLBQYAAAAABgAGAFkBAACwBQAAAAA=&#10;">
                      <v:fill on="f" focussize="0,0"/>
                      <v:stroke weight="0.25pt" color="#000000" joinstyle="round" endarrow="block"/>
                      <v:imagedata o:title=""/>
                      <o:lock v:ext="edit" aspectratio="f"/>
                    </v:shape>
                  </w:pict>
                </mc:Fallback>
              </mc:AlternateContent>
            </w:r>
            <w:r>
              <w:rPr>
                <w:rFonts w:ascii="Times New Roman" w:hAnsi="Times New Roman" w:eastAsia="宋体"/>
                <w:bCs/>
                <w:color w:val="000000" w:themeColor="text1"/>
                <w:kern w:val="2"/>
                <w:highlight w:val="none"/>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111760</wp:posOffset>
                      </wp:positionH>
                      <wp:positionV relativeFrom="paragraph">
                        <wp:posOffset>870585</wp:posOffset>
                      </wp:positionV>
                      <wp:extent cx="762635" cy="316230"/>
                      <wp:effectExtent l="4445" t="4445" r="10160" b="14605"/>
                      <wp:wrapNone/>
                      <wp:docPr id="187" name="文本框 187"/>
                      <wp:cNvGraphicFramePr/>
                      <a:graphic xmlns:a="http://schemas.openxmlformats.org/drawingml/2006/main">
                        <a:graphicData uri="http://schemas.microsoft.com/office/word/2010/wordprocessingShape">
                          <wps:wsp>
                            <wps:cNvSpPr txBox="1"/>
                            <wps:spPr>
                              <a:xfrm>
                                <a:off x="0" y="0"/>
                                <a:ext cx="762635" cy="316230"/>
                              </a:xfrm>
                              <a:prstGeom prst="rect">
                                <a:avLst/>
                              </a:prstGeom>
                              <a:noFill/>
                              <a:ln w="3175" cap="flat" cmpd="sng">
                                <a:solidFill>
                                  <a:srgbClr val="000000"/>
                                </a:solidFill>
                                <a:prstDash val="solid"/>
                                <a:miter/>
                                <a:headEnd type="none" w="med" len="med"/>
                                <a:tailEnd type="none" w="med" len="med"/>
                              </a:ln>
                            </wps:spPr>
                            <wps:txbx>
                              <w:txbxContent>
                                <w:p>
                                  <w:pPr>
                                    <w:rPr>
                                      <w:rFonts w:hint="default" w:ascii="宋体" w:hAnsi="宋体" w:eastAsia="宋体" w:cs="宋体"/>
                                      <w:szCs w:val="21"/>
                                      <w:lang w:val="en-US" w:eastAsia="zh-CN"/>
                                    </w:rPr>
                                  </w:pPr>
                                  <w:r>
                                    <w:rPr>
                                      <w:rFonts w:hint="eastAsia" w:ascii="宋体" w:hAnsi="宋体" w:cs="宋体"/>
                                      <w:lang w:val="en-US" w:eastAsia="zh-CN"/>
                                    </w:rPr>
                                    <w:t>施工围挡</w:t>
                                  </w:r>
                                </w:p>
                              </w:txbxContent>
                            </wps:txbx>
                            <wps:bodyPr upright="1"/>
                          </wps:wsp>
                        </a:graphicData>
                      </a:graphic>
                    </wp:anchor>
                  </w:drawing>
                </mc:Choice>
                <mc:Fallback>
                  <w:pict>
                    <v:shape id="_x0000_s1026" o:spid="_x0000_s1026" o:spt="202" type="#_x0000_t202" style="position:absolute;left:0pt;margin-left:8.8pt;margin-top:68.55pt;height:24.9pt;width:60.05pt;z-index:251696128;mso-width-relative:page;mso-height-relative:page;" filled="f" stroked="t" coordsize="21600,21600" o:gfxdata="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o2AyLXAAAACgEAAA8AAAAAAAAAAQAgAAAAIgAAAGRy&#10;cy9kb3ducmV2LnhtbFBLAQIUABQAAAAIAIdO4kBNBMnwBgIAABAEAAAOAAAAAAAAAAEAIAAAACYB&#10;AABkcnMvZTJvRG9jLnhtbFBLBQYAAAAABgAGAFkBAACeBQAAAAA=&#10;">
                      <v:fill on="f" focussize="0,0"/>
                      <v:stroke weight="0.25pt" color="#000000" joinstyle="miter"/>
                      <v:imagedata o:title=""/>
                      <o:lock v:ext="edit" aspectratio="f"/>
                      <v:textbox>
                        <w:txbxContent>
                          <w:p>
                            <w:pPr>
                              <w:rPr>
                                <w:rFonts w:hint="default" w:ascii="宋体" w:hAnsi="宋体" w:eastAsia="宋体" w:cs="宋体"/>
                                <w:szCs w:val="21"/>
                                <w:lang w:val="en-US" w:eastAsia="zh-CN"/>
                              </w:rPr>
                            </w:pPr>
                            <w:r>
                              <w:rPr>
                                <w:rFonts w:hint="eastAsia" w:ascii="宋体" w:hAnsi="宋体" w:cs="宋体"/>
                                <w:lang w:val="en-US" w:eastAsia="zh-CN"/>
                              </w:rPr>
                              <w:t>施工围挡</w:t>
                            </w:r>
                          </w:p>
                        </w:txbxContent>
                      </v:textbox>
                    </v:shape>
                  </w:pict>
                </mc:Fallback>
              </mc:AlternateContent>
            </w:r>
            <w:r>
              <w:rPr>
                <w:rFonts w:ascii="Times New Roman" w:hAnsi="Times New Roman" w:eastAsia="宋体"/>
                <w:bCs/>
                <w:color w:val="000000" w:themeColor="text1"/>
                <w:kern w:val="2"/>
                <w:highlight w:val="none"/>
                <w14:textFill>
                  <w14:solidFill>
                    <w14:schemeClr w14:val="tx1"/>
                  </w14:solidFill>
                </w14:textFill>
              </w:rPr>
              <mc:AlternateContent>
                <mc:Choice Requires="wpc">
                  <w:drawing>
                    <wp:inline distT="0" distB="0" distL="114300" distR="114300">
                      <wp:extent cx="4980305" cy="1315720"/>
                      <wp:effectExtent l="0" t="0" r="0" b="0"/>
                      <wp:docPr id="188" name="画布 1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9" name="文本框 165"/>
                              <wps:cNvSpPr txBox="1"/>
                              <wps:spPr>
                                <a:xfrm>
                                  <a:off x="2729865" y="144780"/>
                                  <a:ext cx="694690" cy="485775"/>
                                </a:xfrm>
                                <a:prstGeom prst="rect">
                                  <a:avLst/>
                                </a:prstGeom>
                                <a:noFill/>
                                <a:ln w="3175" cap="flat" cmpd="sng">
                                  <a:solidFill>
                                    <a:srgbClr val="000000"/>
                                  </a:solidFill>
                                  <a:prstDash val="dash"/>
                                  <a:miter/>
                                  <a:headEnd type="none" w="med" len="med"/>
                                  <a:tailEnd type="none" w="med" len="med"/>
                                </a:ln>
                              </wps:spPr>
                              <wps:txbx>
                                <w:txbxContent>
                                  <w:p>
                                    <w:pPr>
                                      <w:rPr>
                                        <w:rFonts w:hint="eastAsia" w:ascii="宋体" w:hAnsi="宋体" w:cs="宋体"/>
                                      </w:rPr>
                                    </w:pPr>
                                    <w:r>
                                      <w:rPr>
                                        <w:rFonts w:hint="eastAsia" w:ascii="宋体" w:hAnsi="宋体" w:cs="宋体"/>
                                      </w:rPr>
                                      <w:t>噪声、固废、废水</w:t>
                                    </w:r>
                                  </w:p>
                                </w:txbxContent>
                              </wps:txbx>
                              <wps:bodyPr upright="1"/>
                            </wps:wsp>
                            <wps:wsp>
                              <wps:cNvPr id="202" name="直接箭头连接符 166"/>
                              <wps:cNvCnPr/>
                              <wps:spPr>
                                <a:xfrm flipV="1">
                                  <a:off x="1917065" y="621665"/>
                                  <a:ext cx="2540" cy="257175"/>
                                </a:xfrm>
                                <a:prstGeom prst="straightConnector1">
                                  <a:avLst/>
                                </a:prstGeom>
                                <a:ln w="3175" cap="flat" cmpd="sng">
                                  <a:solidFill>
                                    <a:srgbClr val="000000"/>
                                  </a:solidFill>
                                  <a:prstDash val="dash"/>
                                  <a:headEnd type="none" w="med" len="med"/>
                                  <a:tailEnd type="triangle" w="med" len="med"/>
                                </a:ln>
                              </wps:spPr>
                              <wps:bodyPr/>
                            </wps:wsp>
                            <wps:wsp>
                              <wps:cNvPr id="203" name="直接箭头连接符 167"/>
                              <wps:cNvCnPr/>
                              <wps:spPr>
                                <a:xfrm flipV="1">
                                  <a:off x="3120390" y="630555"/>
                                  <a:ext cx="2540" cy="257175"/>
                                </a:xfrm>
                                <a:prstGeom prst="straightConnector1">
                                  <a:avLst/>
                                </a:prstGeom>
                                <a:ln w="3175" cap="flat" cmpd="sng">
                                  <a:solidFill>
                                    <a:srgbClr val="000000"/>
                                  </a:solidFill>
                                  <a:prstDash val="dash"/>
                                  <a:headEnd type="none" w="med" len="med"/>
                                  <a:tailEnd type="triangle" w="med" len="med"/>
                                </a:ln>
                              </wps:spPr>
                              <wps:bodyPr/>
                            </wps:wsp>
                            <wps:wsp>
                              <wps:cNvPr id="204" name="文本框 168"/>
                              <wps:cNvSpPr txBox="1"/>
                              <wps:spPr>
                                <a:xfrm>
                                  <a:off x="1130300" y="327660"/>
                                  <a:ext cx="1193165" cy="294005"/>
                                </a:xfrm>
                                <a:prstGeom prst="rect">
                                  <a:avLst/>
                                </a:prstGeom>
                                <a:noFill/>
                                <a:ln w="3175" cap="flat" cmpd="sng">
                                  <a:solidFill>
                                    <a:srgbClr val="000000"/>
                                  </a:solidFill>
                                  <a:prstDash val="dash"/>
                                  <a:miter/>
                                  <a:headEnd type="none" w="med" len="med"/>
                                  <a:tailEnd type="none" w="med" len="med"/>
                                </a:ln>
                              </wps:spPr>
                              <wps:txbx>
                                <w:txbxContent>
                                  <w:p>
                                    <w:pPr>
                                      <w:rPr>
                                        <w:rFonts w:hint="eastAsia" w:ascii="宋体" w:hAnsi="宋体" w:eastAsia="宋体" w:cs="宋体"/>
                                        <w:lang w:val="en-US" w:eastAsia="zh-CN"/>
                                      </w:rPr>
                                    </w:pPr>
                                    <w:r>
                                      <w:rPr>
                                        <w:rFonts w:hint="eastAsia" w:ascii="宋体" w:hAnsi="宋体" w:cs="宋体"/>
                                      </w:rPr>
                                      <w:t>噪声、</w:t>
                                    </w:r>
                                    <w:r>
                                      <w:rPr>
                                        <w:rFonts w:hint="eastAsia" w:ascii="宋体" w:hAnsi="宋体" w:cs="宋体"/>
                                        <w:lang w:val="en-US" w:eastAsia="zh-CN"/>
                                      </w:rPr>
                                      <w:t>扬尘、</w:t>
                                    </w:r>
                                    <w:r>
                                      <w:rPr>
                                        <w:rFonts w:hint="eastAsia" w:ascii="宋体" w:hAnsi="宋体" w:cs="宋体"/>
                                      </w:rPr>
                                      <w:t>弃</w:t>
                                    </w:r>
                                    <w:r>
                                      <w:rPr>
                                        <w:rFonts w:hint="eastAsia" w:ascii="宋体" w:hAnsi="宋体" w:cs="宋体"/>
                                        <w:lang w:val="en-US" w:eastAsia="zh-CN"/>
                                      </w:rPr>
                                      <w:t>土</w:t>
                                    </w:r>
                                  </w:p>
                                </w:txbxContent>
                              </wps:txbx>
                              <wps:bodyPr upright="1"/>
                            </wps:wsp>
                          </wpc:wpc>
                        </a:graphicData>
                      </a:graphic>
                    </wp:inline>
                  </w:drawing>
                </mc:Choice>
                <mc:Fallback>
                  <w:pict>
                    <v:group id="_x0000_s1026" o:spid="_x0000_s1026" o:spt="203" style="height:103.6pt;width:392.15pt;" coordsize="4980305,1315720" editas="canvas" o:gfxdata="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v1IC59cAAAAFAQAADwAAAAAAAAABACAAAAAiAAAAZHJz&#10;L2Rvd25yZXYueG1sUEsBAhQAFAAAAAgAh07iQCCovqJbAwAA5AsAAA4AAAAAAAAAAQAgAAAAJgEA&#10;AGRycy9lMm9Eb2MueG1sUEsFBgAAAAAGAAYAWQEAAPMGAAAAAA==&#10;">
                      <o:lock v:ext="edit" aspectratio="f"/>
                      <v:shape id="_x0000_s1026" o:spid="_x0000_s1026" style="position:absolute;left:0;top:0;height:1315720;width:4980305;" filled="f" stroked="f" coordsize="21600,21600" o:gfxdata="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">
                        <v:fill on="f" focussize="0,0"/>
                        <v:stroke on="f"/>
                        <v:imagedata o:title=""/>
                        <o:lock v:ext="edit" aspectratio="t"/>
                      </v:shape>
                      <v:shape id="文本框 165" o:spid="_x0000_s1026" o:spt="202" type="#_x0000_t202" style="position:absolute;left:2729865;top:144780;height:485775;width:694690;" filled="f" stroked="t" coordsize="21600,21600" o:gfxdata="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IafCNQAAAAFAQAADwAAAAAAAAAB&#10;ACAAAAAiAAAAZHJzL2Rvd25yZXYueG1sUEsBAhQAFAAAAAgAh07iQCQwFvUUAgAAGgQAAA4AAAAA&#10;AAAAAQAgAAAAIwEAAGRycy9lMm9Eb2MueG1sUEsFBgAAAAAGAAYAWQEAAKkFAAAAAA==&#10;">
                        <v:fill on="f" focussize="0,0"/>
                        <v:stroke weight="0.25pt" color="#000000" joinstyle="miter" dashstyle="dash"/>
                        <v:imagedata o:title=""/>
                        <o:lock v:ext="edit" aspectratio="f"/>
                        <v:textbox>
                          <w:txbxContent>
                            <w:p>
                              <w:pPr>
                                <w:rPr>
                                  <w:rFonts w:hint="eastAsia" w:ascii="宋体" w:hAnsi="宋体" w:cs="宋体"/>
                                </w:rPr>
                              </w:pPr>
                              <w:r>
                                <w:rPr>
                                  <w:rFonts w:hint="eastAsia" w:ascii="宋体" w:hAnsi="宋体" w:cs="宋体"/>
                                </w:rPr>
                                <w:t>噪声、固废、废水</w:t>
                              </w:r>
                            </w:p>
                          </w:txbxContent>
                        </v:textbox>
                      </v:shape>
                      <v:shape id="直接箭头连接符 166" o:spid="_x0000_s1026" o:spt="32" type="#_x0000_t32" style="position:absolute;left:1917065;top:621665;flip:y;height:257175;width:2540;" filled="f" stroked="t" coordsize="21600,21600" o:gfxdata="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ddxU9UAAAAFAQAA&#10;DwAAAAAAAAABACAAAAAiAAAAZHJzL2Rvd25yZXYueG1sUEsBAhQAFAAAAAgAh07iQFI4phYcAgAA&#10;CgQAAA4AAAAAAAAAAQAgAAAAJAEAAGRycy9lMm9Eb2MueG1sUEsFBgAAAAAGAAYAWQEAALIFAAAA&#10;AA==&#10;">
                        <v:fill on="f" focussize="0,0"/>
                        <v:stroke weight="0.25pt" color="#000000" joinstyle="round" dashstyle="dash" endarrow="block"/>
                        <v:imagedata o:title=""/>
                        <o:lock v:ext="edit" aspectratio="f"/>
                      </v:shape>
                      <v:shape id="直接箭头连接符 167" o:spid="_x0000_s1026" o:spt="32" type="#_x0000_t32" style="position:absolute;left:3120390;top:630555;flip:y;height:257175;width:2540;" filled="f" stroked="t" coordsize="21600,21600" o:gfxdata="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ddxU9UAAAAFAQAA&#10;DwAAAAAAAAABACAAAAAiAAAAZHJzL2Rvd25yZXYueG1sUEsBAhQAFAAAAAgAh07iQIi2kOYcAgAA&#10;CgQAAA4AAAAAAAAAAQAgAAAAJAEAAGRycy9lMm9Eb2MueG1sUEsFBgAAAAAGAAYAWQEAALIFAAAA&#10;AA==&#10;">
                        <v:fill on="f" focussize="0,0"/>
                        <v:stroke weight="0.25pt" color="#000000" joinstyle="round" dashstyle="dash" endarrow="block"/>
                        <v:imagedata o:title=""/>
                        <o:lock v:ext="edit" aspectratio="f"/>
                      </v:shape>
                      <v:shape id="文本框 168" o:spid="_x0000_s1026" o:spt="202" type="#_x0000_t202" style="position:absolute;left:1130300;top:327660;height:294005;width:1193165;" filled="f" stroked="t" coordsize="21600,21600" o:gfxdata="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IafCNQAAAAFAQAADwAAAAAAAAABACAA&#10;AAAiAAAAZHJzL2Rvd25yZXYueG1sUEsBAhQAFAAAAAgAh07iQPlWQX8RAgAAGwQAAA4AAAAAAAAA&#10;AQAgAAAAIwEAAGRycy9lMm9Eb2MueG1sUEsFBgAAAAAGAAYAWQEAAKYFAAAAAA==&#10;">
                        <v:fill on="f" focussize="0,0"/>
                        <v:stroke weight="0.25pt" color="#000000" joinstyle="miter" dashstyle="dash"/>
                        <v:imagedata o:title=""/>
                        <o:lock v:ext="edit" aspectratio="f"/>
                        <v:textbox>
                          <w:txbxContent>
                            <w:p>
                              <w:pPr>
                                <w:rPr>
                                  <w:rFonts w:hint="eastAsia" w:ascii="宋体" w:hAnsi="宋体" w:eastAsia="宋体" w:cs="宋体"/>
                                  <w:lang w:val="en-US" w:eastAsia="zh-CN"/>
                                </w:rPr>
                              </w:pPr>
                              <w:r>
                                <w:rPr>
                                  <w:rFonts w:hint="eastAsia" w:ascii="宋体" w:hAnsi="宋体" w:cs="宋体"/>
                                </w:rPr>
                                <w:t>噪声、</w:t>
                              </w:r>
                              <w:r>
                                <w:rPr>
                                  <w:rFonts w:hint="eastAsia" w:ascii="宋体" w:hAnsi="宋体" w:cs="宋体"/>
                                  <w:lang w:val="en-US" w:eastAsia="zh-CN"/>
                                </w:rPr>
                                <w:t>扬尘、</w:t>
                              </w:r>
                              <w:r>
                                <w:rPr>
                                  <w:rFonts w:hint="eastAsia" w:ascii="宋体" w:hAnsi="宋体" w:cs="宋体"/>
                                </w:rPr>
                                <w:t>弃</w:t>
                              </w:r>
                              <w:r>
                                <w:rPr>
                                  <w:rFonts w:hint="eastAsia" w:ascii="宋体" w:hAnsi="宋体" w:cs="宋体"/>
                                  <w:lang w:val="en-US" w:eastAsia="zh-CN"/>
                                </w:rPr>
                                <w:t>土</w:t>
                              </w:r>
                            </w:p>
                          </w:txbxContent>
                        </v:textbox>
                      </v:shape>
                      <w10:wrap type="none"/>
                      <w10:anchorlock/>
                    </v:group>
                  </w:pict>
                </mc:Fallback>
              </mc:AlternateConten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图2-17  涵洞工程施工工艺流程及产污节点图</w:t>
            </w:r>
          </w:p>
          <w:p>
            <w:pPr>
              <w:pStyle w:val="32"/>
              <w:keepNext w:val="0"/>
              <w:keepLines w:val="0"/>
              <w:suppressLineNumbers w:val="0"/>
              <w:tabs>
                <w:tab w:val="left" w:pos="3147"/>
              </w:tabs>
              <w:spacing w:before="0" w:beforeAutospacing="0" w:after="0" w:afterAutospacing="0" w:line="360" w:lineRule="auto"/>
              <w:ind w:left="0" w:right="0" w:firstLine="482" w:firstLineChars="200"/>
              <w:rPr>
                <w:rFonts w:ascii="Times New Roman" w:hAnsi="Times New Roman" w:eastAsia="宋体"/>
                <w:b/>
                <w:color w:val="000000" w:themeColor="text1"/>
                <w:kern w:val="2"/>
                <w:highlight w:val="none"/>
                <w14:textFill>
                  <w14:solidFill>
                    <w14:schemeClr w14:val="tx1"/>
                  </w14:solidFill>
                </w14:textFill>
              </w:rPr>
            </w:pPr>
            <w:r>
              <w:rPr>
                <w:rFonts w:ascii="Times New Roman" w:hAnsi="Times New Roman" w:eastAsia="宋体"/>
                <w:b/>
                <w:color w:val="000000" w:themeColor="text1"/>
                <w:kern w:val="2"/>
                <w:highlight w:val="none"/>
                <w14:textFill>
                  <w14:solidFill>
                    <w14:schemeClr w14:val="tx1"/>
                  </w14:solidFill>
                </w14:textFill>
              </w:rPr>
              <w:t>主要工艺流程简述：</w:t>
            </w:r>
          </w:p>
          <w:p>
            <w:pPr>
              <w:pStyle w:val="32"/>
              <w:keepNext w:val="0"/>
              <w:keepLines w:val="0"/>
              <w:suppressLineNumbers w:val="0"/>
              <w:spacing w:before="0" w:beforeAutospacing="0" w:after="0" w:afterAutospacing="0" w:line="360" w:lineRule="auto"/>
              <w:ind w:left="0" w:right="0" w:firstLine="480"/>
              <w:rPr>
                <w:rFonts w:hint="eastAsia" w:ascii="Times New Roman" w:hAnsi="Times New Roman" w:eastAsia="宋体"/>
                <w:b w:val="0"/>
                <w:bCs/>
                <w:color w:val="000000" w:themeColor="text1"/>
                <w:kern w:val="2"/>
                <w:highlight w:val="none"/>
                <w14:textFill>
                  <w14:solidFill>
                    <w14:schemeClr w14:val="tx1"/>
                  </w14:solidFill>
                </w14:textFill>
              </w:rPr>
            </w:pPr>
            <w:r>
              <w:rPr>
                <w:rFonts w:hint="eastAsia" w:ascii="Times New Roman" w:hAnsi="Times New Roman" w:eastAsia="宋体"/>
                <w:b w:val="0"/>
                <w:bCs/>
                <w:color w:val="000000" w:themeColor="text1"/>
                <w:kern w:val="2"/>
                <w:highlight w:val="none"/>
                <w14:textFill>
                  <w14:solidFill>
                    <w14:schemeClr w14:val="tx1"/>
                  </w14:solidFill>
                </w14:textFill>
              </w:rPr>
              <w:t>（1）施工围堰：</w:t>
            </w:r>
            <w:r>
              <w:rPr>
                <w:rFonts w:hint="eastAsia" w:ascii="Times New Roman" w:hAnsi="Times New Roman" w:eastAsia="宋体"/>
                <w:b w:val="0"/>
                <w:bCs/>
                <w:color w:val="000000" w:themeColor="text1"/>
                <w:kern w:val="2"/>
                <w:highlight w:val="none"/>
                <w:lang w:val="en-US" w:eastAsia="zh-CN"/>
                <w14:textFill>
                  <w14:solidFill>
                    <w14:schemeClr w14:val="tx1"/>
                  </w14:solidFill>
                </w14:textFill>
              </w:rPr>
              <w:t>将需要修建涵洞的区域进行打围，与周边建设区分开来</w:t>
            </w:r>
            <w:r>
              <w:rPr>
                <w:rFonts w:hint="eastAsia" w:ascii="Times New Roman" w:hAnsi="Times New Roman" w:eastAsia="宋体"/>
                <w:b w:val="0"/>
                <w:bCs/>
                <w:color w:val="000000" w:themeColor="text1"/>
                <w:kern w:val="2"/>
                <w:highlight w:val="none"/>
                <w14:textFill>
                  <w14:solidFill>
                    <w14:schemeClr w14:val="tx1"/>
                  </w14:solidFill>
                </w14:textFill>
              </w:rPr>
              <w:t>。</w:t>
            </w:r>
          </w:p>
          <w:p>
            <w:pPr>
              <w:pStyle w:val="32"/>
              <w:keepNext w:val="0"/>
              <w:keepLines w:val="0"/>
              <w:suppressLineNumbers w:val="0"/>
              <w:spacing w:before="0" w:beforeAutospacing="0" w:after="0" w:afterAutospacing="0" w:line="360" w:lineRule="auto"/>
              <w:ind w:left="0" w:right="0" w:firstLine="480"/>
              <w:rPr>
                <w:rFonts w:hint="eastAsia" w:ascii="Times New Roman" w:hAnsi="Times New Roman" w:eastAsia="宋体"/>
                <w:b w:val="0"/>
                <w:bCs/>
                <w:color w:val="000000" w:themeColor="text1"/>
                <w:kern w:val="2"/>
                <w:highlight w:val="none"/>
                <w14:textFill>
                  <w14:solidFill>
                    <w14:schemeClr w14:val="tx1"/>
                  </w14:solidFill>
                </w14:textFill>
              </w:rPr>
            </w:pPr>
            <w:r>
              <w:rPr>
                <w:rFonts w:hint="eastAsia" w:ascii="Times New Roman" w:hAnsi="Times New Roman" w:eastAsia="宋体"/>
                <w:b w:val="0"/>
                <w:bCs/>
                <w:color w:val="000000" w:themeColor="text1"/>
                <w:kern w:val="2"/>
                <w:highlight w:val="none"/>
                <w14:textFill>
                  <w14:solidFill>
                    <w14:schemeClr w14:val="tx1"/>
                  </w14:solidFill>
                </w14:textFill>
              </w:rPr>
              <w:t>（2）钻孔施工：对河堤进行钻孔，人工植入钢筋。</w:t>
            </w:r>
          </w:p>
          <w:p>
            <w:pPr>
              <w:pStyle w:val="32"/>
              <w:keepNext w:val="0"/>
              <w:keepLines w:val="0"/>
              <w:suppressLineNumbers w:val="0"/>
              <w:spacing w:before="0" w:beforeAutospacing="0" w:after="0" w:afterAutospacing="0" w:line="360" w:lineRule="auto"/>
              <w:ind w:left="0" w:right="0" w:firstLine="480"/>
              <w:rPr>
                <w:rFonts w:hint="eastAsia" w:ascii="Times New Roman" w:hAnsi="Times New Roman" w:eastAsia="宋体"/>
                <w:b w:val="0"/>
                <w:bCs/>
                <w:color w:val="000000" w:themeColor="text1"/>
                <w:kern w:val="2"/>
                <w:highlight w:val="none"/>
                <w:lang w:eastAsia="zh-CN"/>
                <w14:textFill>
                  <w14:solidFill>
                    <w14:schemeClr w14:val="tx1"/>
                  </w14:solidFill>
                </w14:textFill>
              </w:rPr>
            </w:pPr>
            <w:r>
              <w:rPr>
                <w:rFonts w:hint="eastAsia" w:ascii="Times New Roman" w:hAnsi="Times New Roman" w:eastAsia="宋体"/>
                <w:b w:val="0"/>
                <w:bCs/>
                <w:color w:val="000000" w:themeColor="text1"/>
                <w:kern w:val="2"/>
                <w:highlight w:val="none"/>
                <w14:textFill>
                  <w14:solidFill>
                    <w14:schemeClr w14:val="tx1"/>
                  </w14:solidFill>
                </w14:textFill>
              </w:rPr>
              <w:t>（3）混凝土浇筑：外购商品混凝土现场浇筑，采用插入式振捣器振捣，拆模后及时洒水养护</w:t>
            </w:r>
            <w:r>
              <w:rPr>
                <w:rFonts w:hint="eastAsia" w:ascii="Times New Roman" w:hAnsi="Times New Roman" w:eastAsia="宋体"/>
                <w:b w:val="0"/>
                <w:bCs/>
                <w:color w:val="000000" w:themeColor="text1"/>
                <w:kern w:val="2"/>
                <w:highlight w:val="none"/>
                <w:lang w:eastAsia="zh-CN"/>
                <w14:textFill>
                  <w14:solidFill>
                    <w14:schemeClr w14:val="tx1"/>
                  </w14:solidFill>
                </w14:textFill>
              </w:rPr>
              <w:t>。</w:t>
            </w:r>
          </w:p>
          <w:p>
            <w:pPr>
              <w:pStyle w:val="32"/>
              <w:keepNext w:val="0"/>
              <w:keepLines w:val="0"/>
              <w:suppressLineNumbers w:val="0"/>
              <w:spacing w:before="0" w:beforeAutospacing="0" w:after="0" w:afterAutospacing="0" w:line="360" w:lineRule="auto"/>
              <w:ind w:left="0" w:right="0" w:firstLine="480"/>
              <w:rPr>
                <w:rFonts w:ascii="Times New Roman" w:hAnsi="Times New Roman" w:eastAsia="宋体"/>
                <w:b/>
                <w:color w:val="000000" w:themeColor="text1"/>
                <w:kern w:val="2"/>
                <w:highlight w:val="none"/>
                <w14:textFill>
                  <w14:solidFill>
                    <w14:schemeClr w14:val="tx1"/>
                  </w14:solidFill>
                </w14:textFill>
              </w:rPr>
            </w:pPr>
            <w:r>
              <w:rPr>
                <w:rFonts w:ascii="Times New Roman" w:hAnsi="Times New Roman" w:eastAsia="宋体"/>
                <w:b/>
                <w:color w:val="000000" w:themeColor="text1"/>
                <w:kern w:val="2"/>
                <w:highlight w:val="none"/>
                <w14:textFill>
                  <w14:solidFill>
                    <w14:schemeClr w14:val="tx1"/>
                  </w14:solidFill>
                </w14:textFill>
              </w:rPr>
              <w:t>（</w:t>
            </w:r>
            <w:r>
              <w:rPr>
                <w:rFonts w:hint="eastAsia" w:ascii="Times New Roman" w:hAnsi="Times New Roman" w:eastAsia="宋体"/>
                <w:b/>
                <w:color w:val="000000" w:themeColor="text1"/>
                <w:kern w:val="2"/>
                <w:highlight w:val="none"/>
                <w:lang w:val="en-US" w:eastAsia="zh-CN"/>
                <w14:textFill>
                  <w14:solidFill>
                    <w14:schemeClr w14:val="tx1"/>
                  </w14:solidFill>
                </w14:textFill>
              </w:rPr>
              <w:t>4</w:t>
            </w:r>
            <w:r>
              <w:rPr>
                <w:rFonts w:ascii="Times New Roman" w:hAnsi="Times New Roman" w:eastAsia="宋体"/>
                <w:b/>
                <w:color w:val="000000" w:themeColor="text1"/>
                <w:kern w:val="2"/>
                <w:highlight w:val="none"/>
                <w14:textFill>
                  <w14:solidFill>
                    <w14:schemeClr w14:val="tx1"/>
                  </w14:solidFill>
                </w14:textFill>
              </w:rPr>
              <w:t>）管线工程</w:t>
            </w:r>
          </w:p>
          <w:p>
            <w:pPr>
              <w:pStyle w:val="32"/>
              <w:keepNext w:val="0"/>
              <w:keepLines w:val="0"/>
              <w:suppressLineNumbers w:val="0"/>
              <w:spacing w:before="0" w:beforeAutospacing="0" w:after="0" w:afterAutospacing="0" w:line="360" w:lineRule="auto"/>
              <w:ind w:left="0" w:right="0" w:firstLine="480"/>
              <w:rPr>
                <w:rFonts w:ascii="Times New Roman" w:hAnsi="Times New Roman" w:eastAsia="宋体"/>
                <w:b/>
                <w:color w:val="000000" w:themeColor="text1"/>
                <w:kern w:val="2"/>
                <w:highlight w:val="none"/>
                <w14:textFill>
                  <w14:solidFill>
                    <w14:schemeClr w14:val="tx1"/>
                  </w14:solidFill>
                </w14:textFill>
              </w:rPr>
            </w:pPr>
            <w:r>
              <w:rPr>
                <w:rFonts w:ascii="Times New Roman" w:hAnsi="Times New Roman" w:eastAsia="宋体"/>
                <w:bCs/>
                <w:color w:val="000000" w:themeColor="text1"/>
                <w:kern w:val="2"/>
                <w:highlight w:val="none"/>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4297045</wp:posOffset>
                      </wp:positionH>
                      <wp:positionV relativeFrom="paragraph">
                        <wp:posOffset>1042670</wp:posOffset>
                      </wp:positionV>
                      <wp:extent cx="321310" cy="635"/>
                      <wp:effectExtent l="0" t="37465" r="13970" b="38100"/>
                      <wp:wrapNone/>
                      <wp:docPr id="170" name="直接箭头连接符 170"/>
                      <wp:cNvGraphicFramePr/>
                      <a:graphic xmlns:a="http://schemas.openxmlformats.org/drawingml/2006/main">
                        <a:graphicData uri="http://schemas.microsoft.com/office/word/2010/wordprocessingShape">
                          <wps:wsp>
                            <wps:cNvCnPr/>
                            <wps:spPr>
                              <a:xfrm>
                                <a:off x="0" y="0"/>
                                <a:ext cx="321310" cy="635"/>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38.35pt;margin-top:82.1pt;height:0.05pt;width:25.3pt;z-index:251694080;mso-width-relative:page;mso-height-relative:page;" filled="f" stroked="t" coordsize="21600,21600" o:gfxdata="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sL6MnYAAAACwEAAA8AAAAAAAAAAQAgAAAAIgAAAGRy&#10;cy9kb3ducmV2LnhtbFBLAQIUABQAAAAIAIdO4kD/zaRdBQIAAPUDAAAOAAAAAAAAAAEAIAAAACcB&#10;AABkcnMvZTJvRG9jLnhtbFBLBQYAAAAABgAGAFkBAACeBQAAAAA=&#10;">
                      <v:fill on="f" focussize="0,0"/>
                      <v:stroke weight="0.25pt" color="#000000" joinstyle="round" endarrow="block"/>
                      <v:imagedata o:title=""/>
                      <o:lock v:ext="edit" aspectratio="f"/>
                    </v:shape>
                  </w:pict>
                </mc:Fallback>
              </mc:AlternateContent>
            </w:r>
            <w:r>
              <w:rPr>
                <w:rFonts w:ascii="Times New Roman" w:hAnsi="Times New Roman" w:eastAsia="宋体"/>
                <w:bCs/>
                <w:color w:val="000000" w:themeColor="text1"/>
                <w:kern w:val="2"/>
                <w:highlight w:val="none"/>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4592955</wp:posOffset>
                      </wp:positionH>
                      <wp:positionV relativeFrom="paragraph">
                        <wp:posOffset>889635</wp:posOffset>
                      </wp:positionV>
                      <wp:extent cx="740410" cy="270510"/>
                      <wp:effectExtent l="4445" t="5080" r="17145" b="13970"/>
                      <wp:wrapNone/>
                      <wp:docPr id="171" name="文本框 171"/>
                      <wp:cNvGraphicFramePr/>
                      <a:graphic xmlns:a="http://schemas.openxmlformats.org/drawingml/2006/main">
                        <a:graphicData uri="http://schemas.microsoft.com/office/word/2010/wordprocessingShape">
                          <wps:wsp>
                            <wps:cNvSpPr txBox="1"/>
                            <wps:spPr>
                              <a:xfrm>
                                <a:off x="0" y="0"/>
                                <a:ext cx="740410" cy="270510"/>
                              </a:xfrm>
                              <a:prstGeom prst="rect">
                                <a:avLst/>
                              </a:prstGeom>
                              <a:noFill/>
                              <a:ln w="3175" cap="flat" cmpd="sng">
                                <a:solidFill>
                                  <a:srgbClr val="000000"/>
                                </a:solidFill>
                                <a:prstDash val="solid"/>
                                <a:miter/>
                                <a:headEnd type="none" w="med" len="med"/>
                                <a:tailEnd type="none" w="med" len="med"/>
                              </a:ln>
                            </wps:spPr>
                            <wps:txbx>
                              <w:txbxContent>
                                <w:p>
                                  <w:pPr>
                                    <w:rPr>
                                      <w:rFonts w:hint="eastAsia" w:ascii="宋体" w:hAnsi="宋体" w:cs="宋体"/>
                                    </w:rPr>
                                  </w:pPr>
                                  <w:r>
                                    <w:rPr>
                                      <w:rFonts w:hint="eastAsia" w:ascii="宋体" w:hAnsi="宋体" w:cs="宋体"/>
                                    </w:rPr>
                                    <w:t>附属设施建设</w:t>
                                  </w:r>
                                </w:p>
                              </w:txbxContent>
                            </wps:txbx>
                            <wps:bodyPr upright="1"/>
                          </wps:wsp>
                        </a:graphicData>
                      </a:graphic>
                    </wp:anchor>
                  </w:drawing>
                </mc:Choice>
                <mc:Fallback>
                  <w:pict>
                    <v:shape id="_x0000_s1026" o:spid="_x0000_s1026" o:spt="202" type="#_x0000_t202" style="position:absolute;left:0pt;margin-left:361.65pt;margin-top:70.05pt;height:21.3pt;width:58.3pt;z-index:251695104;mso-width-relative:page;mso-height-relative:page;" filled="f" stroked="t" coordsize="21600,21600" o:gfxdata="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&#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6HvhHZAAAACwEAAA8AAAAAAAAAAQAgAAAAIgAAAGRy&#10;cy9kb3ducmV2LnhtbFBLAQIUABQAAAAIAIdO4kAXNLzhBAIAABAEAAAOAAAAAAAAAAEAIAAAACgB&#10;AABkcnMvZTJvRG9jLnhtbFBLBQYAAAAABgAGAFkBAACeBQAAAAA=&#10;">
                      <v:fill on="f" focussize="0,0"/>
                      <v:stroke weight="0.25pt" color="#000000" joinstyle="miter"/>
                      <v:imagedata o:title=""/>
                      <o:lock v:ext="edit" aspectratio="f"/>
                      <v:textbox>
                        <w:txbxContent>
                          <w:p>
                            <w:pPr>
                              <w:rPr>
                                <w:rFonts w:hint="eastAsia" w:ascii="宋体" w:hAnsi="宋体" w:cs="宋体"/>
                              </w:rPr>
                            </w:pPr>
                            <w:r>
                              <w:rPr>
                                <w:rFonts w:hint="eastAsia" w:ascii="宋体" w:hAnsi="宋体" w:cs="宋体"/>
                              </w:rPr>
                              <w:t>附属设施建设</w:t>
                            </w:r>
                          </w:p>
                        </w:txbxContent>
                      </v:textbox>
                    </v:shape>
                  </w:pict>
                </mc:Fallback>
              </mc:AlternateContent>
            </w:r>
            <w:r>
              <w:rPr>
                <w:rFonts w:ascii="Times New Roman" w:hAnsi="Times New Roman" w:eastAsia="宋体"/>
                <w:bCs/>
                <w:color w:val="000000" w:themeColor="text1"/>
                <w:kern w:val="2"/>
                <w:highlight w:val="none"/>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3535680</wp:posOffset>
                      </wp:positionH>
                      <wp:positionV relativeFrom="paragraph">
                        <wp:posOffset>888365</wp:posOffset>
                      </wp:positionV>
                      <wp:extent cx="735965" cy="271145"/>
                      <wp:effectExtent l="4445" t="4445" r="6350" b="13970"/>
                      <wp:wrapNone/>
                      <wp:docPr id="172" name="文本框 172"/>
                      <wp:cNvGraphicFramePr/>
                      <a:graphic xmlns:a="http://schemas.openxmlformats.org/drawingml/2006/main">
                        <a:graphicData uri="http://schemas.microsoft.com/office/word/2010/wordprocessingShape">
                          <wps:wsp>
                            <wps:cNvSpPr txBox="1"/>
                            <wps:spPr>
                              <a:xfrm>
                                <a:off x="0" y="0"/>
                                <a:ext cx="735965" cy="271145"/>
                              </a:xfrm>
                              <a:prstGeom prst="rect">
                                <a:avLst/>
                              </a:prstGeom>
                              <a:noFill/>
                              <a:ln w="3175" cap="flat" cmpd="sng">
                                <a:solidFill>
                                  <a:srgbClr val="000000"/>
                                </a:solidFill>
                                <a:prstDash val="solid"/>
                                <a:miter/>
                                <a:headEnd type="none" w="med" len="med"/>
                                <a:tailEnd type="none" w="med" len="med"/>
                              </a:ln>
                            </wps:spPr>
                            <wps:txbx>
                              <w:txbxContent>
                                <w:p>
                                  <w:pPr>
                                    <w:rPr>
                                      <w:rFonts w:hint="eastAsia" w:ascii="宋体" w:hAnsi="宋体" w:cs="宋体"/>
                                      <w:szCs w:val="21"/>
                                    </w:rPr>
                                  </w:pPr>
                                  <w:r>
                                    <w:rPr>
                                      <w:rFonts w:hint="eastAsia" w:ascii="宋体" w:hAnsi="宋体" w:cs="宋体"/>
                                    </w:rPr>
                                    <w:t>管线入廊</w:t>
                                  </w:r>
                                </w:p>
                              </w:txbxContent>
                            </wps:txbx>
                            <wps:bodyPr upright="1"/>
                          </wps:wsp>
                        </a:graphicData>
                      </a:graphic>
                    </wp:anchor>
                  </w:drawing>
                </mc:Choice>
                <mc:Fallback>
                  <w:pict>
                    <v:shape id="_x0000_s1026" o:spid="_x0000_s1026" o:spt="202" type="#_x0000_t202" style="position:absolute;left:0pt;margin-left:278.4pt;margin-top:69.95pt;height:21.35pt;width:57.95pt;z-index:251693056;mso-width-relative:page;mso-height-relative:page;" filled="f" stroked="t" coordsize="21600,21600" o:gfxdata="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s6G9kAAAALAQAADwAAAAAAAAABACAAAAAiAAAA&#10;ZHJzL2Rvd25yZXYueG1sUEsBAhQAFAAAAAgAh07iQE6J2G8GAgAAEAQAAA4AAAAAAAAAAQAgAAAA&#10;KAEAAGRycy9lMm9Eb2MueG1sUEsFBgAAAAAGAAYAWQEAAKAFAAAAAA==&#10;">
                      <v:fill on="f" focussize="0,0"/>
                      <v:stroke weight="0.25pt" color="#000000" joinstyle="miter"/>
                      <v:imagedata o:title=""/>
                      <o:lock v:ext="edit" aspectratio="f"/>
                      <v:textbox>
                        <w:txbxContent>
                          <w:p>
                            <w:pPr>
                              <w:rPr>
                                <w:rFonts w:hint="eastAsia" w:ascii="宋体" w:hAnsi="宋体" w:cs="宋体"/>
                                <w:szCs w:val="21"/>
                              </w:rPr>
                            </w:pPr>
                            <w:r>
                              <w:rPr>
                                <w:rFonts w:hint="eastAsia" w:ascii="宋体" w:hAnsi="宋体" w:cs="宋体"/>
                              </w:rPr>
                              <w:t>管线入廊</w:t>
                            </w:r>
                          </w:p>
                        </w:txbxContent>
                      </v:textbox>
                    </v:shape>
                  </w:pict>
                </mc:Fallback>
              </mc:AlternateContent>
            </w:r>
            <w:r>
              <w:rPr>
                <w:rFonts w:ascii="Times New Roman" w:hAnsi="Times New Roman" w:eastAsia="宋体"/>
                <w:bCs/>
                <w:color w:val="000000" w:themeColor="text1"/>
                <w:kern w:val="2"/>
                <w:highlight w:val="none"/>
                <w14:textFill>
                  <w14:solidFill>
                    <w14:schemeClr w14:val="tx1"/>
                  </w14:solidFill>
                </w14:textFill>
              </w:rPr>
              <mc:AlternateContent>
                <mc:Choice Requires="wpc">
                  <w:drawing>
                    <wp:inline distT="0" distB="0" distL="114300" distR="114300">
                      <wp:extent cx="5344160" cy="1315720"/>
                      <wp:effectExtent l="0" t="0" r="0" b="0"/>
                      <wp:docPr id="169" name="画布 1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5" name="文本框 165"/>
                              <wps:cNvSpPr txBox="1"/>
                              <wps:spPr>
                                <a:xfrm>
                                  <a:off x="2176780" y="37465"/>
                                  <a:ext cx="694690" cy="485775"/>
                                </a:xfrm>
                                <a:prstGeom prst="rect">
                                  <a:avLst/>
                                </a:prstGeom>
                                <a:noFill/>
                                <a:ln w="3175" cap="flat" cmpd="sng">
                                  <a:solidFill>
                                    <a:srgbClr val="000000"/>
                                  </a:solidFill>
                                  <a:prstDash val="dash"/>
                                  <a:miter/>
                                  <a:headEnd type="none" w="med" len="med"/>
                                  <a:tailEnd type="none" w="med" len="med"/>
                                </a:ln>
                              </wps:spPr>
                              <wps:txbx>
                                <w:txbxContent>
                                  <w:p>
                                    <w:pPr>
                                      <w:rPr>
                                        <w:rFonts w:hint="eastAsia" w:ascii="宋体" w:hAnsi="宋体" w:cs="宋体"/>
                                      </w:rPr>
                                    </w:pPr>
                                    <w:r>
                                      <w:rPr>
                                        <w:rFonts w:hint="eastAsia" w:ascii="宋体" w:hAnsi="宋体" w:cs="宋体"/>
                                      </w:rPr>
                                      <w:t>噪声、固废、废水</w:t>
                                    </w:r>
                                  </w:p>
                                </w:txbxContent>
                              </wps:txbx>
                              <wps:bodyPr upright="1"/>
                            </wps:wsp>
                            <wps:wsp>
                              <wps:cNvPr id="206" name="直接箭头连接符 166"/>
                              <wps:cNvCnPr/>
                              <wps:spPr>
                                <a:xfrm flipV="1">
                                  <a:off x="1258570" y="514350"/>
                                  <a:ext cx="6350" cy="360680"/>
                                </a:xfrm>
                                <a:prstGeom prst="straightConnector1">
                                  <a:avLst/>
                                </a:prstGeom>
                                <a:ln w="3175" cap="flat" cmpd="sng">
                                  <a:solidFill>
                                    <a:srgbClr val="000000"/>
                                  </a:solidFill>
                                  <a:prstDash val="dash"/>
                                  <a:headEnd type="none" w="med" len="med"/>
                                  <a:tailEnd type="triangle" w="med" len="med"/>
                                </a:ln>
                              </wps:spPr>
                              <wps:bodyPr/>
                            </wps:wsp>
                            <wps:wsp>
                              <wps:cNvPr id="207" name="直接箭头连接符 167"/>
                              <wps:cNvCnPr/>
                              <wps:spPr>
                                <a:xfrm flipH="1" flipV="1">
                                  <a:off x="2569845" y="523240"/>
                                  <a:ext cx="635" cy="368935"/>
                                </a:xfrm>
                                <a:prstGeom prst="straightConnector1">
                                  <a:avLst/>
                                </a:prstGeom>
                                <a:ln w="3175" cap="flat" cmpd="sng">
                                  <a:solidFill>
                                    <a:srgbClr val="000000"/>
                                  </a:solidFill>
                                  <a:prstDash val="dash"/>
                                  <a:headEnd type="none" w="med" len="med"/>
                                  <a:tailEnd type="triangle" w="med" len="med"/>
                                </a:ln>
                              </wps:spPr>
                              <wps:bodyPr/>
                            </wps:wsp>
                            <wps:wsp>
                              <wps:cNvPr id="208" name="文本框 168"/>
                              <wps:cNvSpPr txBox="1"/>
                              <wps:spPr>
                                <a:xfrm>
                                  <a:off x="957580" y="220345"/>
                                  <a:ext cx="812800" cy="294005"/>
                                </a:xfrm>
                                <a:prstGeom prst="rect">
                                  <a:avLst/>
                                </a:prstGeom>
                                <a:noFill/>
                                <a:ln w="3175" cap="flat" cmpd="sng">
                                  <a:solidFill>
                                    <a:srgbClr val="000000"/>
                                  </a:solidFill>
                                  <a:prstDash val="dash"/>
                                  <a:miter/>
                                  <a:headEnd type="none" w="med" len="med"/>
                                  <a:tailEnd type="none" w="med" len="med"/>
                                </a:ln>
                              </wps:spPr>
                              <wps:txbx>
                                <w:txbxContent>
                                  <w:p>
                                    <w:pPr>
                                      <w:rPr>
                                        <w:rFonts w:hint="eastAsia" w:ascii="宋体" w:hAnsi="宋体" w:eastAsia="宋体" w:cs="宋体"/>
                                        <w:lang w:val="en-US" w:eastAsia="zh-CN"/>
                                      </w:rPr>
                                    </w:pPr>
                                    <w:r>
                                      <w:rPr>
                                        <w:rFonts w:hint="eastAsia" w:ascii="宋体" w:hAnsi="宋体" w:cs="宋体"/>
                                      </w:rPr>
                                      <w:t>噪声、弃</w:t>
                                    </w:r>
                                    <w:r>
                                      <w:rPr>
                                        <w:rFonts w:hint="eastAsia" w:ascii="宋体" w:hAnsi="宋体" w:cs="宋体"/>
                                        <w:lang w:val="en-US" w:eastAsia="zh-CN"/>
                                      </w:rPr>
                                      <w:t>土</w:t>
                                    </w:r>
                                  </w:p>
                                </w:txbxContent>
                              </wps:txbx>
                              <wps:bodyPr upright="1"/>
                            </wps:wsp>
                          </wpc:wpc>
                        </a:graphicData>
                      </a:graphic>
                    </wp:inline>
                  </w:drawing>
                </mc:Choice>
                <mc:Fallback>
                  <w:pict>
                    <v:group id="_x0000_s1026" o:spid="_x0000_s1026" o:spt="203" style="height:103.6pt;width:420.8pt;" coordsize="5344160,1315720" editas="canvas" o:gfxdata="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">
                      <o:lock v:ext="edit" aspectratio="f"/>
                      <v:shape id="_x0000_s1026" o:spid="_x0000_s1026" style="position:absolute;left:0;top:0;height:1315720;width:5344160;" filled="f" stroked="f" coordsize="21600,21600" o:gfxdata="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va50QtcAAAAFAQAADwAAAAAAAAAB&#10;ACAAAAAiAAAAZHJzL2Rvd25yZXYueG1sUEsBAhQAFAAAAAgAh07iQAqIErIuAwAAYwsAAA4AAAAA&#10;AAAAAQAgAAAAJgEAAGRycy9lMm9Eb2MueG1sUEsFBgAAAAAGAAYAWQEAAMYGAAAAAA==&#10;">
                        <v:fill on="f" focussize="0,0"/>
                        <v:stroke on="f"/>
                        <v:imagedata o:title=""/>
                        <o:lock v:ext="edit" aspectratio="t"/>
                      </v:shape>
                      <v:shape id="文本框 165" o:spid="_x0000_s1026" o:spt="202" type="#_x0000_t202" style="position:absolute;left:2176780;top:37465;height:485775;width:694690;" filled="f" stroked="t" coordsize="21600,21600" o:gfxdata="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nrprdQAAAAFAQAADwAAAAAAAAAB&#10;ACAAAAAiAAAAZHJzL2Rvd25yZXYueG1sUEsBAhQAFAAAAAgAh07iQE67JXcUAgAAGQQAAA4AAAAA&#10;AAAAAQAgAAAAIwEAAGRycy9lMm9Eb2MueG1sUEsFBgAAAAAGAAYAWQEAAKkFAAAAAA==&#10;">
                        <v:fill on="f" focussize="0,0"/>
                        <v:stroke weight="0.25pt" color="#000000" joinstyle="miter" dashstyle="dash"/>
                        <v:imagedata o:title=""/>
                        <o:lock v:ext="edit" aspectratio="f"/>
                        <v:textbox>
                          <w:txbxContent>
                            <w:p>
                              <w:pPr>
                                <w:rPr>
                                  <w:rFonts w:hint="eastAsia" w:ascii="宋体" w:hAnsi="宋体" w:cs="宋体"/>
                                </w:rPr>
                              </w:pPr>
                              <w:r>
                                <w:rPr>
                                  <w:rFonts w:hint="eastAsia" w:ascii="宋体" w:hAnsi="宋体" w:cs="宋体"/>
                                </w:rPr>
                                <w:t>噪声、固废、废水</w:t>
                              </w:r>
                            </w:p>
                          </w:txbxContent>
                        </v:textbox>
                      </v:shape>
                      <v:shape id="直接箭头连接符 166" o:spid="_x0000_s1026" o:spt="32" type="#_x0000_t32" style="position:absolute;left:1258570;top:514350;flip:y;height:360680;width:6350;" filled="f" stroked="t" coordsize="21600,21600" o:gfxdata="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crB/bWAAAABQEA&#10;AA8AAAAAAAAAAQAgAAAAIgAAAGRycy9kb3ducmV2LnhtbFBLAQIUABQAAAAIAIdO4kAMz2/mHAIA&#10;AAoEAAAOAAAAAAAAAAEAIAAAACUBAABkcnMvZTJvRG9jLnhtbFBLBQYAAAAABgAGAFkBAACzBQAA&#10;AAA=&#10;">
                        <v:fill on="f" focussize="0,0"/>
                        <v:stroke weight="0.25pt" color="#000000" joinstyle="round" dashstyle="dash" endarrow="block"/>
                        <v:imagedata o:title=""/>
                        <o:lock v:ext="edit" aspectratio="f"/>
                      </v:shape>
                      <v:shape id="直接箭头连接符 167" o:spid="_x0000_s1026" o:spt="32" type="#_x0000_t32" style="position:absolute;left:2569845;top:523240;flip:x y;height:368935;width:635;" filled="f" stroked="t" coordsize="21600,21600" o:gfxdata="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kAwQ7WAAAA&#10;BQEAAA8AAAAAAAAAAQAgAAAAIgAAAGRycy9kb3ducmV2LnhtbFBLAQIUABQAAAAIAIdO4kBnZYzW&#10;HwIAABMEAAAOAAAAAAAAAAEAIAAAACUBAABkcnMvZTJvRG9jLnhtbFBLBQYAAAAABgAGAFkBAAC2&#10;BQAAAAA=&#10;">
                        <v:fill on="f" focussize="0,0"/>
                        <v:stroke weight="0.25pt" color="#000000" joinstyle="round" dashstyle="dash" endarrow="block"/>
                        <v:imagedata o:title=""/>
                        <o:lock v:ext="edit" aspectratio="f"/>
                      </v:shape>
                      <v:shape id="文本框 168" o:spid="_x0000_s1026" o:spt="202" type="#_x0000_t202" style="position:absolute;left:957580;top:220345;height:294005;width:812800;" filled="f" stroked="t" coordsize="21600,21600" o:gfxdata="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aeumt1AAAAAUBAAAPAAAAAAAAAAEA&#10;IAAAACIAAABkcnMvZG93bnJldi54bWxQSwECFAAUAAAACACHTuJAdPHfmRMCAAAZBAAADgAAAAAA&#10;AAABACAAAAAjAQAAZHJzL2Uyb0RvYy54bWxQSwUGAAAAAAYABgBZAQAAqAUAAAAA&#10;">
                        <v:fill on="f" focussize="0,0"/>
                        <v:stroke weight="0.25pt" color="#000000" joinstyle="miter" dashstyle="dash"/>
                        <v:imagedata o:title=""/>
                        <o:lock v:ext="edit" aspectratio="f"/>
                        <v:textbox>
                          <w:txbxContent>
                            <w:p>
                              <w:pPr>
                                <w:rPr>
                                  <w:rFonts w:hint="eastAsia" w:ascii="宋体" w:hAnsi="宋体" w:eastAsia="宋体" w:cs="宋体"/>
                                  <w:lang w:val="en-US" w:eastAsia="zh-CN"/>
                                </w:rPr>
                              </w:pPr>
                              <w:r>
                                <w:rPr>
                                  <w:rFonts w:hint="eastAsia" w:ascii="宋体" w:hAnsi="宋体" w:cs="宋体"/>
                                </w:rPr>
                                <w:t>噪声、弃</w:t>
                              </w:r>
                              <w:r>
                                <w:rPr>
                                  <w:rFonts w:hint="eastAsia" w:ascii="宋体" w:hAnsi="宋体" w:cs="宋体"/>
                                  <w:lang w:val="en-US" w:eastAsia="zh-CN"/>
                                </w:rPr>
                                <w:t>土</w:t>
                              </w:r>
                            </w:p>
                          </w:txbxContent>
                        </v:textbox>
                      </v:shape>
                      <w10:wrap type="none"/>
                      <w10:anchorlock/>
                    </v:group>
                  </w:pict>
                </mc:Fallback>
              </mc:AlternateContent>
            </w:r>
            <w:r>
              <w:rPr>
                <w:rFonts w:ascii="Times New Roman" w:hAnsi="Times New Roman" w:eastAsia="宋体"/>
                <w:bCs/>
                <w:color w:val="000000" w:themeColor="text1"/>
                <w:kern w:val="2"/>
                <w:highlight w:val="none"/>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1993900</wp:posOffset>
                      </wp:positionH>
                      <wp:positionV relativeFrom="paragraph">
                        <wp:posOffset>1025525</wp:posOffset>
                      </wp:positionV>
                      <wp:extent cx="453390" cy="1905"/>
                      <wp:effectExtent l="0" t="36830" r="3810" b="37465"/>
                      <wp:wrapNone/>
                      <wp:docPr id="177" name="直接箭头连接符 177"/>
                      <wp:cNvGraphicFramePr/>
                      <a:graphic xmlns:a="http://schemas.openxmlformats.org/drawingml/2006/main">
                        <a:graphicData uri="http://schemas.microsoft.com/office/word/2010/wordprocessingShape">
                          <wps:wsp>
                            <wps:cNvCnPr/>
                            <wps:spPr>
                              <a:xfrm>
                                <a:off x="0" y="0"/>
                                <a:ext cx="453390" cy="1905"/>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57pt;margin-top:80.75pt;height:0.15pt;width:35.7pt;z-index:251689984;mso-width-relative:page;mso-height-relative:page;" filled="f" stroked="t" coordsize="21600,21600" o:gfxdata="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jJBN9gAAAALAQAADwAAAAAAAAABACAAAAAiAAAA&#10;ZHJzL2Rvd25yZXYueG1sUEsBAhQAFAAAAAgAh07iQBf6wUUHAgAA9gMAAA4AAAAAAAAAAQAgAAAA&#10;JwEAAGRycy9lMm9Eb2MueG1sUEsFBgAAAAAGAAYAWQEAAKAFAAAAAA==&#10;">
                      <v:fill on="f" focussize="0,0"/>
                      <v:stroke weight="0.25pt" color="#000000" joinstyle="round" endarrow="block"/>
                      <v:imagedata o:title=""/>
                      <o:lock v:ext="edit" aspectratio="f"/>
                    </v:shape>
                  </w:pict>
                </mc:Fallback>
              </mc:AlternateContent>
            </w:r>
            <w:r>
              <w:rPr>
                <w:rFonts w:ascii="Times New Roman" w:hAnsi="Times New Roman" w:eastAsia="宋体"/>
                <w:bCs/>
                <w:color w:val="000000" w:themeColor="text1"/>
                <w:kern w:val="2"/>
                <w:highlight w:val="none"/>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1243965</wp:posOffset>
                      </wp:positionH>
                      <wp:positionV relativeFrom="paragraph">
                        <wp:posOffset>864870</wp:posOffset>
                      </wp:positionV>
                      <wp:extent cx="749935" cy="320675"/>
                      <wp:effectExtent l="4445" t="4445" r="7620" b="10160"/>
                      <wp:wrapNone/>
                      <wp:docPr id="175" name="文本框 175"/>
                      <wp:cNvGraphicFramePr/>
                      <a:graphic xmlns:a="http://schemas.openxmlformats.org/drawingml/2006/main">
                        <a:graphicData uri="http://schemas.microsoft.com/office/word/2010/wordprocessingShape">
                          <wps:wsp>
                            <wps:cNvSpPr txBox="1"/>
                            <wps:spPr>
                              <a:xfrm>
                                <a:off x="0" y="0"/>
                                <a:ext cx="749935" cy="320675"/>
                              </a:xfrm>
                              <a:prstGeom prst="rect">
                                <a:avLst/>
                              </a:prstGeom>
                              <a:noFill/>
                              <a:ln w="3175" cap="flat" cmpd="sng">
                                <a:solidFill>
                                  <a:srgbClr val="000000"/>
                                </a:solidFill>
                                <a:prstDash val="solid"/>
                                <a:miter/>
                                <a:headEnd type="none" w="med" len="med"/>
                                <a:tailEnd type="none" w="med" len="med"/>
                              </a:ln>
                            </wps:spPr>
                            <wps:txbx>
                              <w:txbxContent>
                                <w:p>
                                  <w:pPr>
                                    <w:rPr>
                                      <w:rFonts w:hint="eastAsia" w:ascii="宋体" w:hAnsi="宋体" w:cs="宋体"/>
                                    </w:rPr>
                                  </w:pPr>
                                  <w:r>
                                    <w:rPr>
                                      <w:rFonts w:hint="eastAsia" w:ascii="宋体" w:hAnsi="宋体" w:cs="宋体"/>
                                    </w:rPr>
                                    <w:t>管道开挖</w:t>
                                  </w:r>
                                </w:p>
                              </w:txbxContent>
                            </wps:txbx>
                            <wps:bodyPr upright="1"/>
                          </wps:wsp>
                        </a:graphicData>
                      </a:graphic>
                    </wp:anchor>
                  </w:drawing>
                </mc:Choice>
                <mc:Fallback>
                  <w:pict>
                    <v:shape id="_x0000_s1026" o:spid="_x0000_s1026" o:spt="202" type="#_x0000_t202" style="position:absolute;left:0pt;margin-left:97.95pt;margin-top:68.1pt;height:25.25pt;width:59.05pt;z-index:251688960;mso-width-relative:page;mso-height-relative:page;" filled="f" stroked="t" coordsize="21600,21600" o:gfxdata="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Q1BHY2QAAAAsBAAAPAAAAAAAAAAEAIAAAACIAAABk&#10;cnMvZG93bnJldi54bWxQSwECFAAUAAAACACHTuJA1wRrgwUCAAAQBAAADgAAAAAAAAABACAAAAAo&#10;AQAAZHJzL2Uyb0RvYy54bWxQSwUGAAAAAAYABgBZAQAAnwUAAAAA&#10;">
                      <v:fill on="f" focussize="0,0"/>
                      <v:stroke weight="0.25pt" color="#000000" joinstyle="miter"/>
                      <v:imagedata o:title=""/>
                      <o:lock v:ext="edit" aspectratio="f"/>
                      <v:textbox>
                        <w:txbxContent>
                          <w:p>
                            <w:pPr>
                              <w:rPr>
                                <w:rFonts w:hint="eastAsia" w:ascii="宋体" w:hAnsi="宋体" w:cs="宋体"/>
                              </w:rPr>
                            </w:pPr>
                            <w:r>
                              <w:rPr>
                                <w:rFonts w:hint="eastAsia" w:ascii="宋体" w:hAnsi="宋体" w:cs="宋体"/>
                              </w:rPr>
                              <w:t>管道开挖</w:t>
                            </w:r>
                          </w:p>
                        </w:txbxContent>
                      </v:textbox>
                    </v:shape>
                  </w:pict>
                </mc:Fallback>
              </mc:AlternateContent>
            </w:r>
            <w:r>
              <w:rPr>
                <w:rFonts w:ascii="Times New Roman" w:hAnsi="Times New Roman" w:eastAsia="宋体"/>
                <w:bCs/>
                <w:color w:val="000000" w:themeColor="text1"/>
                <w:kern w:val="2"/>
                <w:highlight w:val="none"/>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793750</wp:posOffset>
                      </wp:positionH>
                      <wp:positionV relativeFrom="paragraph">
                        <wp:posOffset>1025525</wp:posOffset>
                      </wp:positionV>
                      <wp:extent cx="450215" cy="3175"/>
                      <wp:effectExtent l="0" t="37465" r="6985" b="35560"/>
                      <wp:wrapNone/>
                      <wp:docPr id="176" name="直接箭头连接符 176"/>
                      <wp:cNvGraphicFramePr/>
                      <a:graphic xmlns:a="http://schemas.openxmlformats.org/drawingml/2006/main">
                        <a:graphicData uri="http://schemas.microsoft.com/office/word/2010/wordprocessingShape">
                          <wps:wsp>
                            <wps:cNvCnPr/>
                            <wps:spPr>
                              <a:xfrm flipV="1">
                                <a:off x="0" y="0"/>
                                <a:ext cx="450215" cy="3175"/>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62.5pt;margin-top:80.75pt;height:0.25pt;width:35.45pt;z-index:251687936;mso-width-relative:page;mso-height-relative:page;" filled="f" stroked="t" coordsize="21600,21600" o:gfxdata="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RK/09oAAAALAQAADwAAAAAAAAABACAA&#10;AAAiAAAAZHJzL2Rvd25yZXYueG1sUEsBAhQAFAAAAAgAh07iQEtSAGcLAgAAAAQAAA4AAAAAAAAA&#10;AQAgAAAAKQEAAGRycy9lMm9Eb2MueG1sUEsFBgAAAAAGAAYAWQEAAKYFAAAAAA==&#10;">
                      <v:fill on="f" focussize="0,0"/>
                      <v:stroke weight="0.25pt" color="#000000" joinstyle="round" endarrow="block"/>
                      <v:imagedata o:title=""/>
                      <o:lock v:ext="edit" aspectratio="f"/>
                    </v:shape>
                  </w:pict>
                </mc:Fallback>
              </mc:AlternateContent>
            </w:r>
            <w:r>
              <w:rPr>
                <w:rFonts w:ascii="Times New Roman" w:hAnsi="Times New Roman" w:eastAsia="宋体"/>
                <w:bCs/>
                <w:color w:val="000000" w:themeColor="text1"/>
                <w:kern w:val="2"/>
                <w:highlight w:val="none"/>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301625</wp:posOffset>
                      </wp:positionH>
                      <wp:positionV relativeFrom="paragraph">
                        <wp:posOffset>870585</wp:posOffset>
                      </wp:positionV>
                      <wp:extent cx="492125" cy="316230"/>
                      <wp:effectExtent l="5080" t="4445" r="5715" b="14605"/>
                      <wp:wrapNone/>
                      <wp:docPr id="178" name="文本框 178"/>
                      <wp:cNvGraphicFramePr/>
                      <a:graphic xmlns:a="http://schemas.openxmlformats.org/drawingml/2006/main">
                        <a:graphicData uri="http://schemas.microsoft.com/office/word/2010/wordprocessingShape">
                          <wps:wsp>
                            <wps:cNvSpPr txBox="1"/>
                            <wps:spPr>
                              <a:xfrm>
                                <a:off x="0" y="0"/>
                                <a:ext cx="492125" cy="316230"/>
                              </a:xfrm>
                              <a:prstGeom prst="rect">
                                <a:avLst/>
                              </a:prstGeom>
                              <a:noFill/>
                              <a:ln w="3175" cap="flat" cmpd="sng">
                                <a:solidFill>
                                  <a:srgbClr val="000000"/>
                                </a:solidFill>
                                <a:prstDash val="solid"/>
                                <a:miter/>
                                <a:headEnd type="none" w="med" len="med"/>
                                <a:tailEnd type="none" w="med" len="med"/>
                              </a:ln>
                            </wps:spPr>
                            <wps:txbx>
                              <w:txbxContent>
                                <w:p>
                                  <w:pPr>
                                    <w:rPr>
                                      <w:rFonts w:hint="eastAsia" w:ascii="宋体" w:hAnsi="宋体" w:cs="宋体"/>
                                      <w:szCs w:val="21"/>
                                    </w:rPr>
                                  </w:pPr>
                                  <w:r>
                                    <w:rPr>
                                      <w:rFonts w:hint="eastAsia" w:ascii="宋体" w:hAnsi="宋体" w:cs="宋体"/>
                                    </w:rPr>
                                    <w:t>测量</w:t>
                                  </w:r>
                                </w:p>
                              </w:txbxContent>
                            </wps:txbx>
                            <wps:bodyPr upright="1"/>
                          </wps:wsp>
                        </a:graphicData>
                      </a:graphic>
                    </wp:anchor>
                  </w:drawing>
                </mc:Choice>
                <mc:Fallback>
                  <w:pict>
                    <v:shape id="_x0000_s1026" o:spid="_x0000_s1026" o:spt="202" type="#_x0000_t202" style="position:absolute;left:0pt;margin-left:23.75pt;margin-top:68.55pt;height:24.9pt;width:38.75pt;z-index:251686912;mso-width-relative:page;mso-height-relative:page;" filled="f" stroked="t" coordsize="21600,21600" o:gfxdata="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GdJl9kAAAAKAQAADwAAAAAAAAABACAAAAAiAAAA&#10;ZHJzL2Rvd25yZXYueG1sUEsBAhQAFAAAAAgAh07iQDgEpwwGAgAAEAQAAA4AAAAAAAAAAQAgAAAA&#10;KAEAAGRycy9lMm9Eb2MueG1sUEsFBgAAAAAGAAYAWQEAAKAFAAAAAA==&#10;">
                      <v:fill on="f" focussize="0,0"/>
                      <v:stroke weight="0.25pt" color="#000000" joinstyle="miter"/>
                      <v:imagedata o:title=""/>
                      <o:lock v:ext="edit" aspectratio="f"/>
                      <v:textbox>
                        <w:txbxContent>
                          <w:p>
                            <w:pPr>
                              <w:rPr>
                                <w:rFonts w:hint="eastAsia" w:ascii="宋体" w:hAnsi="宋体" w:cs="宋体"/>
                                <w:szCs w:val="21"/>
                              </w:rPr>
                            </w:pPr>
                            <w:r>
                              <w:rPr>
                                <w:rFonts w:hint="eastAsia" w:ascii="宋体" w:hAnsi="宋体" w:cs="宋体"/>
                              </w:rPr>
                              <w:t>测量</w:t>
                            </w:r>
                          </w:p>
                        </w:txbxContent>
                      </v:textbox>
                    </v:shape>
                  </w:pict>
                </mc:Fallback>
              </mc:AlternateContent>
            </w:r>
            <w:r>
              <w:rPr>
                <w:rFonts w:ascii="Times New Roman" w:hAnsi="Times New Roman" w:eastAsia="宋体"/>
                <w:bCs/>
                <w:color w:val="000000" w:themeColor="text1"/>
                <w:kern w:val="2"/>
                <w:highlight w:val="none"/>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3210560</wp:posOffset>
                      </wp:positionH>
                      <wp:positionV relativeFrom="paragraph">
                        <wp:posOffset>1024255</wp:posOffset>
                      </wp:positionV>
                      <wp:extent cx="325120" cy="3175"/>
                      <wp:effectExtent l="0" t="37465" r="10160" b="35560"/>
                      <wp:wrapNone/>
                      <wp:docPr id="173" name="直接箭头连接符 173"/>
                      <wp:cNvGraphicFramePr/>
                      <a:graphic xmlns:a="http://schemas.openxmlformats.org/drawingml/2006/main">
                        <a:graphicData uri="http://schemas.microsoft.com/office/word/2010/wordprocessingShape">
                          <wps:wsp>
                            <wps:cNvCnPr>
                              <a:endCxn id="172" idx="1"/>
                            </wps:cNvCnPr>
                            <wps:spPr>
                              <a:xfrm flipV="1">
                                <a:off x="0" y="0"/>
                                <a:ext cx="325120" cy="3175"/>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52.8pt;margin-top:80.65pt;height:0.25pt;width:25.6pt;z-index:251692032;mso-width-relative:page;mso-height-relative:page;" filled="f" stroked="t" coordsize="21600,21600" o:gfxdata="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qv2Z9kAAAAL&#10;AQAADwAAAAAAAAABACAAAAAiAAAAZHJzL2Rvd25yZXYueG1sUEsBAhQAFAAAAAgAh07iQJMmgCgb&#10;AgAAKQQAAA4AAAAAAAAAAQAgAAAAKAEAAGRycy9lMm9Eb2MueG1sUEsFBgAAAAAGAAYAWQEAALUF&#10;AAAAAA==&#10;">
                      <v:fill on="f" focussize="0,0"/>
                      <v:stroke weight="0.25pt" color="#000000" joinstyle="round" endarrow="block"/>
                      <v:imagedata o:title=""/>
                      <o:lock v:ext="edit" aspectratio="f"/>
                    </v:shape>
                  </w:pict>
                </mc:Fallback>
              </mc:AlternateContent>
            </w:r>
            <w:r>
              <w:rPr>
                <w:rFonts w:ascii="Times New Roman" w:hAnsi="Times New Roman" w:eastAsia="宋体"/>
                <w:bCs/>
                <w:color w:val="000000" w:themeColor="text1"/>
                <w:kern w:val="2"/>
                <w:highlight w:val="none"/>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2447290</wp:posOffset>
                      </wp:positionH>
                      <wp:positionV relativeFrom="paragraph">
                        <wp:posOffset>880110</wp:posOffset>
                      </wp:positionV>
                      <wp:extent cx="763270" cy="294005"/>
                      <wp:effectExtent l="5080" t="4445" r="8890" b="6350"/>
                      <wp:wrapNone/>
                      <wp:docPr id="174" name="文本框 174"/>
                      <wp:cNvGraphicFramePr/>
                      <a:graphic xmlns:a="http://schemas.openxmlformats.org/drawingml/2006/main">
                        <a:graphicData uri="http://schemas.microsoft.com/office/word/2010/wordprocessingShape">
                          <wps:wsp>
                            <wps:cNvSpPr txBox="1"/>
                            <wps:spPr>
                              <a:xfrm>
                                <a:off x="0" y="0"/>
                                <a:ext cx="763270" cy="294005"/>
                              </a:xfrm>
                              <a:prstGeom prst="rect">
                                <a:avLst/>
                              </a:prstGeom>
                              <a:noFill/>
                              <a:ln w="3175" cap="flat" cmpd="sng">
                                <a:solidFill>
                                  <a:srgbClr val="000000"/>
                                </a:solidFill>
                                <a:prstDash val="solid"/>
                                <a:miter/>
                                <a:headEnd type="none" w="med" len="med"/>
                                <a:tailEnd type="none" w="med" len="med"/>
                              </a:ln>
                            </wps:spPr>
                            <wps:txbx>
                              <w:txbxContent>
                                <w:p>
                                  <w:pPr>
                                    <w:pStyle w:val="32"/>
                                    <w:rPr>
                                      <w:rFonts w:hint="eastAsia" w:ascii="Times New Roman" w:eastAsia="宋体"/>
                                      <w:color w:val="auto"/>
                                      <w:kern w:val="2"/>
                                      <w:sz w:val="21"/>
                                    </w:rPr>
                                  </w:pPr>
                                  <w:r>
                                    <w:rPr>
                                      <w:rFonts w:hint="eastAsia" w:ascii="Times New Roman" w:eastAsia="宋体"/>
                                      <w:color w:val="auto"/>
                                      <w:kern w:val="2"/>
                                      <w:sz w:val="21"/>
                                    </w:rPr>
                                    <w:t>管</w:t>
                                  </w:r>
                                  <w:r>
                                    <w:rPr>
                                      <w:rFonts w:hint="eastAsia" w:ascii="Times New Roman" w:eastAsia="宋体"/>
                                      <w:color w:val="auto"/>
                                      <w:kern w:val="2"/>
                                      <w:sz w:val="21"/>
                                      <w:lang w:val="en-US" w:eastAsia="zh-CN"/>
                                    </w:rPr>
                                    <w:t>线</w:t>
                                  </w:r>
                                  <w:r>
                                    <w:rPr>
                                      <w:rFonts w:hint="eastAsia" w:ascii="Times New Roman" w:eastAsia="宋体"/>
                                      <w:color w:val="auto"/>
                                      <w:kern w:val="2"/>
                                      <w:sz w:val="21"/>
                                    </w:rPr>
                                    <w:t>建设</w:t>
                                  </w:r>
                                </w:p>
                              </w:txbxContent>
                            </wps:txbx>
                            <wps:bodyPr upright="1"/>
                          </wps:wsp>
                        </a:graphicData>
                      </a:graphic>
                    </wp:anchor>
                  </w:drawing>
                </mc:Choice>
                <mc:Fallback>
                  <w:pict>
                    <v:shape id="_x0000_s1026" o:spid="_x0000_s1026" o:spt="202" type="#_x0000_t202" style="position:absolute;left:0pt;margin-left:192.7pt;margin-top:69.3pt;height:23.15pt;width:60.1pt;z-index:251691008;mso-width-relative:page;mso-height-relative:page;" filled="f" stroked="t" coordsize="21600,21600" o:gfxdata="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&#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WyYtT2QAAAAsBAAAPAAAAAAAAAAEAIAAAACIAAABk&#10;cnMvZG93bnJldi54bWxQSwECFAAUAAAACACHTuJA0SM8YQUCAAAQBAAADgAAAAAAAAABACAAAAAo&#10;AQAAZHJzL2Uyb0RvYy54bWxQSwUGAAAAAAYABgBZAQAAnwUAAAAA&#10;">
                      <v:fill on="f" focussize="0,0"/>
                      <v:stroke weight="0.25pt" color="#000000" joinstyle="miter"/>
                      <v:imagedata o:title=""/>
                      <o:lock v:ext="edit" aspectratio="f"/>
                      <v:textbox>
                        <w:txbxContent>
                          <w:p>
                            <w:pPr>
                              <w:pStyle w:val="32"/>
                              <w:rPr>
                                <w:rFonts w:hint="eastAsia" w:ascii="Times New Roman" w:eastAsia="宋体"/>
                                <w:color w:val="auto"/>
                                <w:kern w:val="2"/>
                                <w:sz w:val="21"/>
                              </w:rPr>
                            </w:pPr>
                            <w:r>
                              <w:rPr>
                                <w:rFonts w:hint="eastAsia" w:ascii="Times New Roman" w:eastAsia="宋体"/>
                                <w:color w:val="auto"/>
                                <w:kern w:val="2"/>
                                <w:sz w:val="21"/>
                              </w:rPr>
                              <w:t>管</w:t>
                            </w:r>
                            <w:r>
                              <w:rPr>
                                <w:rFonts w:hint="eastAsia" w:ascii="Times New Roman" w:eastAsia="宋体"/>
                                <w:color w:val="auto"/>
                                <w:kern w:val="2"/>
                                <w:sz w:val="21"/>
                                <w:lang w:val="en-US" w:eastAsia="zh-CN"/>
                              </w:rPr>
                              <w:t>线</w:t>
                            </w:r>
                            <w:r>
                              <w:rPr>
                                <w:rFonts w:hint="eastAsia" w:ascii="Times New Roman" w:eastAsia="宋体"/>
                                <w:color w:val="auto"/>
                                <w:kern w:val="2"/>
                                <w:sz w:val="21"/>
                              </w:rPr>
                              <w:t>建设</w:t>
                            </w:r>
                          </w:p>
                        </w:txbxContent>
                      </v:textbox>
                    </v:shape>
                  </w:pict>
                </mc:Fallback>
              </mc:AlternateConten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图2-18  管线工程施工工艺流程及产污节点图</w:t>
            </w:r>
          </w:p>
          <w:p>
            <w:pPr>
              <w:pStyle w:val="32"/>
              <w:keepNext w:val="0"/>
              <w:keepLines w:val="0"/>
              <w:suppressLineNumbers w:val="0"/>
              <w:tabs>
                <w:tab w:val="left" w:pos="3147"/>
              </w:tabs>
              <w:spacing w:before="0" w:beforeAutospacing="0" w:after="0" w:afterAutospacing="0" w:line="360" w:lineRule="auto"/>
              <w:ind w:left="0" w:right="0" w:firstLine="482" w:firstLineChars="200"/>
              <w:rPr>
                <w:rFonts w:ascii="Times New Roman" w:hAnsi="Times New Roman" w:eastAsia="宋体"/>
                <w:b/>
                <w:color w:val="000000" w:themeColor="text1"/>
                <w:kern w:val="2"/>
                <w:highlight w:val="none"/>
                <w14:textFill>
                  <w14:solidFill>
                    <w14:schemeClr w14:val="tx1"/>
                  </w14:solidFill>
                </w14:textFill>
              </w:rPr>
            </w:pPr>
            <w:r>
              <w:rPr>
                <w:rFonts w:ascii="Times New Roman" w:hAnsi="Times New Roman" w:eastAsia="宋体"/>
                <w:b/>
                <w:color w:val="000000" w:themeColor="text1"/>
                <w:kern w:val="2"/>
                <w:highlight w:val="none"/>
                <w14:textFill>
                  <w14:solidFill>
                    <w14:schemeClr w14:val="tx1"/>
                  </w14:solidFill>
                </w14:textFill>
              </w:rPr>
              <w:t>主要工艺流程简述：</w:t>
            </w:r>
          </w:p>
          <w:p>
            <w:pPr>
              <w:pStyle w:val="32"/>
              <w:keepNext w:val="0"/>
              <w:keepLines w:val="0"/>
              <w:suppressLineNumbers w:val="0"/>
              <w:spacing w:before="0" w:beforeAutospacing="0" w:after="0" w:afterAutospacing="0" w:line="360" w:lineRule="auto"/>
              <w:ind w:left="0" w:right="0" w:firstLine="480"/>
              <w:rPr>
                <w:rFonts w:ascii="Times New Roman" w:hAnsi="Times New Roman" w:eastAsia="宋体"/>
                <w:color w:val="000000" w:themeColor="text1"/>
                <w:kern w:val="2"/>
                <w:highlight w:val="none"/>
                <w14:textFill>
                  <w14:solidFill>
                    <w14:schemeClr w14:val="tx1"/>
                  </w14:solidFill>
                </w14:textFill>
              </w:rPr>
            </w:pPr>
            <w:r>
              <w:rPr>
                <w:rFonts w:ascii="Times New Roman" w:hAnsi="Times New Roman" w:eastAsia="宋体"/>
                <w:b/>
                <w:color w:val="000000" w:themeColor="text1"/>
                <w:kern w:val="2"/>
                <w:highlight w:val="none"/>
                <w14:textFill>
                  <w14:solidFill>
                    <w14:schemeClr w14:val="tx1"/>
                  </w14:solidFill>
                </w14:textFill>
              </w:rPr>
              <w:t>测量：</w:t>
            </w:r>
            <w:r>
              <w:rPr>
                <w:rFonts w:ascii="Times New Roman" w:hAnsi="Times New Roman" w:eastAsia="宋体"/>
                <w:color w:val="000000" w:themeColor="text1"/>
                <w:kern w:val="2"/>
                <w:highlight w:val="none"/>
                <w14:textFill>
                  <w14:solidFill>
                    <w14:schemeClr w14:val="tx1"/>
                  </w14:solidFill>
                </w14:textFill>
              </w:rPr>
              <w:t>根据</w:t>
            </w:r>
            <w:r>
              <w:rPr>
                <w:rFonts w:hint="eastAsia" w:ascii="Times New Roman" w:hAnsi="Times New Roman" w:eastAsia="宋体"/>
                <w:color w:val="000000" w:themeColor="text1"/>
                <w:kern w:val="2"/>
                <w:highlight w:val="none"/>
                <w:lang w:val="en-US" w:eastAsia="zh-CN"/>
                <w14:textFill>
                  <w14:solidFill>
                    <w14:schemeClr w14:val="tx1"/>
                  </w14:solidFill>
                </w14:textFill>
              </w:rPr>
              <w:t>管线</w:t>
            </w:r>
            <w:r>
              <w:rPr>
                <w:rFonts w:ascii="Times New Roman" w:hAnsi="Times New Roman" w:eastAsia="宋体"/>
                <w:color w:val="000000" w:themeColor="text1"/>
                <w:kern w:val="2"/>
                <w:highlight w:val="none"/>
                <w14:textFill>
                  <w14:solidFill>
                    <w14:schemeClr w14:val="tx1"/>
                  </w14:solidFill>
                </w14:textFill>
              </w:rPr>
              <w:t>设计线路，进行实地测量。</w:t>
            </w:r>
          </w:p>
          <w:p>
            <w:pPr>
              <w:pStyle w:val="32"/>
              <w:keepNext w:val="0"/>
              <w:keepLines w:val="0"/>
              <w:suppressLineNumbers w:val="0"/>
              <w:spacing w:before="0" w:beforeAutospacing="0" w:after="0" w:afterAutospacing="0" w:line="360" w:lineRule="auto"/>
              <w:ind w:left="0" w:right="0" w:firstLine="480"/>
              <w:rPr>
                <w:rFonts w:ascii="Times New Roman" w:hAnsi="Times New Roman" w:eastAsia="宋体"/>
                <w:color w:val="000000" w:themeColor="text1"/>
                <w:kern w:val="2"/>
                <w:highlight w:val="none"/>
                <w14:textFill>
                  <w14:solidFill>
                    <w14:schemeClr w14:val="tx1"/>
                  </w14:solidFill>
                </w14:textFill>
              </w:rPr>
            </w:pPr>
            <w:r>
              <w:rPr>
                <w:rFonts w:ascii="Times New Roman" w:hAnsi="Times New Roman" w:eastAsia="宋体"/>
                <w:b/>
                <w:color w:val="000000" w:themeColor="text1"/>
                <w:kern w:val="2"/>
                <w:highlight w:val="none"/>
                <w14:textFill>
                  <w14:solidFill>
                    <w14:schemeClr w14:val="tx1"/>
                  </w14:solidFill>
                </w14:textFill>
              </w:rPr>
              <w:t>管道开挖：</w:t>
            </w:r>
            <w:r>
              <w:rPr>
                <w:rFonts w:ascii="Times New Roman" w:hAnsi="Times New Roman" w:eastAsia="宋体"/>
                <w:color w:val="000000" w:themeColor="text1"/>
                <w:kern w:val="2"/>
                <w:highlight w:val="none"/>
                <w14:textFill>
                  <w14:solidFill>
                    <w14:schemeClr w14:val="tx1"/>
                  </w14:solidFill>
                </w14:textFill>
              </w:rPr>
              <w:t>主要采用挖掘机，辅助人工进行挖掘。</w:t>
            </w:r>
          </w:p>
          <w:p>
            <w:pPr>
              <w:pStyle w:val="32"/>
              <w:keepNext w:val="0"/>
              <w:keepLines w:val="0"/>
              <w:suppressLineNumbers w:val="0"/>
              <w:spacing w:before="0" w:beforeAutospacing="0" w:after="0" w:afterAutospacing="0" w:line="360" w:lineRule="auto"/>
              <w:ind w:left="0" w:right="0" w:firstLine="480"/>
              <w:rPr>
                <w:rFonts w:ascii="Times New Roman" w:hAnsi="Times New Roman" w:eastAsia="宋体"/>
                <w:color w:val="000000" w:themeColor="text1"/>
                <w:kern w:val="2"/>
                <w:highlight w:val="none"/>
                <w14:textFill>
                  <w14:solidFill>
                    <w14:schemeClr w14:val="tx1"/>
                  </w14:solidFill>
                </w14:textFill>
              </w:rPr>
            </w:pPr>
            <w:r>
              <w:rPr>
                <w:rFonts w:ascii="Times New Roman" w:hAnsi="Times New Roman" w:eastAsia="宋体"/>
                <w:b/>
                <w:color w:val="000000" w:themeColor="text1"/>
                <w:kern w:val="2"/>
                <w:highlight w:val="none"/>
                <w14:textFill>
                  <w14:solidFill>
                    <w14:schemeClr w14:val="tx1"/>
                  </w14:solidFill>
                </w14:textFill>
              </w:rPr>
              <w:t>管</w:t>
            </w:r>
            <w:r>
              <w:rPr>
                <w:rFonts w:hint="eastAsia" w:ascii="Times New Roman" w:hAnsi="Times New Roman" w:eastAsia="宋体"/>
                <w:b/>
                <w:color w:val="000000" w:themeColor="text1"/>
                <w:kern w:val="2"/>
                <w:highlight w:val="none"/>
                <w:lang w:val="en-US" w:eastAsia="zh-CN"/>
                <w14:textFill>
                  <w14:solidFill>
                    <w14:schemeClr w14:val="tx1"/>
                  </w14:solidFill>
                </w14:textFill>
              </w:rPr>
              <w:t>线</w:t>
            </w:r>
            <w:r>
              <w:rPr>
                <w:rFonts w:ascii="Times New Roman" w:hAnsi="Times New Roman" w:eastAsia="宋体"/>
                <w:b/>
                <w:color w:val="000000" w:themeColor="text1"/>
                <w:kern w:val="2"/>
                <w:highlight w:val="none"/>
                <w14:textFill>
                  <w14:solidFill>
                    <w14:schemeClr w14:val="tx1"/>
                  </w14:solidFill>
                </w14:textFill>
              </w:rPr>
              <w:t>建设：</w:t>
            </w:r>
            <w:r>
              <w:rPr>
                <w:rFonts w:ascii="Times New Roman" w:hAnsi="Times New Roman" w:eastAsia="宋体"/>
                <w:color w:val="000000" w:themeColor="text1"/>
                <w:kern w:val="2"/>
                <w:highlight w:val="none"/>
                <w14:textFill>
                  <w14:solidFill>
                    <w14:schemeClr w14:val="tx1"/>
                  </w14:solidFill>
                </w14:textFill>
              </w:rPr>
              <w:t>标准段采用预制结构，节点位置采用现浇形式，节点</w:t>
            </w:r>
            <w:r>
              <w:rPr>
                <w:rFonts w:hint="eastAsia" w:ascii="Times New Roman" w:hAnsi="Times New Roman" w:eastAsia="宋体"/>
                <w:color w:val="000000" w:themeColor="text1"/>
                <w:kern w:val="2"/>
                <w:highlight w:val="none"/>
                <w:lang w:val="en-US" w:eastAsia="zh-CN"/>
                <w14:textFill>
                  <w14:solidFill>
                    <w14:schemeClr w14:val="tx1"/>
                  </w14:solidFill>
                </w14:textFill>
              </w:rPr>
              <w:t>为检查井</w:t>
            </w:r>
            <w:r>
              <w:rPr>
                <w:rFonts w:ascii="Times New Roman" w:hAnsi="Times New Roman" w:eastAsia="宋体"/>
                <w:color w:val="000000" w:themeColor="text1"/>
                <w:kern w:val="2"/>
                <w:highlight w:val="none"/>
                <w14:textFill>
                  <w14:solidFill>
                    <w14:schemeClr w14:val="tx1"/>
                  </w14:solidFill>
                </w14:textFill>
              </w:rPr>
              <w:t>。</w:t>
            </w:r>
          </w:p>
          <w:p>
            <w:pPr>
              <w:pStyle w:val="32"/>
              <w:keepNext w:val="0"/>
              <w:keepLines w:val="0"/>
              <w:suppressLineNumbers w:val="0"/>
              <w:spacing w:before="0" w:beforeAutospacing="0" w:after="0" w:afterAutospacing="0" w:line="360" w:lineRule="auto"/>
              <w:ind w:left="0" w:right="0" w:firstLine="480"/>
              <w:rPr>
                <w:rFonts w:ascii="Times New Roman" w:hAnsi="Times New Roman" w:eastAsia="宋体"/>
                <w:color w:val="000000" w:themeColor="text1"/>
                <w:kern w:val="2"/>
                <w:highlight w:val="none"/>
                <w14:textFill>
                  <w14:solidFill>
                    <w14:schemeClr w14:val="tx1"/>
                  </w14:solidFill>
                </w14:textFill>
              </w:rPr>
            </w:pPr>
            <w:r>
              <w:rPr>
                <w:rFonts w:ascii="Times New Roman" w:hAnsi="Times New Roman" w:eastAsia="宋体"/>
                <w:b/>
                <w:color w:val="000000" w:themeColor="text1"/>
                <w:kern w:val="2"/>
                <w:highlight w:val="none"/>
                <w14:textFill>
                  <w14:solidFill>
                    <w14:schemeClr w14:val="tx1"/>
                  </w14:solidFill>
                </w14:textFill>
              </w:rPr>
              <w:t>附属设施：</w:t>
            </w:r>
            <w:r>
              <w:rPr>
                <w:rFonts w:ascii="Times New Roman" w:hAnsi="Times New Roman" w:eastAsia="宋体"/>
                <w:color w:val="000000" w:themeColor="text1"/>
                <w:kern w:val="2"/>
                <w:highlight w:val="none"/>
                <w14:textFill>
                  <w14:solidFill>
                    <w14:schemeClr w14:val="tx1"/>
                  </w14:solidFill>
                </w14:textFill>
              </w:rPr>
              <w:t>主要是</w:t>
            </w:r>
            <w:r>
              <w:rPr>
                <w:rFonts w:hint="eastAsia" w:ascii="Times New Roman" w:hAnsi="Times New Roman" w:eastAsia="宋体"/>
                <w:color w:val="000000" w:themeColor="text1"/>
                <w:kern w:val="2"/>
                <w:highlight w:val="none"/>
                <w:lang w:val="en-US" w:eastAsia="zh-CN"/>
                <w14:textFill>
                  <w14:solidFill>
                    <w14:schemeClr w14:val="tx1"/>
                  </w14:solidFill>
                </w14:textFill>
              </w:rPr>
              <w:t>管材及接口、管道基础、检查井、雨水口、跌水井</w:t>
            </w:r>
            <w:r>
              <w:rPr>
                <w:rFonts w:ascii="Times New Roman" w:hAnsi="Times New Roman" w:eastAsia="宋体"/>
                <w:color w:val="000000" w:themeColor="text1"/>
                <w:kern w:val="2"/>
                <w:highlight w:val="none"/>
                <w14:textFill>
                  <w14:solidFill>
                    <w14:schemeClr w14:val="tx1"/>
                  </w14:solidFill>
                </w14:textFill>
              </w:rPr>
              <w:t>建设。</w:t>
            </w:r>
          </w:p>
          <w:p>
            <w:pPr>
              <w:keepNext w:val="0"/>
              <w:keepLines w:val="0"/>
              <w:suppressLineNumbers w:val="0"/>
              <w:spacing w:before="0" w:beforeAutospacing="0" w:after="0" w:afterAutospacing="0" w:line="360" w:lineRule="auto"/>
              <w:ind w:left="0" w:right="0" w:firstLine="482" w:firstLineChars="200"/>
              <w:rPr>
                <w:rFonts w:ascii="Times New Roman" w:hAnsi="Times New Roman"/>
                <w:color w:val="000000" w:themeColor="text1"/>
                <w:sz w:val="24"/>
                <w:highlight w:val="none"/>
                <w14:textFill>
                  <w14:solidFill>
                    <w14:schemeClr w14:val="tx1"/>
                  </w14:solidFill>
                </w14:textFill>
              </w:rPr>
            </w:pPr>
            <w:r>
              <w:rPr>
                <w:rFonts w:ascii="Times New Roman" w:hAnsi="Times New Roman"/>
                <w:b/>
                <w:bCs/>
                <w:color w:val="000000" w:themeColor="text1"/>
                <w:sz w:val="24"/>
                <w:highlight w:val="none"/>
                <w14:textFill>
                  <w14:solidFill>
                    <w14:schemeClr w14:val="tx1"/>
                  </w14:solidFill>
                </w14:textFill>
              </w:rPr>
              <w:t>3、施工期主要污染工序</w:t>
            </w:r>
          </w:p>
          <w:p>
            <w:pPr>
              <w:keepNext w:val="0"/>
              <w:keepLines w:val="0"/>
              <w:suppressLineNumbers w:val="0"/>
              <w:spacing w:before="0" w:beforeAutospacing="0" w:after="0" w:afterAutospacing="0" w:line="360" w:lineRule="auto"/>
              <w:ind w:left="0" w:right="0" w:firstLine="480" w:firstLineChars="2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废气：主要为扬尘、汽车及施工机械废气、沥青烟；</w:t>
            </w:r>
          </w:p>
          <w:p>
            <w:pPr>
              <w:keepNext w:val="0"/>
              <w:keepLines w:val="0"/>
              <w:suppressLineNumbers w:val="0"/>
              <w:spacing w:before="0" w:beforeAutospacing="0" w:after="0" w:afterAutospacing="0" w:line="360" w:lineRule="auto"/>
              <w:ind w:left="0" w:right="0" w:firstLine="480" w:firstLineChars="2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噪声：主要为施工机械设备噪声、车辆运输噪声；</w:t>
            </w:r>
          </w:p>
          <w:p>
            <w:pPr>
              <w:keepNext w:val="0"/>
              <w:keepLines w:val="0"/>
              <w:suppressLineNumbers w:val="0"/>
              <w:spacing w:before="0" w:beforeAutospacing="0" w:after="0" w:afterAutospacing="0" w:line="360" w:lineRule="auto"/>
              <w:ind w:left="0" w:right="0" w:firstLine="480" w:firstLineChars="2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废水：主要为施工废水、施工人员生活污水、基坑废水；</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cs="宋体"/>
                <w:b w:val="0"/>
                <w:bCs w:val="0"/>
                <w:color w:val="000000" w:themeColor="text1"/>
                <w:kern w:val="2"/>
                <w:sz w:val="24"/>
                <w:szCs w:val="24"/>
                <w:highlight w:val="none"/>
                <w:lang w:val="en-US" w:eastAsia="zh-CN" w:bidi="ar"/>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固体废物：弃土、建筑弃渣、生活垃圾。</w:t>
            </w:r>
          </w:p>
          <w:p>
            <w:pPr>
              <w:keepNext w:val="0"/>
              <w:keepLines w:val="0"/>
              <w:suppressLineNumbers w:val="0"/>
              <w:spacing w:before="0" w:beforeAutospacing="0" w:after="0" w:afterAutospacing="0" w:line="360" w:lineRule="auto"/>
              <w:ind w:left="0" w:right="0" w:firstLine="482" w:firstLineChars="200"/>
              <w:rPr>
                <w:b/>
                <w:color w:val="000000" w:themeColor="text1"/>
                <w:sz w:val="24"/>
                <w:highlight w:val="none"/>
                <w14:textFill>
                  <w14:solidFill>
                    <w14:schemeClr w14:val="tx1"/>
                  </w14:solidFill>
                </w14:textFill>
              </w:rPr>
            </w:pPr>
            <w:r>
              <w:rPr>
                <w:rFonts w:hint="eastAsia"/>
                <w:b/>
                <w:color w:val="000000" w:themeColor="text1"/>
                <w:sz w:val="24"/>
                <w:highlight w:val="none"/>
                <w:lang w:val="en-US" w:eastAsia="zh-CN"/>
                <w14:textFill>
                  <w14:solidFill>
                    <w14:schemeClr w14:val="tx1"/>
                  </w14:solidFill>
                </w14:textFill>
              </w:rPr>
              <w:t>二</w:t>
            </w:r>
            <w:r>
              <w:rPr>
                <w:b/>
                <w:color w:val="000000" w:themeColor="text1"/>
                <w:sz w:val="24"/>
                <w:highlight w:val="none"/>
                <w14:textFill>
                  <w14:solidFill>
                    <w14:schemeClr w14:val="tx1"/>
                  </w14:solidFill>
                </w14:textFill>
              </w:rPr>
              <w:t>、</w:t>
            </w:r>
            <w:r>
              <w:rPr>
                <w:rFonts w:hint="eastAsia"/>
                <w:b/>
                <w:color w:val="000000" w:themeColor="text1"/>
                <w:sz w:val="24"/>
                <w:highlight w:val="none"/>
                <w:lang w:val="en-US" w:eastAsia="zh-CN"/>
                <w14:textFill>
                  <w14:solidFill>
                    <w14:schemeClr w14:val="tx1"/>
                  </w14:solidFill>
                </w14:textFill>
              </w:rPr>
              <w:t>运营</w:t>
            </w:r>
            <w:r>
              <w:rPr>
                <w:b/>
                <w:color w:val="000000" w:themeColor="text1"/>
                <w:sz w:val="24"/>
                <w:highlight w:val="none"/>
                <w14:textFill>
                  <w14:solidFill>
                    <w14:schemeClr w14:val="tx1"/>
                  </w14:solidFill>
                </w14:textFill>
              </w:rPr>
              <w:t>期工程分析</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b/>
                <w:bCs/>
                <w:color w:val="000000" w:themeColor="text1"/>
                <w:sz w:val="24"/>
                <w:highlight w:val="none"/>
                <w:lang w:val="en-US" w:eastAsia="zh-CN"/>
                <w14:textFill>
                  <w14:solidFill>
                    <w14:schemeClr w14:val="tx1"/>
                  </w14:solidFill>
                </w14:textFill>
              </w:rPr>
            </w:pPr>
            <w:r>
              <w:rPr>
                <w:rFonts w:hint="eastAsia" w:ascii="Times New Roman" w:hAnsi="Times New Roman"/>
                <w:b/>
                <w:bCs/>
                <w:color w:val="000000" w:themeColor="text1"/>
                <w:sz w:val="24"/>
                <w:highlight w:val="none"/>
                <w:lang w:val="en-US" w:eastAsia="zh-CN"/>
                <w14:textFill>
                  <w14:solidFill>
                    <w14:schemeClr w14:val="tx1"/>
                  </w14:solidFill>
                </w14:textFill>
              </w:rPr>
              <w:t>1、运营期工艺流程</w:t>
            </w:r>
          </w:p>
          <w:p>
            <w:pPr>
              <w:keepNext w:val="0"/>
              <w:keepLines w:val="0"/>
              <w:suppressLineNumbers w:val="0"/>
              <w:spacing w:before="0" w:beforeAutospacing="0" w:after="0" w:afterAutospacing="0" w:line="360" w:lineRule="auto"/>
              <w:ind w:left="0" w:right="0" w:firstLine="480" w:firstLineChars="2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本项目为道路建设工程，其营运期主要污染因素包括：汽车尾气、路面径流、交通噪声、路面垃圾和运输过程中对区域地表水水质可能带来的环境风险，项目营运期产污环节图见图</w:t>
            </w:r>
            <w:r>
              <w:rPr>
                <w:rFonts w:hint="eastAsia"/>
                <w:color w:val="000000" w:themeColor="text1"/>
                <w:sz w:val="24"/>
                <w:highlight w:val="none"/>
                <w:lang w:val="en-US" w:eastAsia="zh-CN"/>
                <w14:textFill>
                  <w14:solidFill>
                    <w14:schemeClr w14:val="tx1"/>
                  </w14:solidFill>
                </w14:textFill>
              </w:rPr>
              <w:t>2-19</w:t>
            </w:r>
            <w:r>
              <w:rPr>
                <w:rFonts w:ascii="Times New Roman" w:hAnsi="Times New Roman"/>
                <w:color w:val="000000" w:themeColor="text1"/>
                <w:sz w:val="24"/>
                <w:highlight w:val="none"/>
                <w14:textFill>
                  <w14:solidFill>
                    <w14:schemeClr w14:val="tx1"/>
                  </w14:solidFill>
                </w14:textFill>
              </w:rPr>
              <w:t>。</w:t>
            </w:r>
          </w:p>
          <w:p>
            <w:pPr>
              <w:keepNext w:val="0"/>
              <w:keepLines w:val="0"/>
              <w:widowControl/>
              <w:suppressLineNumbers w:val="0"/>
              <w:spacing w:before="0" w:beforeAutospacing="0" w:after="0" w:afterAutospacing="0" w:line="360" w:lineRule="auto"/>
              <w:ind w:left="0" w:right="0"/>
              <w:jc w:val="center"/>
              <w:rPr>
                <w:rFonts w:hint="eastAsia"/>
                <w:bCs/>
                <w:color w:val="000000" w:themeColor="text1"/>
                <w:sz w:val="24"/>
                <w:szCs w:val="20"/>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object>
                <v:shape id="_x0000_i1025" o:spt="75" type="#_x0000_t75" style="height:134.05pt;width:383.95pt;" o:ole="t" filled="f" o:preferrelative="t" stroked="f" coordsize="21600,21600">
                  <v:path/>
                  <v:fill on="f" focussize="0,0"/>
                  <v:stroke on="f"/>
                  <v:imagedata r:id="rId30" o:title=""/>
                  <o:lock v:ext="edit" aspectratio="t"/>
                  <w10:wrap type="none"/>
                  <w10:anchorlock/>
                </v:shape>
                <o:OLEObject Type="Embed" ProgID="Visio.Drawing.11" ShapeID="_x0000_i1025" DrawAspect="Content" ObjectID="_1468075725" r:id="rId29">
                  <o:LockedField>false</o:LockedField>
                </o:OLEObject>
              </w:objec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图2-19  项目营运期产污环节图</w:t>
            </w:r>
          </w:p>
          <w:p>
            <w:pPr>
              <w:keepNext w:val="0"/>
              <w:keepLines w:val="0"/>
              <w:suppressLineNumbers w:val="0"/>
              <w:spacing w:before="0" w:beforeAutospacing="0" w:after="0" w:afterAutospacing="0" w:line="360" w:lineRule="auto"/>
              <w:ind w:left="0" w:right="0" w:firstLine="482" w:firstLineChars="200"/>
              <w:rPr>
                <w:rFonts w:ascii="Times New Roman" w:hAnsi="Times New Roman"/>
                <w:b/>
                <w:color w:val="000000" w:themeColor="text1"/>
                <w:sz w:val="24"/>
                <w:highlight w:val="none"/>
                <w14:textFill>
                  <w14:solidFill>
                    <w14:schemeClr w14:val="tx1"/>
                  </w14:solidFill>
                </w14:textFill>
              </w:rPr>
            </w:pPr>
            <w:r>
              <w:rPr>
                <w:rFonts w:ascii="Times New Roman" w:hAnsi="Times New Roman"/>
                <w:b/>
                <w:color w:val="000000" w:themeColor="text1"/>
                <w:sz w:val="24"/>
                <w:highlight w:val="none"/>
                <w14:textFill>
                  <w14:solidFill>
                    <w14:schemeClr w14:val="tx1"/>
                  </w14:solidFill>
                </w14:textFill>
              </w:rPr>
              <w:t>2、营运期主要污染工序</w:t>
            </w:r>
          </w:p>
          <w:p>
            <w:pPr>
              <w:keepNext w:val="0"/>
              <w:keepLines w:val="0"/>
              <w:suppressLineNumbers w:val="0"/>
              <w:spacing w:before="0" w:beforeAutospacing="0" w:after="0" w:afterAutospacing="0" w:line="360" w:lineRule="auto"/>
              <w:ind w:left="0" w:right="0" w:firstLine="480" w:firstLineChars="2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废气：汽车尾气、扬尘；</w:t>
            </w:r>
          </w:p>
          <w:p>
            <w:pPr>
              <w:keepNext w:val="0"/>
              <w:keepLines w:val="0"/>
              <w:suppressLineNumbers w:val="0"/>
              <w:spacing w:before="0" w:beforeAutospacing="0" w:after="0" w:afterAutospacing="0" w:line="360" w:lineRule="auto"/>
              <w:ind w:left="0" w:right="0" w:firstLine="480" w:firstLineChars="2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废水：路面径流；</w:t>
            </w:r>
          </w:p>
          <w:p>
            <w:pPr>
              <w:keepNext w:val="0"/>
              <w:keepLines w:val="0"/>
              <w:suppressLineNumbers w:val="0"/>
              <w:spacing w:before="0" w:beforeAutospacing="0" w:after="0" w:afterAutospacing="0" w:line="360" w:lineRule="auto"/>
              <w:ind w:left="0" w:right="0" w:firstLine="480" w:firstLineChars="2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噪声：交通噪声；</w:t>
            </w:r>
          </w:p>
          <w:p>
            <w:pPr>
              <w:keepNext w:val="0"/>
              <w:keepLines w:val="0"/>
              <w:widowControl/>
              <w:suppressLineNumbers w:val="0"/>
              <w:spacing w:before="0" w:beforeAutospacing="0" w:after="0" w:afterAutospacing="0" w:line="360" w:lineRule="auto"/>
              <w:ind w:left="0" w:right="0" w:firstLine="480" w:firstLineChars="200"/>
              <w:rPr>
                <w:bCs/>
                <w:color w:val="000000" w:themeColor="text1"/>
                <w:sz w:val="24"/>
                <w:szCs w:val="20"/>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固废：车辆洒落物。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503" w:type="dxa"/>
            <w:vAlign w:val="center"/>
          </w:tcPr>
          <w:p>
            <w:pPr>
              <w:keepNext w:val="0"/>
              <w:keepLines w:val="0"/>
              <w:suppressLineNumbers w:val="0"/>
              <w:adjustRightInd w:val="0"/>
              <w:snapToGrid w:val="0"/>
              <w:spacing w:before="0" w:beforeAutospacing="0" w:after="0" w:afterAutospacing="0" w:line="360" w:lineRule="auto"/>
              <w:ind w:left="0" w:right="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其他</w:t>
            </w:r>
          </w:p>
        </w:tc>
        <w:tc>
          <w:tcPr>
            <w:tcW w:w="868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b/>
                <w:bCs w:val="0"/>
                <w:color w:val="000000" w:themeColor="text1"/>
                <w:sz w:val="24"/>
                <w:highlight w:val="none"/>
                <w14:textFill>
                  <w14:solidFill>
                    <w14:schemeClr w14:val="tx1"/>
                  </w14:solidFill>
                </w14:textFill>
              </w:rPr>
            </w:pPr>
            <w:r>
              <w:rPr>
                <w:rFonts w:hint="eastAsia"/>
                <w:b/>
                <w:bCs w:val="0"/>
                <w:color w:val="000000" w:themeColor="text1"/>
                <w:sz w:val="24"/>
                <w:highlight w:val="none"/>
                <w:lang w:eastAsia="zh-CN"/>
                <w14:textFill>
                  <w14:solidFill>
                    <w14:schemeClr w14:val="tx1"/>
                  </w14:solidFill>
                </w14:textFill>
              </w:rPr>
              <w:t>（</w:t>
            </w:r>
            <w:r>
              <w:rPr>
                <w:rFonts w:hint="eastAsia"/>
                <w:b/>
                <w:bCs w:val="0"/>
                <w:color w:val="000000" w:themeColor="text1"/>
                <w:sz w:val="24"/>
                <w:highlight w:val="none"/>
                <w:lang w:val="en-US" w:eastAsia="zh-CN"/>
                <w14:textFill>
                  <w14:solidFill>
                    <w14:schemeClr w14:val="tx1"/>
                  </w14:solidFill>
                </w14:textFill>
              </w:rPr>
              <w:t>一）</w:t>
            </w:r>
            <w:r>
              <w:rPr>
                <w:rFonts w:hint="eastAsia"/>
                <w:b/>
                <w:bCs w:val="0"/>
                <w:color w:val="000000" w:themeColor="text1"/>
                <w:sz w:val="24"/>
                <w:highlight w:val="none"/>
                <w14:textFill>
                  <w14:solidFill>
                    <w14:schemeClr w14:val="tx1"/>
                  </w14:solidFill>
                </w14:textFill>
              </w:rPr>
              <w:t>拆迁时序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按照</w:t>
            </w:r>
            <w:r>
              <w:rPr>
                <w:rFonts w:hint="eastAsia"/>
                <w:color w:val="000000" w:themeColor="text1"/>
                <w:sz w:val="24"/>
                <w:highlight w:val="none"/>
                <w:lang w:val="en-US" w:eastAsia="zh-CN"/>
                <w14:textFill>
                  <w14:solidFill>
                    <w14:schemeClr w14:val="tx1"/>
                  </w14:solidFill>
                </w14:textFill>
              </w:rPr>
              <w:t>《</w:t>
            </w:r>
            <w:r>
              <w:rPr>
                <w:rFonts w:hint="eastAsia" w:ascii="Times New Roman" w:hAnsi="Times New Roman"/>
                <w:color w:val="000000" w:themeColor="text1"/>
                <w:sz w:val="24"/>
                <w:highlight w:val="none"/>
                <w:lang w:val="en-US" w:eastAsia="zh-CN"/>
                <w14:textFill>
                  <w14:solidFill>
                    <w14:schemeClr w14:val="tx1"/>
                  </w14:solidFill>
                </w14:textFill>
              </w:rPr>
              <w:t>关于金南大道西延线四期项目建设用地预审与规划选址初审意见的报告</w:t>
            </w:r>
            <w:r>
              <w:rPr>
                <w:rFonts w:hint="eastAsia"/>
                <w:color w:val="000000" w:themeColor="text1"/>
                <w:sz w:val="24"/>
                <w:highlight w:val="none"/>
                <w:lang w:val="en-US" w:eastAsia="zh-CN"/>
                <w14:textFill>
                  <w14:solidFill>
                    <w14:schemeClr w14:val="tx1"/>
                  </w14:solidFill>
                </w14:textFill>
              </w:rPr>
              <w:t>》（达市通自然资[2023]628号）</w:t>
            </w:r>
            <w:r>
              <w:rPr>
                <w:rFonts w:hint="eastAsia"/>
                <w:bCs/>
                <w:color w:val="000000" w:themeColor="text1"/>
                <w:sz w:val="24"/>
                <w:highlight w:val="none"/>
                <w14:textFill>
                  <w14:solidFill>
                    <w14:schemeClr w14:val="tx1"/>
                  </w14:solidFill>
                </w14:textFill>
              </w:rPr>
              <w:t>，现状布局的耕地、</w:t>
            </w:r>
            <w:r>
              <w:rPr>
                <w:rFonts w:hint="eastAsia"/>
                <w:bCs/>
                <w:color w:val="000000" w:themeColor="text1"/>
                <w:sz w:val="24"/>
                <w:highlight w:val="none"/>
                <w:lang w:val="en-US" w:eastAsia="zh-CN"/>
                <w14:textFill>
                  <w14:solidFill>
                    <w14:schemeClr w14:val="tx1"/>
                  </w14:solidFill>
                </w14:textFill>
              </w:rPr>
              <w:t>建设用地</w:t>
            </w:r>
            <w:r>
              <w:rPr>
                <w:rFonts w:hint="eastAsia"/>
                <w:bCs/>
                <w:color w:val="000000" w:themeColor="text1"/>
                <w:sz w:val="24"/>
                <w:highlight w:val="none"/>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未利用地</w:t>
            </w:r>
            <w:r>
              <w:rPr>
                <w:rFonts w:hint="eastAsia"/>
                <w:bCs/>
                <w:color w:val="000000" w:themeColor="text1"/>
                <w:sz w:val="24"/>
                <w:highlight w:val="none"/>
                <w14:textFill>
                  <w14:solidFill>
                    <w14:schemeClr w14:val="tx1"/>
                  </w14:solidFill>
                </w14:textFill>
              </w:rPr>
              <w:t>将全部进行调整，即本项目</w:t>
            </w:r>
            <w:r>
              <w:rPr>
                <w:rFonts w:hint="eastAsia"/>
                <w:bCs/>
                <w:color w:val="000000" w:themeColor="text1"/>
                <w:sz w:val="24"/>
                <w:highlight w:val="none"/>
                <w:lang w:val="en-US" w:eastAsia="zh-CN"/>
                <w14:textFill>
                  <w14:solidFill>
                    <w14:schemeClr w14:val="tx1"/>
                  </w14:solidFill>
                </w14:textFill>
              </w:rPr>
              <w:t>实施范围内</w:t>
            </w:r>
            <w:r>
              <w:rPr>
                <w:rFonts w:hint="eastAsia"/>
                <w:bCs/>
                <w:color w:val="000000" w:themeColor="text1"/>
                <w:sz w:val="24"/>
                <w:highlight w:val="none"/>
                <w14:textFill>
                  <w14:solidFill>
                    <w14:schemeClr w14:val="tx1"/>
                  </w14:solidFill>
                </w14:textFill>
              </w:rPr>
              <w:t>将进行全部拆迁。</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根据控规相关时间要求，本项目道路于2026年建成通车，施工期间同步对</w:t>
            </w:r>
            <w:r>
              <w:rPr>
                <w:rFonts w:hint="eastAsia"/>
                <w:bCs/>
                <w:color w:val="000000" w:themeColor="text1"/>
                <w:sz w:val="24"/>
                <w:highlight w:val="none"/>
                <w:lang w:val="en-US" w:eastAsia="zh-CN"/>
                <w14:textFill>
                  <w14:solidFill>
                    <w14:schemeClr w14:val="tx1"/>
                  </w14:solidFill>
                </w14:textFill>
              </w:rPr>
              <w:t>项目实施范围内</w:t>
            </w:r>
            <w:r>
              <w:rPr>
                <w:rFonts w:hint="eastAsia"/>
                <w:bCs/>
                <w:color w:val="000000" w:themeColor="text1"/>
                <w:sz w:val="24"/>
                <w:highlight w:val="none"/>
                <w14:textFill>
                  <w14:solidFill>
                    <w14:schemeClr w14:val="tx1"/>
                  </w14:solidFill>
                </w14:textFill>
              </w:rPr>
              <w:t>农户</w:t>
            </w: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工厂等设施</w:t>
            </w:r>
            <w:r>
              <w:rPr>
                <w:rFonts w:hint="eastAsia"/>
                <w:bCs/>
                <w:color w:val="000000" w:themeColor="text1"/>
                <w:sz w:val="24"/>
                <w:highlight w:val="none"/>
                <w14:textFill>
                  <w14:solidFill>
                    <w14:schemeClr w14:val="tx1"/>
                  </w14:solidFill>
                </w14:textFill>
              </w:rPr>
              <w:t>进行拆迁。</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据此分析，本项目道路交通噪声预测影响分析阶段现状声环境保护目标为</w:t>
            </w:r>
            <w:r>
              <w:rPr>
                <w:rFonts w:hint="eastAsia"/>
                <w:bCs/>
                <w:color w:val="000000" w:themeColor="text1"/>
                <w:sz w:val="24"/>
                <w:highlight w:val="none"/>
                <w:lang w:val="en-US" w:eastAsia="zh-CN"/>
                <w14:textFill>
                  <w14:solidFill>
                    <w14:schemeClr w14:val="tx1"/>
                  </w14:solidFill>
                </w14:textFill>
              </w:rPr>
              <w:t>道路两侧居民</w:t>
            </w:r>
            <w:r>
              <w:rPr>
                <w:rFonts w:hint="eastAsia"/>
                <w:bCs/>
                <w:color w:val="000000" w:themeColor="text1"/>
                <w:sz w:val="24"/>
                <w:highlight w:val="none"/>
                <w14:textFill>
                  <w14:solidFill>
                    <w14:schemeClr w14:val="tx1"/>
                  </w14:solidFill>
                </w14:textFill>
              </w:rPr>
              <w:t>，作为本项目近期（2026年）、中期（203</w:t>
            </w:r>
            <w:r>
              <w:rPr>
                <w:rFonts w:hint="eastAsia"/>
                <w:bCs/>
                <w:color w:val="000000" w:themeColor="text1"/>
                <w:sz w:val="24"/>
                <w:highlight w:val="none"/>
                <w:lang w:val="en-US" w:eastAsia="zh-CN"/>
                <w14:textFill>
                  <w14:solidFill>
                    <w14:schemeClr w14:val="tx1"/>
                  </w14:solidFill>
                </w14:textFill>
              </w:rPr>
              <w:t>3</w:t>
            </w:r>
            <w:r>
              <w:rPr>
                <w:rFonts w:hint="eastAsia"/>
                <w:bCs/>
                <w:color w:val="000000" w:themeColor="text1"/>
                <w:sz w:val="24"/>
                <w:highlight w:val="none"/>
                <w14:textFill>
                  <w14:solidFill>
                    <w14:schemeClr w14:val="tx1"/>
                  </w14:solidFill>
                </w14:textFill>
              </w:rPr>
              <w:t>年）及远期（20</w:t>
            </w:r>
            <w:r>
              <w:rPr>
                <w:rFonts w:hint="eastAsia"/>
                <w:bCs/>
                <w:color w:val="000000" w:themeColor="text1"/>
                <w:sz w:val="24"/>
                <w:highlight w:val="none"/>
                <w:lang w:val="en-US" w:eastAsia="zh-CN"/>
                <w14:textFill>
                  <w14:solidFill>
                    <w14:schemeClr w14:val="tx1"/>
                  </w14:solidFill>
                </w14:textFill>
              </w:rPr>
              <w:t>41</w:t>
            </w:r>
            <w:r>
              <w:rPr>
                <w:rFonts w:hint="eastAsia"/>
                <w:bCs/>
                <w:color w:val="000000" w:themeColor="text1"/>
                <w:sz w:val="24"/>
                <w:highlight w:val="none"/>
                <w14:textFill>
                  <w14:solidFill>
                    <w14:schemeClr w14:val="tx1"/>
                  </w14:solidFill>
                </w14:textFill>
              </w:rPr>
              <w:t>年）声环境保护目标。</w:t>
            </w:r>
          </w:p>
          <w:p>
            <w:pPr>
              <w:keepNext w:val="0"/>
              <w:keepLines w:val="0"/>
              <w:widowControl/>
              <w:suppressLineNumbers w:val="0"/>
              <w:spacing w:before="0" w:beforeAutospacing="0" w:after="0" w:afterAutospacing="0" w:line="360" w:lineRule="auto"/>
              <w:ind w:left="0" w:right="0"/>
              <w:rPr>
                <w:bCs/>
                <w:color w:val="000000" w:themeColor="text1"/>
                <w:sz w:val="24"/>
                <w:highlight w:val="none"/>
                <w14:textFill>
                  <w14:solidFill>
                    <w14:schemeClr w14:val="tx1"/>
                  </w14:solidFill>
                </w14:textFill>
              </w:rPr>
            </w:pPr>
          </w:p>
        </w:tc>
      </w:tr>
    </w:tbl>
    <w:p>
      <w:pPr>
        <w:pStyle w:val="19"/>
        <w:jc w:val="center"/>
        <w:outlineLvl w:val="0"/>
        <w:rPr>
          <w:rFonts w:ascii="Times New Roman" w:hAnsi="Times New Roman"/>
          <w:b/>
          <w:bCs/>
          <w:snapToGrid w:val="0"/>
          <w:color w:val="000000" w:themeColor="text1"/>
          <w:sz w:val="30"/>
          <w:szCs w:val="30"/>
          <w:highlight w:val="none"/>
          <w14:textFill>
            <w14:solidFill>
              <w14:schemeClr w14:val="tx1"/>
            </w14:solidFill>
          </w14:textFill>
        </w:rPr>
        <w:sectPr>
          <w:pgSz w:w="11906" w:h="16838"/>
          <w:pgMar w:top="1440" w:right="1800" w:bottom="1440" w:left="1800" w:header="851" w:footer="1077" w:gutter="0"/>
          <w:cols w:space="425" w:num="1"/>
          <w:docGrid w:linePitch="312" w:charSpace="0"/>
        </w:sectPr>
      </w:pPr>
    </w:p>
    <w:p>
      <w:pPr>
        <w:pStyle w:val="19"/>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pPr>
      <w:r>
        <w:rPr>
          <w:rFonts w:ascii="Times New Roman" w:hAnsi="Times New Roman"/>
          <w:b/>
          <w:bCs/>
          <w:snapToGrid w:val="0"/>
          <w:color w:val="000000" w:themeColor="text1"/>
          <w:sz w:val="30"/>
          <w:szCs w:val="30"/>
          <w:highlight w:val="none"/>
          <w14:textFill>
            <w14:solidFill>
              <w14:schemeClr w14:val="tx1"/>
            </w14:solidFill>
          </w14:textFill>
        </w:rPr>
        <w:t>三、</w:t>
      </w:r>
      <w:r>
        <w:rPr>
          <w:rFonts w:hint="eastAsia" w:ascii="Times New Roman" w:hAnsi="Times New Roman"/>
          <w:b/>
          <w:bCs/>
          <w:snapToGrid w:val="0"/>
          <w:color w:val="000000" w:themeColor="text1"/>
          <w:sz w:val="30"/>
          <w:szCs w:val="30"/>
          <w:highlight w:val="none"/>
          <w14:textFill>
            <w14:solidFill>
              <w14:schemeClr w14:val="tx1"/>
            </w14:solidFill>
          </w14:textFill>
        </w:rPr>
        <w:t>生态环境现状、保护目标及评价标准</w:t>
      </w:r>
    </w:p>
    <w:tbl>
      <w:tblPr>
        <w:tblStyle w:val="24"/>
        <w:tblW w:w="92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85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2" w:hRule="atLeast"/>
          <w:jc w:val="center"/>
        </w:trPr>
        <w:tc>
          <w:tcPr>
            <w:tcW w:w="738" w:type="dxa"/>
            <w:vAlign w:val="center"/>
          </w:tcPr>
          <w:p>
            <w:pPr>
              <w:keepNext w:val="0"/>
              <w:keepLines w:val="0"/>
              <w:suppressLineNumbers w:val="0"/>
              <w:adjustRightInd w:val="0"/>
              <w:snapToGrid w:val="0"/>
              <w:spacing w:before="0" w:beforeAutospacing="0" w:after="0" w:afterAutospacing="0"/>
              <w:ind w:left="0" w:right="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生态环境现状</w:t>
            </w:r>
          </w:p>
        </w:tc>
        <w:tc>
          <w:tcPr>
            <w:tcW w:w="8527" w:type="dxa"/>
            <w:vAlign w:val="center"/>
          </w:tcPr>
          <w:p>
            <w:pPr>
              <w:keepNext w:val="0"/>
              <w:keepLines w:val="0"/>
              <w:suppressLineNumbers w:val="0"/>
              <w:adjustRightInd w:val="0"/>
              <w:snapToGrid w:val="0"/>
              <w:spacing w:before="0" w:beforeAutospacing="0" w:after="0" w:afterAutospacing="0" w:line="360" w:lineRule="auto"/>
              <w:ind w:left="0" w:right="0"/>
              <w:rPr>
                <w:b/>
                <w:bCs/>
                <w:color w:val="000000" w:themeColor="text1"/>
                <w:kern w:val="0"/>
                <w:sz w:val="24"/>
                <w:highlight w:val="none"/>
                <w14:textFill>
                  <w14:solidFill>
                    <w14:schemeClr w14:val="tx1"/>
                  </w14:solidFill>
                </w14:textFill>
              </w:rPr>
            </w:pPr>
            <w:r>
              <w:rPr>
                <w:rFonts w:hint="eastAsia"/>
                <w:b/>
                <w:bCs/>
                <w:color w:val="000000" w:themeColor="text1"/>
                <w:kern w:val="0"/>
                <w:sz w:val="24"/>
                <w:highlight w:val="none"/>
                <w:lang w:eastAsia="zh-CN"/>
                <w14:textFill>
                  <w14:solidFill>
                    <w14:schemeClr w14:val="tx1"/>
                  </w14:solidFill>
                </w14:textFill>
              </w:rPr>
              <w:t>（</w:t>
            </w:r>
            <w:r>
              <w:rPr>
                <w:rFonts w:hint="eastAsia"/>
                <w:b/>
                <w:bCs/>
                <w:color w:val="000000" w:themeColor="text1"/>
                <w:kern w:val="0"/>
                <w:sz w:val="24"/>
                <w:highlight w:val="none"/>
                <w:lang w:val="en-US" w:eastAsia="zh-CN"/>
                <w14:textFill>
                  <w14:solidFill>
                    <w14:schemeClr w14:val="tx1"/>
                  </w14:solidFill>
                </w14:textFill>
              </w:rPr>
              <w:t>一</w:t>
            </w:r>
            <w:r>
              <w:rPr>
                <w:rFonts w:hint="eastAsia"/>
                <w:b/>
                <w:bCs/>
                <w:color w:val="000000" w:themeColor="text1"/>
                <w:kern w:val="0"/>
                <w:sz w:val="24"/>
                <w:highlight w:val="none"/>
                <w:lang w:eastAsia="zh-CN"/>
                <w14:textFill>
                  <w14:solidFill>
                    <w14:schemeClr w14:val="tx1"/>
                  </w14:solidFill>
                </w14:textFill>
              </w:rPr>
              <w:t>）</w:t>
            </w:r>
            <w:r>
              <w:rPr>
                <w:rFonts w:hint="eastAsia"/>
                <w:b/>
                <w:bCs/>
                <w:color w:val="000000" w:themeColor="text1"/>
                <w:kern w:val="0"/>
                <w:sz w:val="24"/>
                <w:highlight w:val="none"/>
                <w:lang w:val="en-US" w:eastAsia="zh-CN"/>
                <w14:textFill>
                  <w14:solidFill>
                    <w14:schemeClr w14:val="tx1"/>
                  </w14:solidFill>
                </w14:textFill>
              </w:rPr>
              <w:t>生态环境现状</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eastAsia="宋体"/>
                <w:b/>
                <w:bCs/>
                <w:color w:val="000000" w:themeColor="text1"/>
                <w:kern w:val="0"/>
                <w:sz w:val="24"/>
                <w:highlight w:val="none"/>
                <w:lang w:val="en-US" w:eastAsia="zh-CN"/>
                <w14:textFill>
                  <w14:solidFill>
                    <w14:schemeClr w14:val="tx1"/>
                  </w14:solidFill>
                </w14:textFill>
              </w:rPr>
            </w:pPr>
            <w:r>
              <w:rPr>
                <w:rFonts w:hint="eastAsia"/>
                <w:b/>
                <w:bCs/>
                <w:color w:val="000000" w:themeColor="text1"/>
                <w:kern w:val="0"/>
                <w:sz w:val="24"/>
                <w:highlight w:val="none"/>
                <w:lang w:val="en-US" w:eastAsia="zh-CN"/>
                <w14:textFill>
                  <w14:solidFill>
                    <w14:schemeClr w14:val="tx1"/>
                  </w14:solidFill>
                </w14:textFill>
              </w:rPr>
              <w:t>（一）生态功能区划</w:t>
            </w:r>
          </w:p>
          <w:p>
            <w:pPr>
              <w:keepNext w:val="0"/>
              <w:keepLines w:val="0"/>
              <w:suppressLineNumbers w:val="0"/>
              <w:adjustRightInd w:val="0"/>
              <w:snapToGrid w:val="0"/>
              <w:spacing w:before="0" w:beforeAutospacing="0" w:after="0" w:afterAutospacing="0" w:line="360" w:lineRule="auto"/>
              <w:ind w:left="0" w:right="0" w:firstLine="480" w:firstLineChars="200"/>
              <w:rPr>
                <w:bCs/>
                <w:color w:val="000000" w:themeColor="text1"/>
                <w:kern w:val="0"/>
                <w:sz w:val="24"/>
                <w:highlight w:val="none"/>
                <w14:textFill>
                  <w14:solidFill>
                    <w14:schemeClr w14:val="tx1"/>
                  </w14:solidFill>
                </w14:textFill>
              </w:rPr>
            </w:pPr>
            <w:r>
              <w:rPr>
                <w:rFonts w:hint="eastAsia"/>
                <w:bCs/>
                <w:color w:val="000000" w:themeColor="text1"/>
                <w:kern w:val="0"/>
                <w:sz w:val="24"/>
                <w:highlight w:val="none"/>
                <w14:textFill>
                  <w14:solidFill>
                    <w14:schemeClr w14:val="tx1"/>
                  </w14:solidFill>
                </w14:textFill>
              </w:rPr>
              <w:t>根据《全国生态功能区划》提出，根据各生态功能区对保障国家与区域生态安全的重要性，以水源涵养、生物多样性保护、土壤保持、防风固沙和洪水调蓄5类主导生态调节功能为基础，确定63个重要生态系统服务功能区。</w:t>
            </w:r>
            <w:r>
              <w:rPr>
                <w:rFonts w:hint="eastAsia"/>
                <w:b/>
                <w:bCs w:val="0"/>
                <w:color w:val="000000" w:themeColor="text1"/>
                <w:kern w:val="0"/>
                <w:sz w:val="24"/>
                <w:highlight w:val="none"/>
                <w14:textFill>
                  <w14:solidFill>
                    <w14:schemeClr w14:val="tx1"/>
                  </w14:solidFill>
                </w14:textFill>
              </w:rPr>
              <w:t>本项目所在区域（</w:t>
            </w:r>
            <w:r>
              <w:rPr>
                <w:rFonts w:hint="eastAsia"/>
                <w:b/>
                <w:bCs w:val="0"/>
                <w:color w:val="000000" w:themeColor="text1"/>
                <w:kern w:val="0"/>
                <w:sz w:val="24"/>
                <w:highlight w:val="none"/>
                <w:lang w:val="en-US" w:eastAsia="zh-CN"/>
                <w14:textFill>
                  <w14:solidFill>
                    <w14:schemeClr w14:val="tx1"/>
                  </w14:solidFill>
                </w14:textFill>
              </w:rPr>
              <w:t>达州</w:t>
            </w:r>
            <w:r>
              <w:rPr>
                <w:rFonts w:hint="eastAsia"/>
                <w:b/>
                <w:bCs w:val="0"/>
                <w:color w:val="000000" w:themeColor="text1"/>
                <w:kern w:val="0"/>
                <w:sz w:val="24"/>
                <w:highlight w:val="none"/>
                <w14:textFill>
                  <w14:solidFill>
                    <w14:schemeClr w14:val="tx1"/>
                  </w14:solidFill>
                </w14:textFill>
              </w:rPr>
              <w:t>）属于“秦岭－大巴山生物多样性保护与水源涵养重要区”</w:t>
            </w:r>
            <w:r>
              <w:rPr>
                <w:rFonts w:hint="eastAsia"/>
                <w:bCs/>
                <w:color w:val="000000" w:themeColor="text1"/>
                <w:kern w:val="0"/>
                <w:sz w:val="24"/>
                <w:highlight w:val="none"/>
                <w14:textFill>
                  <w14:solidFill>
                    <w14:schemeClr w14:val="tx1"/>
                  </w14:solidFill>
                </w14:textFill>
              </w:rPr>
              <w:t>，具体情况如下所示。</w:t>
            </w:r>
          </w:p>
          <w:p>
            <w:pPr>
              <w:keepNext w:val="0"/>
              <w:keepLines w:val="0"/>
              <w:suppressLineNumbers w:val="0"/>
              <w:adjustRightInd w:val="0"/>
              <w:snapToGrid w:val="0"/>
              <w:spacing w:before="0" w:beforeAutospacing="0" w:after="0" w:afterAutospacing="0" w:line="360" w:lineRule="auto"/>
              <w:ind w:left="0" w:right="0" w:firstLine="480" w:firstLineChars="200"/>
              <w:rPr>
                <w:bCs/>
                <w:color w:val="000000" w:themeColor="text1"/>
                <w:kern w:val="0"/>
                <w:sz w:val="24"/>
                <w:highlight w:val="none"/>
                <w14:textFill>
                  <w14:solidFill>
                    <w14:schemeClr w14:val="tx1"/>
                  </w14:solidFill>
                </w14:textFill>
              </w:rPr>
            </w:pPr>
            <w:r>
              <w:rPr>
                <w:rFonts w:hint="eastAsia"/>
                <w:bCs/>
                <w:color w:val="000000" w:themeColor="text1"/>
                <w:kern w:val="0"/>
                <w:sz w:val="24"/>
                <w:highlight w:val="none"/>
                <w14:textFill>
                  <w14:solidFill>
                    <w14:schemeClr w14:val="tx1"/>
                  </w14:solidFill>
                </w14:textFill>
              </w:rPr>
              <w:t>秦岭－大巴山生物多样性保护与水源涵养重要区：该区包括秦岭山地和大巴山地，包含3个功能区：米仓山－大巴山水源涵养功能区、秦岭山地生物多样性保护与水源涵养功能区和豫西南山地水源涵养功能区。行政区主要涉及陕西省的汉中、安康、西安、宝鸡、商洛、渭南，甘肃省的陇南、天水、甘南，四川省的广元、巴中、达州，重庆市的城口、巫溪，湖北省的十堰、襄阳和神农架林区，面积为179816平方公里。该区地处我国亚热带与暖温带的过渡带，发育了以北亚热带为基带（南部）和暖温带为基带（北部）的垂直自然带谱，是我国乃至东南亚地区暖温带与北亚热带地区生物多样性最丰富的地区之一，是我国生物多样性重点保护区域。该区位于渭河南岸诸多支流的发源地和嘉陵江、汉江上游丹江水系的主要水源涵养区，是南水北调中线的水源地。</w:t>
            </w:r>
          </w:p>
          <w:p>
            <w:pPr>
              <w:keepNext w:val="0"/>
              <w:keepLines w:val="0"/>
              <w:suppressLineNumbers w:val="0"/>
              <w:adjustRightInd w:val="0"/>
              <w:snapToGrid w:val="0"/>
              <w:spacing w:before="0" w:beforeAutospacing="0" w:after="0" w:afterAutospacing="0" w:line="360" w:lineRule="auto"/>
              <w:ind w:left="0" w:right="0" w:firstLine="480" w:firstLineChars="200"/>
              <w:rPr>
                <w:bCs/>
                <w:color w:val="000000" w:themeColor="text1"/>
                <w:kern w:val="0"/>
                <w:sz w:val="24"/>
                <w:highlight w:val="none"/>
                <w14:textFill>
                  <w14:solidFill>
                    <w14:schemeClr w14:val="tx1"/>
                  </w14:solidFill>
                </w14:textFill>
              </w:rPr>
            </w:pPr>
            <w:r>
              <w:rPr>
                <w:rFonts w:hint="eastAsia"/>
                <w:bCs/>
                <w:color w:val="000000" w:themeColor="text1"/>
                <w:kern w:val="0"/>
                <w:sz w:val="24"/>
                <w:highlight w:val="none"/>
                <w14:textFill>
                  <w14:solidFill>
                    <w14:schemeClr w14:val="tx1"/>
                  </w14:solidFill>
                </w14:textFill>
              </w:rPr>
              <w:t>主要生态问题：该区森林质量与水源涵养功能较低，水电、矿产等资源开发的生态破坏较严重，地质灾害威胁严重，野生动植物栖息地质量下降、破碎化加剧，生物多样性受到威胁。</w:t>
            </w:r>
          </w:p>
          <w:p>
            <w:pPr>
              <w:keepNext w:val="0"/>
              <w:keepLines w:val="0"/>
              <w:suppressLineNumbers w:val="0"/>
              <w:adjustRightInd w:val="0"/>
              <w:snapToGrid w:val="0"/>
              <w:spacing w:before="0" w:beforeAutospacing="0" w:after="0" w:afterAutospacing="0" w:line="360" w:lineRule="auto"/>
              <w:ind w:left="0" w:right="0" w:firstLine="480" w:firstLineChars="200"/>
              <w:rPr>
                <w:bCs/>
                <w:color w:val="000000" w:themeColor="text1"/>
                <w:kern w:val="0"/>
                <w:sz w:val="24"/>
                <w:highlight w:val="none"/>
                <w14:textFill>
                  <w14:solidFill>
                    <w14:schemeClr w14:val="tx1"/>
                  </w14:solidFill>
                </w14:textFill>
              </w:rPr>
            </w:pPr>
            <w:r>
              <w:rPr>
                <w:rFonts w:hint="eastAsia"/>
                <w:bCs/>
                <w:color w:val="000000" w:themeColor="text1"/>
                <w:kern w:val="0"/>
                <w:sz w:val="24"/>
                <w:highlight w:val="none"/>
                <w14:textFill>
                  <w14:solidFill>
                    <w14:schemeClr w14:val="tx1"/>
                  </w14:solidFill>
                </w14:textFill>
              </w:rPr>
              <w:t>生态保护主要措施：加强已有自然保护区保护和天然林管护力度；对已破坏的生态系统，要结合有关生态建设工程，做好生态恢复与重建工作，增强生态系统水源涵养和土壤保持功能；停止导致生态功能继续退化的开发活动和其他人为破坏活动；严格矿产资源、水电资源开发的监管；控制人口增长，改变粗放生产经营方式，发展生态旅游和特色产业。</w:t>
            </w:r>
          </w:p>
          <w:p>
            <w:pPr>
              <w:keepNext w:val="0"/>
              <w:keepLines w:val="0"/>
              <w:suppressLineNumbers w:val="0"/>
              <w:adjustRightInd w:val="0"/>
              <w:snapToGrid w:val="0"/>
              <w:spacing w:before="0" w:beforeAutospacing="0" w:after="0" w:afterAutospacing="0" w:line="360" w:lineRule="auto"/>
              <w:ind w:left="0" w:right="0" w:firstLine="480" w:firstLineChars="200"/>
              <w:rPr>
                <w:bCs/>
                <w:color w:val="000000" w:themeColor="text1"/>
                <w:kern w:val="0"/>
                <w:sz w:val="24"/>
                <w:highlight w:val="none"/>
                <w14:textFill>
                  <w14:solidFill>
                    <w14:schemeClr w14:val="tx1"/>
                  </w14:solidFill>
                </w14:textFill>
              </w:rPr>
            </w:pPr>
            <w:r>
              <w:rPr>
                <w:rFonts w:hint="eastAsia"/>
                <w:bCs/>
                <w:color w:val="000000" w:themeColor="text1"/>
                <w:kern w:val="0"/>
                <w:sz w:val="24"/>
                <w:highlight w:val="none"/>
                <w14:textFill>
                  <w14:solidFill>
                    <w14:schemeClr w14:val="tx1"/>
                  </w14:solidFill>
                </w14:textFill>
              </w:rPr>
              <w:t>（2）四川省生态功能区划情况</w:t>
            </w:r>
          </w:p>
          <w:p>
            <w:pPr>
              <w:keepNext w:val="0"/>
              <w:keepLines w:val="0"/>
              <w:suppressLineNumbers w:val="0"/>
              <w:adjustRightInd w:val="0"/>
              <w:snapToGrid w:val="0"/>
              <w:spacing w:before="0" w:beforeAutospacing="0" w:after="0" w:afterAutospacing="0" w:line="360" w:lineRule="auto"/>
              <w:ind w:left="0" w:right="0" w:firstLine="480" w:firstLineChars="200"/>
              <w:rPr>
                <w:bCs/>
                <w:color w:val="000000" w:themeColor="text1"/>
                <w:kern w:val="0"/>
                <w:sz w:val="24"/>
                <w:highlight w:val="none"/>
                <w14:textFill>
                  <w14:solidFill>
                    <w14:schemeClr w14:val="tx1"/>
                  </w14:solidFill>
                </w14:textFill>
              </w:rPr>
            </w:pPr>
            <w:r>
              <w:rPr>
                <w:rFonts w:hint="eastAsia"/>
                <w:bCs/>
                <w:color w:val="000000" w:themeColor="text1"/>
                <w:kern w:val="0"/>
                <w:sz w:val="24"/>
                <w:highlight w:val="none"/>
                <w14:textFill>
                  <w14:solidFill>
                    <w14:schemeClr w14:val="tx1"/>
                  </w14:solidFill>
                </w14:textFill>
              </w:rPr>
              <w:t>根据《四川省生态功能区划》提出，四川省生态功能区划共分为三个等级，首先从宏观上以自然气候、地理特点划分自然生态区；然后根据生态系统类型和生态系统服务功能类型划分生态亚区；最后根据生态服务功能重要性、生态环境敏感性与生态环境问题划分生态功能区。以此为依据，全省共划分一级生态区4个，二级生态亚区13个，三级生态功能区36个。</w:t>
            </w:r>
            <w:r>
              <w:rPr>
                <w:rFonts w:hint="eastAsia"/>
                <w:b/>
                <w:bCs w:val="0"/>
                <w:color w:val="000000" w:themeColor="text1"/>
                <w:kern w:val="0"/>
                <w:sz w:val="24"/>
                <w:highlight w:val="none"/>
                <w14:textFill>
                  <w14:solidFill>
                    <w14:schemeClr w14:val="tx1"/>
                  </w14:solidFill>
                </w14:textFill>
              </w:rPr>
              <w:t>本项目所在区域（成都）属于“四川盆地亚热带湿润气候生态区”</w:t>
            </w:r>
            <w:r>
              <w:rPr>
                <w:rFonts w:hint="eastAsia"/>
                <w:bCs/>
                <w:color w:val="000000" w:themeColor="text1"/>
                <w:kern w:val="0"/>
                <w:sz w:val="24"/>
                <w:highlight w:val="none"/>
                <w14:textFill>
                  <w14:solidFill>
                    <w14:schemeClr w14:val="tx1"/>
                  </w14:solidFill>
                </w14:textFill>
              </w:rPr>
              <w:t>，具体如下所示。</w:t>
            </w:r>
          </w:p>
          <w:p>
            <w:pPr>
              <w:keepNext w:val="0"/>
              <w:keepLines w:val="0"/>
              <w:suppressLineNumbers w:val="0"/>
              <w:adjustRightInd w:val="0"/>
              <w:snapToGrid w:val="0"/>
              <w:spacing w:before="0" w:beforeAutospacing="0" w:after="0" w:afterAutospacing="0" w:line="360" w:lineRule="auto"/>
              <w:ind w:left="0" w:right="0" w:firstLine="480" w:firstLineChars="200"/>
              <w:rPr>
                <w:bCs/>
                <w:color w:val="000000" w:themeColor="text1"/>
                <w:kern w:val="0"/>
                <w:sz w:val="24"/>
                <w:highlight w:val="none"/>
                <w14:textFill>
                  <w14:solidFill>
                    <w14:schemeClr w14:val="tx1"/>
                  </w14:solidFill>
                </w14:textFill>
              </w:rPr>
            </w:pPr>
            <w:r>
              <w:rPr>
                <w:rFonts w:hint="eastAsia"/>
                <w:bCs/>
                <w:color w:val="000000" w:themeColor="text1"/>
                <w:kern w:val="0"/>
                <w:sz w:val="24"/>
                <w:highlight w:val="none"/>
                <w14:textFill>
                  <w14:solidFill>
                    <w14:schemeClr w14:val="tx1"/>
                  </w14:solidFill>
                </w14:textFill>
              </w:rPr>
              <w:t>四川盆地亚热带湿润气候生态区（Ⅰ）：该区位于四川省东部。北界与陕西省接壤，东界与重庆市接壤，南界与贵州省、云南省接壤。地理坐标：东经102°10′~108°25′，北纬27°39′~32°53′，面积14.07万平方公里。涉及成都、德阳、绵阳、广元、巴中、达州、南充、广安、遂宁、资阳、内江、自贡、泸州、眉山等14个市的全部，宜宾市大部，乐山和雅安两市的部分地区。</w:t>
            </w:r>
          </w:p>
          <w:p>
            <w:pPr>
              <w:keepNext w:val="0"/>
              <w:keepLines w:val="0"/>
              <w:suppressLineNumbers w:val="0"/>
              <w:adjustRightInd w:val="0"/>
              <w:snapToGrid w:val="0"/>
              <w:spacing w:before="0" w:beforeAutospacing="0" w:after="0" w:afterAutospacing="0" w:line="360" w:lineRule="auto"/>
              <w:ind w:left="0" w:right="0" w:firstLine="480" w:firstLineChars="200"/>
              <w:rPr>
                <w:bCs/>
                <w:color w:val="000000" w:themeColor="text1"/>
                <w:kern w:val="0"/>
                <w:sz w:val="24"/>
                <w:highlight w:val="none"/>
                <w14:textFill>
                  <w14:solidFill>
                    <w14:schemeClr w14:val="tx1"/>
                  </w14:solidFill>
                </w14:textFill>
              </w:rPr>
            </w:pPr>
            <w:r>
              <w:rPr>
                <w:rFonts w:hint="eastAsia"/>
                <w:bCs/>
                <w:color w:val="000000" w:themeColor="text1"/>
                <w:kern w:val="0"/>
                <w:sz w:val="24"/>
                <w:highlight w:val="none"/>
                <w14:textFill>
                  <w14:solidFill>
                    <w14:schemeClr w14:val="tx1"/>
                  </w14:solidFill>
                </w14:textFill>
              </w:rPr>
              <w:t>本区地貌以丘陵为主，南北两端分布有山地，西部为成都平原。丘陵海拔一般在250~750米。山地海拔一般在600~2000米，成都平原海拔一般在400~600米。本区气候属中亚热带湿润气候类型。区内河流属长江水系，长江自西向东流经盆地南部，主要支流集中于北侧，由西向东分布有岷江、沱江、涪江、嘉陵江和渠江等5大河流。本区森林植被主要是人工林和次生林，山地的生物多样性较丰富。本区是我省人口密集区和重要经济区，也是我国发展农业生产的重要地区之一。</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表3-1  本项目生态功能区划分一览表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5"/>
              <w:gridCol w:w="3085"/>
              <w:gridCol w:w="2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5" w:type="dxa"/>
                  <w:vAlign w:val="center"/>
                </w:tcPr>
                <w:p>
                  <w:pPr>
                    <w:keepNext w:val="0"/>
                    <w:keepLines w:val="0"/>
                    <w:suppressLineNumbers w:val="0"/>
                    <w:adjustRightInd w:val="0"/>
                    <w:snapToGrid w:val="0"/>
                    <w:spacing w:before="0" w:beforeAutospacing="0" w:after="0" w:afterAutospacing="0" w:line="240" w:lineRule="auto"/>
                    <w:ind w:left="0" w:right="0"/>
                    <w:jc w:val="center"/>
                    <w:rPr>
                      <w:b/>
                      <w:bCs/>
                      <w:color w:val="000000" w:themeColor="text1"/>
                      <w:kern w:val="0"/>
                      <w:szCs w:val="21"/>
                      <w:highlight w:val="none"/>
                      <w14:textFill>
                        <w14:solidFill>
                          <w14:schemeClr w14:val="tx1"/>
                        </w14:solidFill>
                      </w14:textFill>
                    </w:rPr>
                  </w:pPr>
                  <w:r>
                    <w:rPr>
                      <w:rFonts w:hint="eastAsia"/>
                      <w:b/>
                      <w:bCs/>
                      <w:color w:val="000000" w:themeColor="text1"/>
                      <w:kern w:val="0"/>
                      <w:szCs w:val="21"/>
                      <w:highlight w:val="none"/>
                      <w14:textFill>
                        <w14:solidFill>
                          <w14:schemeClr w14:val="tx1"/>
                        </w14:solidFill>
                      </w14:textFill>
                    </w:rPr>
                    <w:t>生态区</w:t>
                  </w:r>
                </w:p>
              </w:tc>
              <w:tc>
                <w:tcPr>
                  <w:tcW w:w="3085" w:type="dxa"/>
                  <w:vAlign w:val="center"/>
                </w:tcPr>
                <w:p>
                  <w:pPr>
                    <w:keepNext w:val="0"/>
                    <w:keepLines w:val="0"/>
                    <w:suppressLineNumbers w:val="0"/>
                    <w:adjustRightInd w:val="0"/>
                    <w:snapToGrid w:val="0"/>
                    <w:spacing w:before="0" w:beforeAutospacing="0" w:after="0" w:afterAutospacing="0" w:line="240" w:lineRule="auto"/>
                    <w:ind w:left="0" w:right="0"/>
                    <w:jc w:val="center"/>
                    <w:rPr>
                      <w:b/>
                      <w:bCs/>
                      <w:color w:val="000000" w:themeColor="text1"/>
                      <w:kern w:val="0"/>
                      <w:szCs w:val="21"/>
                      <w:highlight w:val="none"/>
                      <w14:textFill>
                        <w14:solidFill>
                          <w14:schemeClr w14:val="tx1"/>
                        </w14:solidFill>
                      </w14:textFill>
                    </w:rPr>
                  </w:pPr>
                  <w:r>
                    <w:rPr>
                      <w:rFonts w:hint="eastAsia"/>
                      <w:b/>
                      <w:bCs/>
                      <w:color w:val="000000" w:themeColor="text1"/>
                      <w:kern w:val="0"/>
                      <w:szCs w:val="21"/>
                      <w:highlight w:val="none"/>
                      <w14:textFill>
                        <w14:solidFill>
                          <w14:schemeClr w14:val="tx1"/>
                        </w14:solidFill>
                      </w14:textFill>
                    </w:rPr>
                    <w:t>生态亚区</w:t>
                  </w:r>
                </w:p>
              </w:tc>
              <w:tc>
                <w:tcPr>
                  <w:tcW w:w="2997" w:type="dxa"/>
                  <w:vAlign w:val="center"/>
                </w:tcPr>
                <w:p>
                  <w:pPr>
                    <w:keepNext w:val="0"/>
                    <w:keepLines w:val="0"/>
                    <w:suppressLineNumbers w:val="0"/>
                    <w:adjustRightInd w:val="0"/>
                    <w:snapToGrid w:val="0"/>
                    <w:spacing w:before="0" w:beforeAutospacing="0" w:after="0" w:afterAutospacing="0" w:line="240" w:lineRule="auto"/>
                    <w:ind w:left="0" w:right="0"/>
                    <w:jc w:val="center"/>
                    <w:rPr>
                      <w:b/>
                      <w:bCs/>
                      <w:color w:val="000000" w:themeColor="text1"/>
                      <w:kern w:val="0"/>
                      <w:szCs w:val="21"/>
                      <w:highlight w:val="none"/>
                      <w14:textFill>
                        <w14:solidFill>
                          <w14:schemeClr w14:val="tx1"/>
                        </w14:solidFill>
                      </w14:textFill>
                    </w:rPr>
                  </w:pPr>
                  <w:r>
                    <w:rPr>
                      <w:rFonts w:hint="eastAsia"/>
                      <w:b/>
                      <w:bCs/>
                      <w:color w:val="000000" w:themeColor="text1"/>
                      <w:kern w:val="0"/>
                      <w:szCs w:val="21"/>
                      <w:highlight w:val="none"/>
                      <w14:textFill>
                        <w14:solidFill>
                          <w14:schemeClr w14:val="tx1"/>
                        </w14:solidFill>
                      </w14:textFill>
                    </w:rPr>
                    <w:t>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5" w:type="dxa"/>
                  <w:vAlign w:val="center"/>
                </w:tcPr>
                <w:p>
                  <w:pPr>
                    <w:keepNext w:val="0"/>
                    <w:keepLines w:val="0"/>
                    <w:suppressLineNumbers w:val="0"/>
                    <w:adjustRightInd w:val="0"/>
                    <w:snapToGrid w:val="0"/>
                    <w:spacing w:before="0" w:beforeAutospacing="0" w:after="0" w:afterAutospacing="0" w:line="240" w:lineRule="auto"/>
                    <w:ind w:left="0" w:right="0"/>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四川盆地亚热带湿润气候生态区（Ⅰ）</w:t>
                  </w:r>
                </w:p>
              </w:tc>
              <w:tc>
                <w:tcPr>
                  <w:tcW w:w="3085" w:type="dxa"/>
                  <w:vAlign w:val="center"/>
                </w:tcPr>
                <w:p>
                  <w:pPr>
                    <w:keepNext w:val="0"/>
                    <w:keepLines w:val="0"/>
                    <w:suppressLineNumbers w:val="0"/>
                    <w:adjustRightInd w:val="0"/>
                    <w:snapToGrid w:val="0"/>
                    <w:spacing w:before="0" w:beforeAutospacing="0" w:after="0" w:afterAutospacing="0" w:line="240" w:lineRule="auto"/>
                    <w:ind w:left="0" w:right="0"/>
                    <w:rPr>
                      <w:bCs/>
                      <w:color w:val="000000" w:themeColor="text1"/>
                      <w:kern w:val="0"/>
                      <w:szCs w:val="21"/>
                      <w:highlight w:val="none"/>
                      <w14:textFill>
                        <w14:solidFill>
                          <w14:schemeClr w14:val="tx1"/>
                        </w14:solidFill>
                      </w14:textFill>
                    </w:rPr>
                  </w:pPr>
                  <w:r>
                    <w:rPr>
                      <w:color w:val="000000" w:themeColor="text1"/>
                      <w:szCs w:val="21"/>
                      <w:highlight w:val="none"/>
                      <w14:textFill>
                        <w14:solidFill>
                          <w14:schemeClr w14:val="tx1"/>
                        </w14:solidFill>
                      </w14:textFill>
                    </w:rPr>
                    <w:t>I-2盆中丘陵农林复合生态亚区</w:t>
                  </w:r>
                </w:p>
              </w:tc>
              <w:tc>
                <w:tcPr>
                  <w:tcW w:w="2997" w:type="dxa"/>
                  <w:vAlign w:val="center"/>
                </w:tcPr>
                <w:p>
                  <w:pPr>
                    <w:keepNext w:val="0"/>
                    <w:keepLines w:val="0"/>
                    <w:suppressLineNumbers w:val="0"/>
                    <w:adjustRightInd w:val="0"/>
                    <w:snapToGrid w:val="0"/>
                    <w:spacing w:before="0" w:beforeAutospacing="0" w:after="0" w:afterAutospacing="0" w:line="240" w:lineRule="auto"/>
                    <w:ind w:left="0" w:right="0"/>
                    <w:rPr>
                      <w:rFonts w:hint="eastAsia"/>
                      <w:color w:val="000000" w:themeColor="text1"/>
                      <w:szCs w:val="21"/>
                      <w:highlight w:val="none"/>
                      <w:lang w:val="en-US" w:eastAsia="zh-CN"/>
                      <w14:textFill>
                        <w14:solidFill>
                          <w14:schemeClr w14:val="tx1"/>
                        </w14:solidFill>
                      </w14:textFill>
                    </w:rPr>
                  </w:pPr>
                  <w:r>
                    <w:rPr>
                      <w:color w:val="000000" w:themeColor="text1"/>
                      <w:szCs w:val="21"/>
                      <w:highlight w:val="none"/>
                      <w14:textFill>
                        <w14:solidFill>
                          <w14:schemeClr w14:val="tx1"/>
                        </w14:solidFill>
                      </w14:textFill>
                    </w:rPr>
                    <w:t>I-2-</w:t>
                  </w:r>
                  <w:r>
                    <w:rPr>
                      <w:rFonts w:hint="eastAsia"/>
                      <w:color w:val="000000" w:themeColor="text1"/>
                      <w:szCs w:val="21"/>
                      <w:highlight w:val="none"/>
                      <w:lang w:val="en-US" w:eastAsia="zh-CN"/>
                      <w14:textFill>
                        <w14:solidFill>
                          <w14:schemeClr w14:val="tx1"/>
                        </w14:solidFill>
                      </w14:textFill>
                    </w:rPr>
                    <w:t>1盆北深丘农林也与土</w:t>
                  </w:r>
                </w:p>
                <w:p>
                  <w:pPr>
                    <w:keepNext w:val="0"/>
                    <w:keepLines w:val="0"/>
                    <w:suppressLineNumbers w:val="0"/>
                    <w:adjustRightInd w:val="0"/>
                    <w:snapToGrid w:val="0"/>
                    <w:spacing w:before="0" w:beforeAutospacing="0" w:after="0" w:afterAutospacing="0" w:line="240" w:lineRule="auto"/>
                    <w:ind w:left="0" w:right="0"/>
                    <w:rPr>
                      <w:bCs/>
                      <w:color w:val="000000" w:themeColor="text1"/>
                      <w:kern w:val="0"/>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壤保持生态功能区</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textAlignment w:val="auto"/>
              <w:rPr>
                <w:b/>
                <w:bCs w:val="0"/>
                <w:color w:val="000000" w:themeColor="text1"/>
                <w:kern w:val="0"/>
                <w:sz w:val="24"/>
                <w:highlight w:val="none"/>
                <w14:textFill>
                  <w14:solidFill>
                    <w14:schemeClr w14:val="tx1"/>
                  </w14:solidFill>
                </w14:textFill>
              </w:rPr>
            </w:pPr>
            <w:r>
              <w:rPr>
                <w:rFonts w:hint="eastAsia"/>
                <w:b/>
                <w:bCs w:val="0"/>
                <w:color w:val="000000" w:themeColor="text1"/>
                <w:kern w:val="0"/>
                <w:sz w:val="24"/>
                <w:highlight w:val="none"/>
                <w:lang w:eastAsia="zh-CN"/>
                <w14:textFill>
                  <w14:solidFill>
                    <w14:schemeClr w14:val="tx1"/>
                  </w14:solidFill>
                </w14:textFill>
              </w:rPr>
              <w:t>（</w:t>
            </w:r>
            <w:r>
              <w:rPr>
                <w:rFonts w:hint="eastAsia"/>
                <w:b/>
                <w:bCs w:val="0"/>
                <w:color w:val="000000" w:themeColor="text1"/>
                <w:kern w:val="0"/>
                <w:sz w:val="24"/>
                <w:highlight w:val="none"/>
                <w:lang w:val="en-US" w:eastAsia="zh-CN"/>
                <w14:textFill>
                  <w14:solidFill>
                    <w14:schemeClr w14:val="tx1"/>
                  </w14:solidFill>
                </w14:textFill>
              </w:rPr>
              <w:t>三）</w:t>
            </w:r>
            <w:r>
              <w:rPr>
                <w:rFonts w:hint="eastAsia"/>
                <w:b/>
                <w:bCs w:val="0"/>
                <w:color w:val="000000" w:themeColor="text1"/>
                <w:kern w:val="0"/>
                <w:sz w:val="24"/>
                <w:highlight w:val="none"/>
                <w14:textFill>
                  <w14:solidFill>
                    <w14:schemeClr w14:val="tx1"/>
                  </w14:solidFill>
                </w14:textFill>
              </w:rPr>
              <w:t>生态环境现状</w:t>
            </w:r>
          </w:p>
          <w:p>
            <w:pPr>
              <w:keepNext w:val="0"/>
              <w:keepLines w:val="0"/>
              <w:numPr>
                <w:ilvl w:val="0"/>
                <w:numId w:val="0"/>
              </w:numPr>
              <w:suppressLineNumbers w:val="0"/>
              <w:adjustRightInd w:val="0"/>
              <w:snapToGrid w:val="0"/>
              <w:spacing w:before="0" w:beforeAutospacing="0" w:after="0" w:afterAutospacing="0" w:line="360" w:lineRule="auto"/>
              <w:ind w:left="480" w:leftChars="0" w:right="0" w:rightChars="0"/>
              <w:rPr>
                <w:rFonts w:hint="eastAsia" w:eastAsia="宋体"/>
                <w:b/>
                <w:bCs w:val="0"/>
                <w:color w:val="000000" w:themeColor="text1"/>
                <w:kern w:val="0"/>
                <w:sz w:val="24"/>
                <w:highlight w:val="none"/>
                <w:lang w:eastAsia="zh-CN"/>
                <w14:textFill>
                  <w14:solidFill>
                    <w14:schemeClr w14:val="tx1"/>
                  </w14:solidFill>
                </w14:textFill>
              </w:rPr>
            </w:pPr>
            <w:r>
              <w:rPr>
                <w:rFonts w:hint="eastAsia"/>
                <w:b/>
                <w:bCs w:val="0"/>
                <w:color w:val="000000" w:themeColor="text1"/>
                <w:kern w:val="0"/>
                <w:sz w:val="24"/>
                <w:highlight w:val="none"/>
                <w:lang w:val="en-US" w:eastAsia="zh-CN"/>
                <w14:textFill>
                  <w14:solidFill>
                    <w14:schemeClr w14:val="tx1"/>
                  </w14:solidFill>
                </w14:textFill>
              </w:rPr>
              <w:t>1、陆生生态环境现状</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kern w:val="0"/>
                <w:sz w:val="24"/>
                <w:highlight w:val="none"/>
                <w14:textFill>
                  <w14:solidFill>
                    <w14:schemeClr w14:val="tx1"/>
                  </w14:solidFill>
                </w14:textFill>
              </w:rPr>
            </w:pPr>
            <w:r>
              <w:rPr>
                <w:rFonts w:hint="eastAsia"/>
                <w:bCs/>
                <w:color w:val="000000" w:themeColor="text1"/>
                <w:kern w:val="0"/>
                <w:sz w:val="24"/>
                <w:highlight w:val="none"/>
                <w14:textFill>
                  <w14:solidFill>
                    <w14:schemeClr w14:val="tx1"/>
                  </w14:solidFill>
                </w14:textFill>
              </w:rPr>
              <w:t>本项目影响范围均为陆生生态，区域</w:t>
            </w:r>
            <w:r>
              <w:rPr>
                <w:rFonts w:hint="eastAsia"/>
                <w:bCs/>
                <w:color w:val="000000" w:themeColor="text1"/>
                <w:kern w:val="0"/>
                <w:sz w:val="24"/>
                <w:highlight w:val="none"/>
                <w:lang w:val="en-US" w:eastAsia="zh-CN"/>
                <w14:textFill>
                  <w14:solidFill>
                    <w14:schemeClr w14:val="tx1"/>
                  </w14:solidFill>
                </w14:textFill>
              </w:rPr>
              <w:t>以农村</w:t>
            </w:r>
            <w:r>
              <w:rPr>
                <w:rFonts w:hint="eastAsia"/>
                <w:bCs/>
                <w:color w:val="000000" w:themeColor="text1"/>
                <w:kern w:val="0"/>
                <w:sz w:val="24"/>
                <w:highlight w:val="none"/>
                <w14:textFill>
                  <w14:solidFill>
                    <w14:schemeClr w14:val="tx1"/>
                  </w14:solidFill>
                </w14:textFill>
              </w:rPr>
              <w:t>生态系统</w:t>
            </w:r>
            <w:r>
              <w:rPr>
                <w:rFonts w:hint="eastAsia"/>
                <w:bCs/>
                <w:color w:val="000000" w:themeColor="text1"/>
                <w:kern w:val="0"/>
                <w:sz w:val="24"/>
                <w:highlight w:val="none"/>
                <w:lang w:val="en-US" w:eastAsia="zh-CN"/>
                <w14:textFill>
                  <w14:solidFill>
                    <w14:schemeClr w14:val="tx1"/>
                  </w14:solidFill>
                </w14:textFill>
              </w:rPr>
              <w:t>为主，</w:t>
            </w:r>
            <w:r>
              <w:rPr>
                <w:rFonts w:hint="eastAsia"/>
                <w:bCs/>
                <w:color w:val="000000" w:themeColor="text1"/>
                <w:kern w:val="0"/>
                <w:sz w:val="24"/>
                <w:highlight w:val="none"/>
                <w14:textFill>
                  <w14:solidFill>
                    <w14:schemeClr w14:val="tx1"/>
                  </w14:solidFill>
                </w14:textFill>
              </w:rPr>
              <w:t>以</w:t>
            </w:r>
            <w:r>
              <w:rPr>
                <w:rFonts w:hint="eastAsia"/>
                <w:bCs/>
                <w:color w:val="000000" w:themeColor="text1"/>
                <w:kern w:val="0"/>
                <w:sz w:val="24"/>
                <w:highlight w:val="none"/>
                <w:lang w:val="en-US" w:eastAsia="zh-CN"/>
                <w14:textFill>
                  <w14:solidFill>
                    <w14:schemeClr w14:val="tx1"/>
                  </w14:solidFill>
                </w14:textFill>
              </w:rPr>
              <w:t>原始</w:t>
            </w:r>
            <w:r>
              <w:rPr>
                <w:rFonts w:hint="eastAsia"/>
                <w:bCs/>
                <w:color w:val="000000" w:themeColor="text1"/>
                <w:kern w:val="0"/>
                <w:sz w:val="24"/>
                <w:highlight w:val="none"/>
                <w14:textFill>
                  <w14:solidFill>
                    <w14:schemeClr w14:val="tx1"/>
                  </w14:solidFill>
                </w14:textFill>
              </w:rPr>
              <w:t>植被为主</w:t>
            </w:r>
            <w:r>
              <w:rPr>
                <w:rFonts w:hint="eastAsia"/>
                <w:bCs/>
                <w:color w:val="000000" w:themeColor="text1"/>
                <w:kern w:val="0"/>
                <w:sz w:val="24"/>
                <w:highlight w:val="none"/>
                <w:lang w:eastAsia="zh-CN"/>
                <w14:textFill>
                  <w14:solidFill>
                    <w14:schemeClr w14:val="tx1"/>
                  </w14:solidFill>
                </w14:textFill>
              </w:rPr>
              <w:t>，</w:t>
            </w:r>
            <w:r>
              <w:rPr>
                <w:rFonts w:hint="eastAsia"/>
                <w:bCs/>
                <w:color w:val="000000" w:themeColor="text1"/>
                <w:kern w:val="0"/>
                <w:sz w:val="24"/>
                <w:highlight w:val="none"/>
                <w:lang w:val="en-US" w:eastAsia="zh-CN"/>
                <w14:textFill>
                  <w14:solidFill>
                    <w14:schemeClr w14:val="tx1"/>
                  </w14:solidFill>
                </w14:textFill>
              </w:rPr>
              <w:t>东侧局部为城镇生态系统</w:t>
            </w:r>
            <w:r>
              <w:rPr>
                <w:rFonts w:hint="eastAsia"/>
                <w:bCs/>
                <w:color w:val="000000" w:themeColor="text1"/>
                <w:kern w:val="0"/>
                <w:sz w:val="24"/>
                <w:highlight w:val="none"/>
                <w14:textFill>
                  <w14:solidFill>
                    <w14:schemeClr w14:val="tx1"/>
                  </w14:solidFill>
                </w14:textFill>
              </w:rPr>
              <w:t>，</w:t>
            </w:r>
            <w:r>
              <w:rPr>
                <w:rFonts w:hint="eastAsia"/>
                <w:bCs/>
                <w:color w:val="000000" w:themeColor="text1"/>
                <w:kern w:val="0"/>
                <w:sz w:val="24"/>
                <w:highlight w:val="none"/>
                <w:lang w:val="en-US" w:eastAsia="zh-CN"/>
                <w14:textFill>
                  <w14:solidFill>
                    <w14:schemeClr w14:val="tx1"/>
                  </w14:solidFill>
                </w14:textFill>
              </w:rPr>
              <w:t>有少量人工植被，</w:t>
            </w:r>
            <w:r>
              <w:rPr>
                <w:rFonts w:hint="eastAsia"/>
                <w:bCs/>
                <w:color w:val="000000" w:themeColor="text1"/>
                <w:kern w:val="0"/>
                <w:sz w:val="24"/>
                <w:highlight w:val="none"/>
                <w14:textFill>
                  <w14:solidFill>
                    <w14:schemeClr w14:val="tx1"/>
                  </w14:solidFill>
                </w14:textFill>
              </w:rPr>
              <w:t>土地利用类型主要为耕地、</w:t>
            </w:r>
            <w:r>
              <w:rPr>
                <w:rFonts w:hint="eastAsia"/>
                <w:bCs/>
                <w:color w:val="000000" w:themeColor="text1"/>
                <w:kern w:val="0"/>
                <w:sz w:val="24"/>
                <w:highlight w:val="none"/>
                <w:lang w:val="en-US" w:eastAsia="zh-CN"/>
                <w14:textFill>
                  <w14:solidFill>
                    <w14:schemeClr w14:val="tx1"/>
                  </w14:solidFill>
                </w14:textFill>
              </w:rPr>
              <w:t>建设用地和未利用地</w:t>
            </w:r>
            <w:r>
              <w:rPr>
                <w:rFonts w:hint="eastAsia"/>
                <w:bCs/>
                <w:color w:val="000000" w:themeColor="text1"/>
                <w:kern w:val="0"/>
                <w:sz w:val="24"/>
                <w:highlight w:val="none"/>
                <w14:textFill>
                  <w14:solidFill>
                    <w14:schemeClr w14:val="tx1"/>
                  </w14:solidFill>
                </w14:textFill>
              </w:rPr>
              <w:t>。本项目为</w:t>
            </w:r>
            <w:r>
              <w:rPr>
                <w:rFonts w:hint="eastAsia"/>
                <w:bCs/>
                <w:color w:val="000000" w:themeColor="text1"/>
                <w:kern w:val="0"/>
                <w:sz w:val="24"/>
                <w:highlight w:val="none"/>
                <w:lang w:val="en-US" w:eastAsia="zh-CN"/>
                <w14:textFill>
                  <w14:solidFill>
                    <w14:schemeClr w14:val="tx1"/>
                  </w14:solidFill>
                </w14:textFill>
              </w:rPr>
              <w:t>新建</w:t>
            </w:r>
            <w:r>
              <w:rPr>
                <w:rFonts w:hint="eastAsia"/>
                <w:bCs/>
                <w:color w:val="000000" w:themeColor="text1"/>
                <w:kern w:val="0"/>
                <w:sz w:val="24"/>
                <w:highlight w:val="none"/>
                <w14:textFill>
                  <w14:solidFill>
                    <w14:schemeClr w14:val="tx1"/>
                  </w14:solidFill>
                </w14:textFill>
              </w:rPr>
              <w:t>道路</w:t>
            </w:r>
            <w:r>
              <w:rPr>
                <w:rFonts w:hint="eastAsia"/>
                <w:bCs/>
                <w:color w:val="000000" w:themeColor="text1"/>
                <w:kern w:val="0"/>
                <w:sz w:val="24"/>
                <w:highlight w:val="none"/>
                <w:lang w:val="en-US" w:eastAsia="zh-CN"/>
                <w14:textFill>
                  <w14:solidFill>
                    <w14:schemeClr w14:val="tx1"/>
                  </w14:solidFill>
                </w14:textFill>
              </w:rPr>
              <w:t>项目</w:t>
            </w:r>
            <w:r>
              <w:rPr>
                <w:rFonts w:hint="eastAsia"/>
                <w:bCs/>
                <w:color w:val="000000" w:themeColor="text1"/>
                <w:kern w:val="0"/>
                <w:sz w:val="24"/>
                <w:highlight w:val="none"/>
                <w14:textFill>
                  <w14:solidFill>
                    <w14:schemeClr w14:val="tx1"/>
                  </w14:solidFill>
                </w14:textFill>
              </w:rPr>
              <w:t>，</w:t>
            </w:r>
            <w:r>
              <w:rPr>
                <w:rFonts w:hint="eastAsia"/>
                <w:bCs/>
                <w:color w:val="000000" w:themeColor="text1"/>
                <w:kern w:val="0"/>
                <w:sz w:val="24"/>
                <w:highlight w:val="none"/>
                <w:lang w:val="en-US" w:eastAsia="zh-CN"/>
                <w14:textFill>
                  <w14:solidFill>
                    <w14:schemeClr w14:val="tx1"/>
                  </w14:solidFill>
                </w14:textFill>
              </w:rPr>
              <w:t>项目</w:t>
            </w:r>
            <w:r>
              <w:rPr>
                <w:rFonts w:hint="eastAsia"/>
                <w:bCs/>
                <w:color w:val="000000" w:themeColor="text1"/>
                <w:kern w:val="0"/>
                <w:sz w:val="24"/>
                <w:highlight w:val="none"/>
                <w14:textFill>
                  <w14:solidFill>
                    <w14:schemeClr w14:val="tx1"/>
                  </w14:solidFill>
                </w14:textFill>
              </w:rPr>
              <w:t>占地44228m</w:t>
            </w:r>
            <w:r>
              <w:rPr>
                <w:rFonts w:hint="eastAsia"/>
                <w:bCs/>
                <w:color w:val="000000" w:themeColor="text1"/>
                <w:kern w:val="0"/>
                <w:sz w:val="24"/>
                <w:highlight w:val="none"/>
                <w:vertAlign w:val="superscript"/>
                <w14:textFill>
                  <w14:solidFill>
                    <w14:schemeClr w14:val="tx1"/>
                  </w14:solidFill>
                </w14:textFill>
              </w:rPr>
              <w:t>2</w:t>
            </w:r>
            <w:r>
              <w:rPr>
                <w:rFonts w:hint="eastAsia"/>
                <w:bCs/>
                <w:color w:val="000000" w:themeColor="text1"/>
                <w:kern w:val="0"/>
                <w:sz w:val="24"/>
                <w:highlight w:val="none"/>
                <w14:textFill>
                  <w14:solidFill>
                    <w14:schemeClr w14:val="tx1"/>
                  </w14:solidFill>
                </w14:textFill>
              </w:rPr>
              <w:t>，项目的实施将永久性改变土地利用功能，对生态系统进行分割，整体功能产生破碎化影响。</w:t>
            </w:r>
          </w:p>
          <w:p>
            <w:pPr>
              <w:keepNext w:val="0"/>
              <w:keepLines w:val="0"/>
              <w:suppressLineNumbers w:val="0"/>
              <w:adjustRightInd w:val="0"/>
              <w:snapToGrid w:val="0"/>
              <w:spacing w:before="0" w:beforeAutospacing="0" w:after="0" w:afterAutospacing="0" w:line="360" w:lineRule="auto"/>
              <w:ind w:left="0" w:right="0" w:firstLine="480" w:firstLineChars="200"/>
              <w:rPr>
                <w:bCs/>
                <w:color w:val="000000" w:themeColor="text1"/>
                <w:kern w:val="0"/>
                <w:sz w:val="24"/>
                <w:highlight w:val="none"/>
                <w14:textFill>
                  <w14:solidFill>
                    <w14:schemeClr w14:val="tx1"/>
                  </w14:solidFill>
                </w14:textFill>
              </w:rPr>
            </w:pPr>
            <w:r>
              <w:rPr>
                <w:rFonts w:hint="eastAsia"/>
                <w:bCs/>
                <w:color w:val="000000" w:themeColor="text1"/>
                <w:kern w:val="0"/>
                <w:sz w:val="24"/>
                <w:highlight w:val="none"/>
                <w14:textFill>
                  <w14:solidFill>
                    <w14:schemeClr w14:val="tx1"/>
                  </w14:solidFill>
                </w14:textFill>
              </w:rPr>
              <w:t>根据现场调查和区域资料研究，本项目建设区域</w:t>
            </w:r>
            <w:r>
              <w:rPr>
                <w:rFonts w:hint="eastAsia"/>
                <w:bCs/>
                <w:color w:val="000000" w:themeColor="text1"/>
                <w:kern w:val="0"/>
                <w:sz w:val="24"/>
                <w:highlight w:val="none"/>
                <w:lang w:val="en-US" w:eastAsia="zh-CN"/>
                <w14:textFill>
                  <w14:solidFill>
                    <w14:schemeClr w14:val="tx1"/>
                  </w14:solidFill>
                </w14:textFill>
              </w:rPr>
              <w:t>为马踏洞新区，</w:t>
            </w:r>
            <w:r>
              <w:rPr>
                <w:rFonts w:hint="eastAsia"/>
                <w:bCs/>
                <w:color w:val="000000" w:themeColor="text1"/>
                <w:kern w:val="0"/>
                <w:sz w:val="24"/>
                <w:highlight w:val="none"/>
                <w14:textFill>
                  <w14:solidFill>
                    <w14:schemeClr w14:val="tx1"/>
                  </w14:solidFill>
                </w14:textFill>
              </w:rPr>
              <w:t>区域生态环境类型</w:t>
            </w:r>
            <w:r>
              <w:rPr>
                <w:rFonts w:hint="eastAsia"/>
                <w:bCs/>
                <w:color w:val="000000" w:themeColor="text1"/>
                <w:kern w:val="0"/>
                <w:sz w:val="24"/>
                <w:highlight w:val="none"/>
                <w:lang w:val="en-US" w:eastAsia="zh-CN"/>
                <w14:textFill>
                  <w14:solidFill>
                    <w14:schemeClr w14:val="tx1"/>
                  </w14:solidFill>
                </w14:textFill>
              </w:rPr>
              <w:t>基本为</w:t>
            </w:r>
            <w:r>
              <w:rPr>
                <w:rFonts w:hint="eastAsia"/>
                <w:bCs/>
                <w:color w:val="000000" w:themeColor="text1"/>
                <w:kern w:val="0"/>
                <w:sz w:val="24"/>
                <w:highlight w:val="none"/>
                <w14:textFill>
                  <w14:solidFill>
                    <w14:schemeClr w14:val="tx1"/>
                  </w14:solidFill>
                </w14:textFill>
              </w:rPr>
              <w:t>农村生态环境，</w:t>
            </w:r>
            <w:r>
              <w:rPr>
                <w:rFonts w:hint="eastAsia"/>
                <w:bCs/>
                <w:color w:val="000000" w:themeColor="text1"/>
                <w:kern w:val="0"/>
                <w:sz w:val="24"/>
                <w:highlight w:val="none"/>
                <w:lang w:val="en-US" w:eastAsia="zh-CN"/>
                <w14:textFill>
                  <w14:solidFill>
                    <w14:schemeClr w14:val="tx1"/>
                  </w14:solidFill>
                </w14:textFill>
              </w:rPr>
              <w:t>开发程度较低，本项目只有1条线路，不涉及</w:t>
            </w:r>
            <w:r>
              <w:rPr>
                <w:rFonts w:hint="eastAsia"/>
                <w:bCs/>
                <w:color w:val="000000" w:themeColor="text1"/>
                <w:kern w:val="0"/>
                <w:sz w:val="24"/>
                <w:highlight w:val="none"/>
                <w14:textFill>
                  <w14:solidFill>
                    <w14:schemeClr w14:val="tx1"/>
                  </w14:solidFill>
                </w14:textFill>
              </w:rPr>
              <w:t>隧道工程。根据现场调查，评价范围内主要</w:t>
            </w:r>
            <w:r>
              <w:rPr>
                <w:rFonts w:hint="eastAsia"/>
                <w:bCs/>
                <w:color w:val="000000" w:themeColor="text1"/>
                <w:kern w:val="0"/>
                <w:sz w:val="24"/>
                <w:highlight w:val="none"/>
                <w:lang w:val="en-US" w:eastAsia="zh-CN"/>
                <w14:textFill>
                  <w14:solidFill>
                    <w14:schemeClr w14:val="tx1"/>
                  </w14:solidFill>
                </w14:textFill>
              </w:rPr>
              <w:t>分布着农户聚集区</w:t>
            </w:r>
            <w:r>
              <w:rPr>
                <w:rFonts w:hint="eastAsia"/>
                <w:bCs/>
                <w:color w:val="000000" w:themeColor="text1"/>
                <w:kern w:val="0"/>
                <w:sz w:val="24"/>
                <w:highlight w:val="none"/>
                <w14:textFill>
                  <w14:solidFill>
                    <w14:schemeClr w14:val="tx1"/>
                  </w14:solidFill>
                </w14:textFill>
              </w:rPr>
              <w:t>、野生植被</w:t>
            </w:r>
            <w:r>
              <w:rPr>
                <w:rFonts w:hint="eastAsia"/>
                <w:bCs/>
                <w:color w:val="000000" w:themeColor="text1"/>
                <w:kern w:val="0"/>
                <w:sz w:val="24"/>
                <w:highlight w:val="none"/>
                <w:lang w:val="en-US" w:eastAsia="zh-CN"/>
                <w14:textFill>
                  <w14:solidFill>
                    <w14:schemeClr w14:val="tx1"/>
                  </w14:solidFill>
                </w14:textFill>
              </w:rPr>
              <w:t>及</w:t>
            </w:r>
            <w:r>
              <w:rPr>
                <w:rFonts w:hint="eastAsia"/>
                <w:bCs/>
                <w:color w:val="000000" w:themeColor="text1"/>
                <w:kern w:val="0"/>
                <w:sz w:val="24"/>
                <w:highlight w:val="none"/>
                <w14:textFill>
                  <w14:solidFill>
                    <w14:schemeClr w14:val="tx1"/>
                  </w14:solidFill>
                </w14:textFill>
              </w:rPr>
              <w:t>人工种植农作物</w:t>
            </w:r>
            <w:r>
              <w:rPr>
                <w:rFonts w:hint="eastAsia"/>
                <w:bCs/>
                <w:color w:val="000000" w:themeColor="text1"/>
                <w:kern w:val="0"/>
                <w:sz w:val="24"/>
                <w:highlight w:val="none"/>
                <w:lang w:eastAsia="zh-CN"/>
                <w14:textFill>
                  <w14:solidFill>
                    <w14:schemeClr w14:val="tx1"/>
                  </w14:solidFill>
                </w14:textFill>
              </w:rPr>
              <w:t>，</w:t>
            </w:r>
            <w:r>
              <w:rPr>
                <w:rFonts w:hint="eastAsia"/>
                <w:bCs/>
                <w:color w:val="000000" w:themeColor="text1"/>
                <w:kern w:val="0"/>
                <w:sz w:val="24"/>
                <w:highlight w:val="none"/>
                <w14:textFill>
                  <w14:solidFill>
                    <w14:schemeClr w14:val="tx1"/>
                  </w14:solidFill>
                </w14:textFill>
              </w:rPr>
              <w:t>主要的动物有人工饲养家禽（包括鸡、鸭、鱼等），野生动物主要为蛇、蛙、啮齿类及山雀等，不涉及水生、陆生珍稀动植物、重点保护动物等，经现场调查，评价范围内不涉及名木古树等。</w:t>
            </w:r>
          </w:p>
          <w:p>
            <w:pPr>
              <w:keepNext w:val="0"/>
              <w:keepLines w:val="0"/>
              <w:suppressLineNumbers w:val="0"/>
              <w:adjustRightInd w:val="0"/>
              <w:snapToGrid w:val="0"/>
              <w:spacing w:before="0" w:beforeAutospacing="0" w:after="0" w:afterAutospacing="0" w:line="360" w:lineRule="auto"/>
              <w:ind w:left="0" w:right="0" w:firstLine="482" w:firstLineChars="200"/>
              <w:rPr>
                <w:b/>
                <w:bCs w:val="0"/>
                <w:color w:val="000000" w:themeColor="text1"/>
                <w:kern w:val="0"/>
                <w:sz w:val="24"/>
                <w:highlight w:val="none"/>
                <w14:textFill>
                  <w14:solidFill>
                    <w14:schemeClr w14:val="tx1"/>
                  </w14:solidFill>
                </w14:textFill>
              </w:rPr>
            </w:pPr>
            <w:r>
              <w:rPr>
                <w:rFonts w:hint="eastAsia"/>
                <w:b/>
                <w:bCs w:val="0"/>
                <w:color w:val="000000" w:themeColor="text1"/>
                <w:kern w:val="0"/>
                <w:sz w:val="24"/>
                <w:highlight w:val="none"/>
                <w:lang w:val="en-US" w:eastAsia="zh-CN"/>
                <w14:textFill>
                  <w14:solidFill>
                    <w14:schemeClr w14:val="tx1"/>
                  </w14:solidFill>
                </w14:textFill>
              </w:rPr>
              <w:t>2、水生生态环境现状</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kern w:val="0"/>
                <w:sz w:val="24"/>
                <w:highlight w:val="none"/>
                <w14:textFill>
                  <w14:solidFill>
                    <w14:schemeClr w14:val="tx1"/>
                  </w14:solidFill>
                </w14:textFill>
              </w:rPr>
            </w:pPr>
            <w:r>
              <w:rPr>
                <w:rFonts w:hint="eastAsia"/>
                <w:bCs/>
                <w:color w:val="000000" w:themeColor="text1"/>
                <w:kern w:val="0"/>
                <w:sz w:val="24"/>
                <w:highlight w:val="none"/>
                <w14:textFill>
                  <w14:solidFill>
                    <w14:schemeClr w14:val="tx1"/>
                  </w14:solidFill>
                </w14:textFill>
              </w:rPr>
              <w:t>区域</w:t>
            </w:r>
            <w:r>
              <w:rPr>
                <w:rFonts w:hint="eastAsia"/>
                <w:bCs/>
                <w:color w:val="000000" w:themeColor="text1"/>
                <w:kern w:val="0"/>
                <w:sz w:val="24"/>
                <w:highlight w:val="none"/>
                <w:lang w:val="en-US" w:eastAsia="zh-CN"/>
                <w14:textFill>
                  <w14:solidFill>
                    <w14:schemeClr w14:val="tx1"/>
                  </w14:solidFill>
                </w14:textFill>
              </w:rPr>
              <w:t>内无河流穿过，距离项目最近的河流为项目东侧约1.7公里的双龙河</w:t>
            </w:r>
            <w:r>
              <w:rPr>
                <w:rFonts w:hint="eastAsia"/>
                <w:bCs/>
                <w:color w:val="000000" w:themeColor="text1"/>
                <w:kern w:val="0"/>
                <w:sz w:val="24"/>
                <w:highlight w:val="none"/>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0" w:firstLineChars="200"/>
              <w:rPr>
                <w:bCs/>
                <w:color w:val="000000" w:themeColor="text1"/>
                <w:kern w:val="0"/>
                <w:sz w:val="24"/>
                <w:highlight w:val="none"/>
                <w14:textFill>
                  <w14:solidFill>
                    <w14:schemeClr w14:val="tx1"/>
                  </w14:solidFill>
                </w14:textFill>
              </w:rPr>
            </w:pPr>
            <w:r>
              <w:rPr>
                <w:rFonts w:hint="eastAsia"/>
                <w:bCs/>
                <w:color w:val="000000" w:themeColor="text1"/>
                <w:kern w:val="0"/>
                <w:sz w:val="24"/>
                <w:highlight w:val="none"/>
                <w:lang w:val="en-US" w:eastAsia="zh-CN"/>
                <w14:textFill>
                  <w14:solidFill>
                    <w14:schemeClr w14:val="tx1"/>
                  </w14:solidFill>
                </w14:textFill>
              </w:rPr>
              <w:t>双龙河</w:t>
            </w:r>
            <w:r>
              <w:rPr>
                <w:rFonts w:hint="eastAsia"/>
                <w:bCs/>
                <w:color w:val="000000" w:themeColor="text1"/>
                <w:kern w:val="0"/>
                <w:sz w:val="24"/>
                <w:highlight w:val="none"/>
                <w14:textFill>
                  <w14:solidFill>
                    <w14:schemeClr w14:val="tx1"/>
                  </w14:solidFill>
                </w14:textFill>
              </w:rPr>
              <w:t>简介：</w:t>
            </w:r>
            <w:r>
              <w:rPr>
                <w:rFonts w:hint="eastAsia"/>
                <w:bCs/>
                <w:color w:val="000000" w:themeColor="text1"/>
                <w:kern w:val="0"/>
                <w:sz w:val="24"/>
                <w:highlight w:val="none"/>
                <w:lang w:val="en-US" w:eastAsia="zh-CN"/>
                <w14:textFill>
                  <w14:solidFill>
                    <w14:schemeClr w14:val="tx1"/>
                  </w14:solidFill>
                </w14:textFill>
              </w:rPr>
              <w:t>为</w:t>
            </w:r>
            <w:r>
              <w:rPr>
                <w:rFonts w:hint="eastAsia"/>
                <w:bCs/>
                <w:color w:val="000000" w:themeColor="text1"/>
                <w:kern w:val="0"/>
                <w:sz w:val="24"/>
                <w:highlight w:val="none"/>
                <w14:textFill>
                  <w14:solidFill>
                    <w14:schemeClr w14:val="tx1"/>
                  </w14:solidFill>
                </w14:textFill>
              </w:rPr>
              <w:t>长江支流嘉陵江的支流渠江的支流州河的支流，发源于通川区东岳乡（现东岳镇）魏家山，在达州市境内长约20.3公里，多年平均流量入口1.01立方米/秒（李家堡），出口约1.74立方米/秒（阁溪桥），最大流量为50立方米/秒，一般年枯水流量仅约0.2立方米/秒，河床平均宽约8米，河床纵向坡度小、水浅，流速缓慢，最低水深约0.3米，最高水深约6米。河流水源主要是以降雨为主（约占四分之三），其次为铁山龙洞泉水，全年补给约占四分之一。</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val="0"/>
                <w:color w:val="000000" w:themeColor="text1"/>
                <w:kern w:val="0"/>
                <w:sz w:val="24"/>
                <w:highlight w:val="none"/>
                <w14:textFill>
                  <w14:solidFill>
                    <w14:schemeClr w14:val="tx1"/>
                  </w14:solidFill>
                </w14:textFill>
              </w:rPr>
            </w:pPr>
            <w:r>
              <w:rPr>
                <w:rFonts w:hint="eastAsia"/>
                <w:b/>
                <w:bCs w:val="0"/>
                <w:color w:val="000000" w:themeColor="text1"/>
                <w:kern w:val="0"/>
                <w:sz w:val="24"/>
                <w:highlight w:val="none"/>
                <w:lang w:val="en-US" w:eastAsia="zh-CN"/>
                <w14:textFill>
                  <w14:solidFill>
                    <w14:schemeClr w14:val="tx1"/>
                  </w14:solidFill>
                </w14:textFill>
              </w:rPr>
              <w:t>3、水土流失现状</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kern w:val="0"/>
                <w:sz w:val="24"/>
                <w:highlight w:val="none"/>
                <w14:textFill>
                  <w14:solidFill>
                    <w14:schemeClr w14:val="tx1"/>
                  </w14:solidFill>
                </w14:textFill>
              </w:rPr>
            </w:pPr>
            <w:r>
              <w:rPr>
                <w:rFonts w:hint="eastAsia"/>
                <w:bCs/>
                <w:color w:val="000000" w:themeColor="text1"/>
                <w:kern w:val="0"/>
                <w:sz w:val="24"/>
                <w:highlight w:val="none"/>
                <w14:textFill>
                  <w14:solidFill>
                    <w14:schemeClr w14:val="tx1"/>
                  </w14:solidFill>
                </w14:textFill>
              </w:rPr>
              <w:t>根据全国水土保持规划国家级水土流失重点预防区和重点治理区复核划分成果（办水保〔2013〕188号）</w:t>
            </w:r>
            <w:r>
              <w:rPr>
                <w:rFonts w:hint="eastAsia"/>
                <w:bCs/>
                <w:color w:val="000000" w:themeColor="text1"/>
                <w:kern w:val="0"/>
                <w:sz w:val="24"/>
                <w:highlight w:val="none"/>
                <w:lang w:eastAsia="zh-CN"/>
                <w14:textFill>
                  <w14:solidFill>
                    <w14:schemeClr w14:val="tx1"/>
                  </w14:solidFill>
                </w14:textFill>
              </w:rPr>
              <w:t>。</w:t>
            </w:r>
            <w:r>
              <w:rPr>
                <w:rFonts w:hint="eastAsia"/>
                <w:b/>
                <w:bCs w:val="0"/>
                <w:color w:val="000000" w:themeColor="text1"/>
                <w:kern w:val="0"/>
                <w:sz w:val="24"/>
                <w:highlight w:val="none"/>
                <w14:textFill>
                  <w14:solidFill>
                    <w14:schemeClr w14:val="tx1"/>
                  </w14:solidFill>
                </w14:textFill>
              </w:rPr>
              <w:t>本</w:t>
            </w:r>
            <w:r>
              <w:rPr>
                <w:rFonts w:hint="eastAsia"/>
                <w:b/>
                <w:bCs w:val="0"/>
                <w:color w:val="000000" w:themeColor="text1"/>
                <w:kern w:val="0"/>
                <w:sz w:val="24"/>
                <w:highlight w:val="none"/>
                <w:lang w:val="en-US" w:eastAsia="zh-CN"/>
                <w14:textFill>
                  <w14:solidFill>
                    <w14:schemeClr w14:val="tx1"/>
                  </w14:solidFill>
                </w14:textFill>
              </w:rPr>
              <w:t>项目</w:t>
            </w:r>
            <w:r>
              <w:rPr>
                <w:rFonts w:hint="eastAsia"/>
                <w:b/>
                <w:bCs w:val="0"/>
                <w:color w:val="000000" w:themeColor="text1"/>
                <w:kern w:val="0"/>
                <w:sz w:val="24"/>
                <w:highlight w:val="none"/>
                <w14:textFill>
                  <w14:solidFill>
                    <w14:schemeClr w14:val="tx1"/>
                  </w14:solidFill>
                </w14:textFill>
              </w:rPr>
              <w:t>所在的地属于国家水土保持重点治理区，</w:t>
            </w:r>
            <w:r>
              <w:rPr>
                <w:rFonts w:hint="eastAsia"/>
                <w:bCs/>
                <w:color w:val="000000" w:themeColor="text1"/>
                <w:kern w:val="0"/>
                <w:sz w:val="24"/>
                <w:highlight w:val="none"/>
                <w14:textFill>
                  <w14:solidFill>
                    <w14:schemeClr w14:val="tx1"/>
                  </w14:solidFill>
                </w14:textFill>
              </w:rPr>
              <w:t>区域内土壤容许流失量为500t/km</w:t>
            </w:r>
            <w:r>
              <w:rPr>
                <w:rFonts w:hint="eastAsia"/>
                <w:bCs/>
                <w:color w:val="000000" w:themeColor="text1"/>
                <w:kern w:val="0"/>
                <w:sz w:val="24"/>
                <w:highlight w:val="none"/>
                <w:vertAlign w:val="superscript"/>
                <w14:textFill>
                  <w14:solidFill>
                    <w14:schemeClr w14:val="tx1"/>
                  </w14:solidFill>
                </w14:textFill>
              </w:rPr>
              <w:t>2</w:t>
            </w:r>
            <w:r>
              <w:rPr>
                <w:rFonts w:hint="eastAsia"/>
                <w:bCs/>
                <w:color w:val="000000" w:themeColor="text1"/>
                <w:kern w:val="0"/>
                <w:sz w:val="24"/>
                <w:highlight w:val="none"/>
                <w14:textFill>
                  <w14:solidFill>
                    <w14:schemeClr w14:val="tx1"/>
                  </w14:solidFill>
                </w14:textFill>
              </w:rPr>
              <w:t>•a。</w:t>
            </w:r>
          </w:p>
          <w:p>
            <w:pPr>
              <w:keepNext w:val="0"/>
              <w:keepLines w:val="0"/>
              <w:suppressLineNumbers w:val="0"/>
              <w:adjustRightInd w:val="0"/>
              <w:snapToGrid w:val="0"/>
              <w:spacing w:before="0" w:beforeAutospacing="0" w:after="0" w:afterAutospacing="0" w:line="360" w:lineRule="auto"/>
              <w:ind w:left="0" w:right="0" w:firstLine="480" w:firstLineChars="200"/>
              <w:rPr>
                <w:bCs/>
                <w:color w:val="000000" w:themeColor="text1"/>
                <w:kern w:val="0"/>
                <w:sz w:val="24"/>
                <w:highlight w:val="none"/>
                <w14:textFill>
                  <w14:solidFill>
                    <w14:schemeClr w14:val="tx1"/>
                  </w14:solidFill>
                </w14:textFill>
              </w:rPr>
            </w:pPr>
            <w:r>
              <w:rPr>
                <w:rFonts w:hint="eastAsia"/>
                <w:bCs/>
                <w:color w:val="000000" w:themeColor="text1"/>
                <w:kern w:val="0"/>
                <w:sz w:val="24"/>
                <w:highlight w:val="none"/>
                <w14:textFill>
                  <w14:solidFill>
                    <w14:schemeClr w14:val="tx1"/>
                  </w14:solidFill>
                </w14:textFill>
              </w:rPr>
              <w:t>根据达州市通川区水土保持规划报告（2015-2030年），通川区现有轻度以上水土流失面积430.66km</w:t>
            </w:r>
            <w:r>
              <w:rPr>
                <w:rFonts w:hint="eastAsia"/>
                <w:bCs/>
                <w:color w:val="000000" w:themeColor="text1"/>
                <w:kern w:val="0"/>
                <w:sz w:val="24"/>
                <w:highlight w:val="none"/>
                <w:vertAlign w:val="superscript"/>
                <w14:textFill>
                  <w14:solidFill>
                    <w14:schemeClr w14:val="tx1"/>
                  </w14:solidFill>
                </w14:textFill>
              </w:rPr>
              <w:t>2</w:t>
            </w:r>
            <w:r>
              <w:rPr>
                <w:rFonts w:hint="eastAsia"/>
                <w:bCs/>
                <w:color w:val="000000" w:themeColor="text1"/>
                <w:kern w:val="0"/>
                <w:sz w:val="24"/>
                <w:highlight w:val="none"/>
                <w14:textFill>
                  <w14:solidFill>
                    <w14:schemeClr w14:val="tx1"/>
                  </w14:solidFill>
                </w14:textFill>
              </w:rPr>
              <w:t>，占</w:t>
            </w:r>
            <w:r>
              <w:rPr>
                <w:rFonts w:hint="eastAsia"/>
                <w:bCs/>
                <w:color w:val="000000" w:themeColor="text1"/>
                <w:kern w:val="0"/>
                <w:sz w:val="24"/>
                <w:highlight w:val="none"/>
                <w:lang w:val="en-US" w:eastAsia="zh-CN"/>
                <w14:textFill>
                  <w14:solidFill>
                    <w14:schemeClr w14:val="tx1"/>
                  </w14:solidFill>
                </w14:textFill>
              </w:rPr>
              <w:t>辖区</w:t>
            </w:r>
            <w:r>
              <w:rPr>
                <w:rFonts w:hint="eastAsia"/>
                <w:bCs/>
                <w:color w:val="000000" w:themeColor="text1"/>
                <w:kern w:val="0"/>
                <w:sz w:val="24"/>
                <w:highlight w:val="none"/>
                <w14:textFill>
                  <w14:solidFill>
                    <w14:schemeClr w14:val="tx1"/>
                  </w14:solidFill>
                </w14:textFill>
              </w:rPr>
              <w:t>面积900.9km</w:t>
            </w:r>
            <w:r>
              <w:rPr>
                <w:rFonts w:hint="eastAsia"/>
                <w:bCs/>
                <w:color w:val="000000" w:themeColor="text1"/>
                <w:kern w:val="0"/>
                <w:sz w:val="24"/>
                <w:highlight w:val="none"/>
                <w:vertAlign w:val="superscript"/>
                <w14:textFill>
                  <w14:solidFill>
                    <w14:schemeClr w14:val="tx1"/>
                  </w14:solidFill>
                </w14:textFill>
              </w:rPr>
              <w:t>2</w:t>
            </w:r>
            <w:r>
              <w:rPr>
                <w:rFonts w:hint="eastAsia"/>
                <w:bCs/>
                <w:color w:val="000000" w:themeColor="text1"/>
                <w:kern w:val="0"/>
                <w:sz w:val="24"/>
                <w:highlight w:val="none"/>
                <w14:textFill>
                  <w14:solidFill>
                    <w14:schemeClr w14:val="tx1"/>
                  </w14:solidFill>
                </w14:textFill>
              </w:rPr>
              <w:t>的47.80%，流失区年平均土壤侵蚀总量198.13×104t，平均侵蚀模数4600t/km</w:t>
            </w:r>
            <w:r>
              <w:rPr>
                <w:rFonts w:hint="eastAsia"/>
                <w:bCs/>
                <w:color w:val="000000" w:themeColor="text1"/>
                <w:kern w:val="0"/>
                <w:sz w:val="24"/>
                <w:highlight w:val="none"/>
                <w:vertAlign w:val="superscript"/>
                <w14:textFill>
                  <w14:solidFill>
                    <w14:schemeClr w14:val="tx1"/>
                  </w14:solidFill>
                </w14:textFill>
              </w:rPr>
              <w:t>2</w:t>
            </w:r>
            <w:r>
              <w:rPr>
                <w:rFonts w:hint="eastAsia"/>
                <w:bCs/>
                <w:color w:val="000000" w:themeColor="text1"/>
                <w:kern w:val="0"/>
                <w:sz w:val="24"/>
                <w:highlight w:val="none"/>
                <w14:textFill>
                  <w14:solidFill>
                    <w14:schemeClr w14:val="tx1"/>
                  </w14:solidFill>
                </w14:textFill>
              </w:rPr>
              <w:t>·a，流失类型以面蚀为主。</w:t>
            </w:r>
            <w:r>
              <w:rPr>
                <w:rFonts w:hint="eastAsia"/>
                <w:bCs/>
                <w:color w:val="000000" w:themeColor="text1"/>
                <w:kern w:val="0"/>
                <w:sz w:val="24"/>
                <w:highlight w:val="none"/>
                <w:lang w:val="en-US" w:eastAsia="zh-CN"/>
                <w14:textFill>
                  <w14:solidFill>
                    <w14:schemeClr w14:val="tx1"/>
                  </w14:solidFill>
                </w14:textFill>
              </w:rPr>
              <w:t>本</w:t>
            </w:r>
            <w:r>
              <w:rPr>
                <w:rFonts w:hint="eastAsia"/>
                <w:bCs/>
                <w:color w:val="000000" w:themeColor="text1"/>
                <w:kern w:val="0"/>
                <w:sz w:val="24"/>
                <w:highlight w:val="none"/>
                <w14:textFill>
                  <w14:solidFill>
                    <w14:schemeClr w14:val="tx1"/>
                  </w14:solidFill>
                </w14:textFill>
              </w:rPr>
              <w:t>项目所在地的水土流失特点是以水力侵蚀为主，流失强度属中、轻度等级，通川区年平均土壤侵蚀总量198.13×104t，平均侵蚀模数4600t/km</w:t>
            </w:r>
            <w:r>
              <w:rPr>
                <w:rFonts w:hint="eastAsia"/>
                <w:bCs/>
                <w:color w:val="000000" w:themeColor="text1"/>
                <w:kern w:val="0"/>
                <w:sz w:val="24"/>
                <w:highlight w:val="none"/>
                <w:vertAlign w:val="superscript"/>
                <w14:textFill>
                  <w14:solidFill>
                    <w14:schemeClr w14:val="tx1"/>
                  </w14:solidFill>
                </w14:textFill>
              </w:rPr>
              <w:t>2</w:t>
            </w:r>
            <w:r>
              <w:rPr>
                <w:rFonts w:hint="eastAsia"/>
                <w:bCs/>
                <w:color w:val="000000" w:themeColor="text1"/>
                <w:kern w:val="0"/>
                <w:sz w:val="24"/>
                <w:highlight w:val="none"/>
                <w14:textFill>
                  <w14:solidFill>
                    <w14:schemeClr w14:val="tx1"/>
                  </w14:solidFill>
                </w14:textFill>
              </w:rPr>
              <w:t>·a。</w:t>
            </w:r>
          </w:p>
          <w:p>
            <w:pPr>
              <w:keepNext w:val="0"/>
              <w:keepLines w:val="0"/>
              <w:suppressLineNumbers w:val="0"/>
              <w:adjustRightInd w:val="0"/>
              <w:snapToGrid w:val="0"/>
              <w:spacing w:before="0" w:beforeAutospacing="0" w:after="0" w:afterAutospacing="0" w:line="360" w:lineRule="auto"/>
              <w:ind w:left="0" w:right="0"/>
              <w:rPr>
                <w:b/>
                <w:bCs/>
                <w:color w:val="000000" w:themeColor="text1"/>
                <w:kern w:val="0"/>
                <w:sz w:val="24"/>
                <w:highlight w:val="none"/>
                <w14:textFill>
                  <w14:solidFill>
                    <w14:schemeClr w14:val="tx1"/>
                  </w14:solidFill>
                </w14:textFill>
              </w:rPr>
            </w:pPr>
            <w:r>
              <w:rPr>
                <w:rFonts w:hint="eastAsia"/>
                <w:b/>
                <w:bCs/>
                <w:color w:val="000000" w:themeColor="text1"/>
                <w:kern w:val="0"/>
                <w:sz w:val="24"/>
                <w:highlight w:val="none"/>
                <w:lang w:eastAsia="zh-CN"/>
                <w14:textFill>
                  <w14:solidFill>
                    <w14:schemeClr w14:val="tx1"/>
                  </w14:solidFill>
                </w14:textFill>
              </w:rPr>
              <w:t>（</w:t>
            </w:r>
            <w:r>
              <w:rPr>
                <w:rFonts w:hint="eastAsia"/>
                <w:b/>
                <w:bCs/>
                <w:color w:val="000000" w:themeColor="text1"/>
                <w:kern w:val="0"/>
                <w:sz w:val="24"/>
                <w:highlight w:val="none"/>
                <w:lang w:val="en-US" w:eastAsia="zh-CN"/>
                <w14:textFill>
                  <w14:solidFill>
                    <w14:schemeClr w14:val="tx1"/>
                  </w14:solidFill>
                </w14:textFill>
              </w:rPr>
              <w:t>三</w:t>
            </w:r>
            <w:r>
              <w:rPr>
                <w:rFonts w:hint="eastAsia"/>
                <w:b/>
                <w:bCs/>
                <w:color w:val="000000" w:themeColor="text1"/>
                <w:kern w:val="0"/>
                <w:sz w:val="24"/>
                <w:highlight w:val="none"/>
                <w:lang w:eastAsia="zh-CN"/>
                <w14:textFill>
                  <w14:solidFill>
                    <w14:schemeClr w14:val="tx1"/>
                  </w14:solidFill>
                </w14:textFill>
              </w:rPr>
              <w:t>）</w:t>
            </w:r>
            <w:r>
              <w:rPr>
                <w:b/>
                <w:bCs/>
                <w:color w:val="000000" w:themeColor="text1"/>
                <w:kern w:val="0"/>
                <w:sz w:val="24"/>
                <w:highlight w:val="none"/>
                <w14:textFill>
                  <w14:solidFill>
                    <w14:schemeClr w14:val="tx1"/>
                  </w14:solidFill>
                </w14:textFill>
              </w:rPr>
              <w:t>大气环境质量评价</w:t>
            </w:r>
          </w:p>
          <w:p>
            <w:pPr>
              <w:keepNext w:val="0"/>
              <w:keepLines w:val="0"/>
              <w:suppressLineNumbers w:val="0"/>
              <w:adjustRightInd w:val="0"/>
              <w:snapToGrid w:val="0"/>
              <w:spacing w:before="0" w:beforeAutospacing="0" w:after="0" w:afterAutospacing="0" w:line="360" w:lineRule="auto"/>
              <w:ind w:left="0" w:right="0" w:firstLine="480" w:firstLineChars="200"/>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根据《建设项目环境影响报告表编制技术指南》（生态影响类）（试行）“不开展专项评价的环境要素，引用与项目距离近的有效数据和调查资料，国家、地方环境质量监测网数据或生态环境主管部门公布的生态环境质量数据等”</w:t>
            </w:r>
            <w:r>
              <w:rPr>
                <w:color w:val="000000" w:themeColor="text1"/>
                <w:kern w:val="0"/>
                <w:sz w:val="24"/>
                <w:highlight w:val="none"/>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0" w:firstLineChars="200"/>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根据达州市生态环境局发布</w:t>
            </w:r>
            <w:r>
              <w:rPr>
                <w:rFonts w:hint="eastAsia"/>
                <w:color w:val="000000" w:themeColor="text1"/>
                <w:kern w:val="0"/>
                <w:sz w:val="24"/>
                <w:highlight w:val="none"/>
                <w:lang w:val="en-US" w:eastAsia="zh-CN"/>
                <w14:textFill>
                  <w14:solidFill>
                    <w14:schemeClr w14:val="tx1"/>
                  </w14:solidFill>
                </w14:textFill>
              </w:rPr>
              <w:t>的“达州市2023年环境空气质量状况”（网址：https://sthjj.dazhou.gov.cn/news-list-dqhjzl.html）</w:t>
            </w:r>
            <w:r>
              <w:rPr>
                <w:rFonts w:hint="eastAsia"/>
                <w:color w:val="000000" w:themeColor="text1"/>
                <w:kern w:val="0"/>
                <w:sz w:val="24"/>
                <w:highlight w:val="none"/>
                <w:lang w:eastAsia="zh-CN"/>
                <w14:textFill>
                  <w14:solidFill>
                    <w14:schemeClr w14:val="tx1"/>
                  </w14:solidFill>
                </w14:textFill>
              </w:rPr>
              <w:t>，</w:t>
            </w:r>
            <w:r>
              <w:rPr>
                <w:rFonts w:hint="eastAsia"/>
                <w:color w:val="000000" w:themeColor="text1"/>
                <w:kern w:val="0"/>
                <w:sz w:val="24"/>
                <w:highlight w:val="none"/>
                <w:lang w:val="en-US" w:eastAsia="zh-CN"/>
                <w14:textFill>
                  <w14:solidFill>
                    <w14:schemeClr w14:val="tx1"/>
                  </w14:solidFill>
                </w14:textFill>
              </w:rPr>
              <w:t>本项目所在区域大气环境质量见</w:t>
            </w:r>
            <w:r>
              <w:rPr>
                <w:rFonts w:hint="eastAsia"/>
                <w:color w:val="000000" w:themeColor="text1"/>
                <w:kern w:val="0"/>
                <w:sz w:val="24"/>
                <w:highlight w:val="none"/>
                <w14:textFill>
                  <w14:solidFill>
                    <w14:schemeClr w14:val="tx1"/>
                  </w14:solidFill>
                </w14:textFill>
              </w:rPr>
              <w:t>下表：</w:t>
            </w:r>
          </w:p>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表3-2  2023年通川区马踏洞新区环境空气质量状况一览表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9"/>
              <w:gridCol w:w="1031"/>
              <w:gridCol w:w="972"/>
              <w:gridCol w:w="995"/>
              <w:gridCol w:w="1045"/>
              <w:gridCol w:w="1020"/>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时间</w:t>
                  </w:r>
                </w:p>
              </w:tc>
              <w:tc>
                <w:tcPr>
                  <w:tcW w:w="621"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SO</w:t>
                  </w:r>
                  <w:r>
                    <w:rPr>
                      <w:rFonts w:hint="eastAsia" w:ascii="Times New Roman" w:hAnsi="Times New Roman" w:eastAsia="宋体" w:cs="Times New Roman"/>
                      <w:b w:val="0"/>
                      <w:color w:val="000000" w:themeColor="text1"/>
                      <w:kern w:val="0"/>
                      <w:sz w:val="24"/>
                      <w:szCs w:val="24"/>
                      <w:highlight w:val="none"/>
                      <w:vertAlign w:val="subscript"/>
                      <w:lang w:val="en-US" w:eastAsia="zh-CN" w:bidi="ar-SA"/>
                      <w14:textFill>
                        <w14:solidFill>
                          <w14:schemeClr w14:val="tx1"/>
                        </w14:solidFill>
                      </w14:textFill>
                    </w:rPr>
                    <w:t>2</w:t>
                  </w:r>
                </w:p>
              </w:tc>
              <w:tc>
                <w:tcPr>
                  <w:tcW w:w="585"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NO</w:t>
                  </w:r>
                  <w:r>
                    <w:rPr>
                      <w:rFonts w:hint="eastAsia" w:ascii="Times New Roman" w:hAnsi="Times New Roman" w:eastAsia="宋体" w:cs="Times New Roman"/>
                      <w:b w:val="0"/>
                      <w:color w:val="000000" w:themeColor="text1"/>
                      <w:kern w:val="0"/>
                      <w:sz w:val="24"/>
                      <w:szCs w:val="24"/>
                      <w:highlight w:val="none"/>
                      <w:vertAlign w:val="subscript"/>
                      <w:lang w:val="en-US" w:eastAsia="zh-CN" w:bidi="ar-SA"/>
                      <w14:textFill>
                        <w14:solidFill>
                          <w14:schemeClr w14:val="tx1"/>
                        </w14:solidFill>
                      </w14:textFill>
                    </w:rPr>
                    <w:t>2</w:t>
                  </w:r>
                </w:p>
              </w:tc>
              <w:tc>
                <w:tcPr>
                  <w:tcW w:w="599"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CO</w:t>
                  </w:r>
                </w:p>
              </w:tc>
              <w:tc>
                <w:tcPr>
                  <w:tcW w:w="629"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O</w:t>
                  </w:r>
                  <w:r>
                    <w:rPr>
                      <w:rFonts w:hint="eastAsia" w:ascii="Times New Roman" w:hAnsi="Times New Roman" w:eastAsia="宋体" w:cs="Times New Roman"/>
                      <w:b w:val="0"/>
                      <w:color w:val="000000" w:themeColor="text1"/>
                      <w:kern w:val="0"/>
                      <w:sz w:val="24"/>
                      <w:szCs w:val="24"/>
                      <w:highlight w:val="none"/>
                      <w:vertAlign w:val="subscript"/>
                      <w:lang w:val="en-US" w:eastAsia="zh-CN" w:bidi="ar-SA"/>
                      <w14:textFill>
                        <w14:solidFill>
                          <w14:schemeClr w14:val="tx1"/>
                        </w14:solidFill>
                      </w14:textFill>
                    </w:rPr>
                    <w:t>3</w:t>
                  </w:r>
                </w:p>
              </w:tc>
              <w:tc>
                <w:tcPr>
                  <w:tcW w:w="614"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PM</w:t>
                  </w:r>
                  <w:r>
                    <w:rPr>
                      <w:rFonts w:hint="eastAsia" w:ascii="Times New Roman" w:hAnsi="Times New Roman" w:eastAsia="宋体" w:cs="Times New Roman"/>
                      <w:b w:val="0"/>
                      <w:color w:val="000000" w:themeColor="text1"/>
                      <w:kern w:val="0"/>
                      <w:sz w:val="24"/>
                      <w:szCs w:val="24"/>
                      <w:highlight w:val="none"/>
                      <w:vertAlign w:val="subscript"/>
                      <w:lang w:val="en-US" w:eastAsia="zh-CN" w:bidi="ar-SA"/>
                      <w14:textFill>
                        <w14:solidFill>
                          <w14:schemeClr w14:val="tx1"/>
                        </w14:solidFill>
                      </w14:textFill>
                    </w:rPr>
                    <w:t>2.5</w:t>
                  </w:r>
                </w:p>
              </w:tc>
              <w:tc>
                <w:tcPr>
                  <w:tcW w:w="648"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PM</w:t>
                  </w:r>
                  <w:r>
                    <w:rPr>
                      <w:rFonts w:hint="eastAsia" w:ascii="Times New Roman" w:hAnsi="Times New Roman" w:eastAsia="宋体" w:cs="Times New Roman"/>
                      <w:b w:val="0"/>
                      <w:color w:val="000000" w:themeColor="text1"/>
                      <w:kern w:val="0"/>
                      <w:sz w:val="24"/>
                      <w:szCs w:val="24"/>
                      <w:highlight w:val="none"/>
                      <w:vertAlign w:val="subscript"/>
                      <w:lang w:val="en-US" w:eastAsia="zh-CN" w:bidi="ar-SA"/>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2023年全年平均值</w:t>
                  </w:r>
                </w:p>
              </w:tc>
              <w:tc>
                <w:tcPr>
                  <w:tcW w:w="621"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9</w:t>
                  </w:r>
                </w:p>
              </w:tc>
              <w:tc>
                <w:tcPr>
                  <w:tcW w:w="585"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33</w:t>
                  </w:r>
                </w:p>
              </w:tc>
              <w:tc>
                <w:tcPr>
                  <w:tcW w:w="599"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1.4</w:t>
                  </w:r>
                </w:p>
              </w:tc>
              <w:tc>
                <w:tcPr>
                  <w:tcW w:w="629"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124</w:t>
                  </w:r>
                </w:p>
              </w:tc>
              <w:tc>
                <w:tcPr>
                  <w:tcW w:w="614"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31</w:t>
                  </w:r>
                </w:p>
              </w:tc>
              <w:tc>
                <w:tcPr>
                  <w:tcW w:w="648"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标准</w:t>
                  </w:r>
                </w:p>
              </w:tc>
              <w:tc>
                <w:tcPr>
                  <w:tcW w:w="621"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30</w:t>
                  </w:r>
                </w:p>
              </w:tc>
              <w:tc>
                <w:tcPr>
                  <w:tcW w:w="585"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40</w:t>
                  </w:r>
                </w:p>
              </w:tc>
              <w:tc>
                <w:tcPr>
                  <w:tcW w:w="599"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4.0</w:t>
                  </w:r>
                </w:p>
              </w:tc>
              <w:tc>
                <w:tcPr>
                  <w:tcW w:w="629"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160</w:t>
                  </w:r>
                </w:p>
              </w:tc>
              <w:tc>
                <w:tcPr>
                  <w:tcW w:w="614"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35</w:t>
                  </w:r>
                </w:p>
              </w:tc>
              <w:tc>
                <w:tcPr>
                  <w:tcW w:w="648"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75</w:t>
                  </w:r>
                </w:p>
              </w:tc>
            </w:tr>
          </w:tbl>
          <w:p>
            <w:pPr>
              <w:keepNext w:val="0"/>
              <w:keepLines w:val="0"/>
              <w:suppressLineNumbers w:val="0"/>
              <w:adjustRightInd w:val="0"/>
              <w:snapToGrid w:val="0"/>
              <w:spacing w:before="0" w:beforeAutospacing="0" w:after="0" w:afterAutospacing="0" w:line="360" w:lineRule="auto"/>
              <w:ind w:left="0" w:right="0" w:firstLine="480" w:firstLineChars="200"/>
              <w:rPr>
                <w:b/>
                <w:bCs/>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根据《环境影响评价技术导则大气环境》（HJ2.2-2018），城市环境空气质量达标情况评价指标为CO、NO</w:t>
            </w:r>
            <w:r>
              <w:rPr>
                <w:rFonts w:hint="eastAsia"/>
                <w:color w:val="000000" w:themeColor="text1"/>
                <w:kern w:val="0"/>
                <w:sz w:val="24"/>
                <w:highlight w:val="none"/>
                <w:vertAlign w:val="subscript"/>
                <w14:textFill>
                  <w14:solidFill>
                    <w14:schemeClr w14:val="tx1"/>
                  </w14:solidFill>
                </w14:textFill>
              </w:rPr>
              <w:t>2</w:t>
            </w:r>
            <w:r>
              <w:rPr>
                <w:rFonts w:hint="eastAsia"/>
                <w:color w:val="000000" w:themeColor="text1"/>
                <w:kern w:val="0"/>
                <w:sz w:val="24"/>
                <w:highlight w:val="none"/>
                <w14:textFill>
                  <w14:solidFill>
                    <w14:schemeClr w14:val="tx1"/>
                  </w14:solidFill>
                </w14:textFill>
              </w:rPr>
              <w:t>、SO</w:t>
            </w:r>
            <w:r>
              <w:rPr>
                <w:rFonts w:hint="eastAsia"/>
                <w:color w:val="000000" w:themeColor="text1"/>
                <w:kern w:val="0"/>
                <w:sz w:val="24"/>
                <w:highlight w:val="none"/>
                <w:vertAlign w:val="subscript"/>
                <w14:textFill>
                  <w14:solidFill>
                    <w14:schemeClr w14:val="tx1"/>
                  </w14:solidFill>
                </w14:textFill>
              </w:rPr>
              <w:t>2</w:t>
            </w:r>
            <w:r>
              <w:rPr>
                <w:rFonts w:hint="eastAsia"/>
                <w:color w:val="000000" w:themeColor="text1"/>
                <w:kern w:val="0"/>
                <w:sz w:val="24"/>
                <w:highlight w:val="none"/>
                <w14:textFill>
                  <w14:solidFill>
                    <w14:schemeClr w14:val="tx1"/>
                  </w14:solidFill>
                </w14:textFill>
              </w:rPr>
              <w:t>、O</w:t>
            </w:r>
            <w:r>
              <w:rPr>
                <w:rFonts w:hint="eastAsia"/>
                <w:color w:val="000000" w:themeColor="text1"/>
                <w:kern w:val="0"/>
                <w:sz w:val="24"/>
                <w:highlight w:val="none"/>
                <w:vertAlign w:val="subscript"/>
                <w14:textFill>
                  <w14:solidFill>
                    <w14:schemeClr w14:val="tx1"/>
                  </w14:solidFill>
                </w14:textFill>
              </w:rPr>
              <w:t>3</w:t>
            </w:r>
            <w:r>
              <w:rPr>
                <w:rFonts w:hint="eastAsia"/>
                <w:color w:val="000000" w:themeColor="text1"/>
                <w:kern w:val="0"/>
                <w:sz w:val="24"/>
                <w:highlight w:val="none"/>
                <w14:textFill>
                  <w14:solidFill>
                    <w14:schemeClr w14:val="tx1"/>
                  </w14:solidFill>
                </w14:textFill>
              </w:rPr>
              <w:t>、PM</w:t>
            </w:r>
            <w:r>
              <w:rPr>
                <w:rFonts w:hint="eastAsia"/>
                <w:color w:val="000000" w:themeColor="text1"/>
                <w:kern w:val="0"/>
                <w:sz w:val="24"/>
                <w:highlight w:val="none"/>
                <w:vertAlign w:val="subscript"/>
                <w14:textFill>
                  <w14:solidFill>
                    <w14:schemeClr w14:val="tx1"/>
                  </w14:solidFill>
                </w14:textFill>
              </w:rPr>
              <w:t>10</w:t>
            </w:r>
            <w:r>
              <w:rPr>
                <w:rFonts w:hint="eastAsia"/>
                <w:color w:val="000000" w:themeColor="text1"/>
                <w:kern w:val="0"/>
                <w:sz w:val="24"/>
                <w:highlight w:val="none"/>
                <w14:textFill>
                  <w14:solidFill>
                    <w14:schemeClr w14:val="tx1"/>
                  </w14:solidFill>
                </w14:textFill>
              </w:rPr>
              <w:t>、PM</w:t>
            </w:r>
            <w:r>
              <w:rPr>
                <w:rFonts w:hint="eastAsia"/>
                <w:color w:val="000000" w:themeColor="text1"/>
                <w:kern w:val="0"/>
                <w:sz w:val="24"/>
                <w:highlight w:val="none"/>
                <w:vertAlign w:val="subscript"/>
                <w14:textFill>
                  <w14:solidFill>
                    <w14:schemeClr w14:val="tx1"/>
                  </w14:solidFill>
                </w14:textFill>
              </w:rPr>
              <w:t>2.5</w:t>
            </w:r>
            <w:r>
              <w:rPr>
                <w:rFonts w:hint="eastAsia"/>
                <w:color w:val="000000" w:themeColor="text1"/>
                <w:kern w:val="0"/>
                <w:sz w:val="24"/>
                <w:highlight w:val="none"/>
                <w14:textFill>
                  <w14:solidFill>
                    <w14:schemeClr w14:val="tx1"/>
                  </w14:solidFill>
                </w14:textFill>
              </w:rPr>
              <w:t>，6项污染物全部达标即为城市环境空气质量达标。因此，本项目所在区域环境空气质量判定为</w:t>
            </w:r>
            <w:r>
              <w:rPr>
                <w:rFonts w:hint="eastAsia"/>
                <w:b/>
                <w:bCs/>
                <w:color w:val="000000" w:themeColor="text1"/>
                <w:kern w:val="0"/>
                <w:sz w:val="24"/>
                <w:highlight w:val="none"/>
                <w14:textFill>
                  <w14:solidFill>
                    <w14:schemeClr w14:val="tx1"/>
                  </w14:solidFill>
                </w14:textFill>
              </w:rPr>
              <w:t>达标区。</w:t>
            </w:r>
          </w:p>
          <w:p>
            <w:pPr>
              <w:keepNext w:val="0"/>
              <w:keepLines w:val="0"/>
              <w:suppressLineNumbers w:val="0"/>
              <w:adjustRightInd w:val="0"/>
              <w:snapToGrid w:val="0"/>
              <w:spacing w:before="0" w:beforeAutospacing="0" w:after="0" w:afterAutospacing="0" w:line="360" w:lineRule="auto"/>
              <w:ind w:left="0" w:right="0"/>
              <w:rPr>
                <w:b/>
                <w:bCs/>
                <w:color w:val="000000" w:themeColor="text1"/>
                <w:kern w:val="0"/>
                <w:sz w:val="24"/>
                <w:highlight w:val="none"/>
                <w14:textFill>
                  <w14:solidFill>
                    <w14:schemeClr w14:val="tx1"/>
                  </w14:solidFill>
                </w14:textFill>
              </w:rPr>
            </w:pPr>
            <w:r>
              <w:rPr>
                <w:rFonts w:hint="eastAsia"/>
                <w:b/>
                <w:bCs/>
                <w:color w:val="000000" w:themeColor="text1"/>
                <w:kern w:val="0"/>
                <w:sz w:val="24"/>
                <w:highlight w:val="none"/>
                <w:lang w:eastAsia="zh-CN"/>
                <w14:textFill>
                  <w14:solidFill>
                    <w14:schemeClr w14:val="tx1"/>
                  </w14:solidFill>
                </w14:textFill>
              </w:rPr>
              <w:t>（</w:t>
            </w:r>
            <w:r>
              <w:rPr>
                <w:rFonts w:hint="eastAsia"/>
                <w:b/>
                <w:bCs/>
                <w:color w:val="000000" w:themeColor="text1"/>
                <w:kern w:val="0"/>
                <w:sz w:val="24"/>
                <w:highlight w:val="none"/>
                <w:lang w:val="en-US" w:eastAsia="zh-CN"/>
                <w14:textFill>
                  <w14:solidFill>
                    <w14:schemeClr w14:val="tx1"/>
                  </w14:solidFill>
                </w14:textFill>
              </w:rPr>
              <w:t>四</w:t>
            </w:r>
            <w:r>
              <w:rPr>
                <w:rFonts w:hint="eastAsia"/>
                <w:b/>
                <w:bCs/>
                <w:color w:val="000000" w:themeColor="text1"/>
                <w:kern w:val="0"/>
                <w:sz w:val="24"/>
                <w:highlight w:val="none"/>
                <w:lang w:eastAsia="zh-CN"/>
                <w14:textFill>
                  <w14:solidFill>
                    <w14:schemeClr w14:val="tx1"/>
                  </w14:solidFill>
                </w14:textFill>
              </w:rPr>
              <w:t>）</w:t>
            </w:r>
            <w:r>
              <w:rPr>
                <w:b/>
                <w:bCs/>
                <w:color w:val="000000" w:themeColor="text1"/>
                <w:kern w:val="0"/>
                <w:sz w:val="24"/>
                <w:highlight w:val="none"/>
                <w14:textFill>
                  <w14:solidFill>
                    <w14:schemeClr w14:val="tx1"/>
                  </w14:solidFill>
                </w14:textFill>
              </w:rPr>
              <w:t>地表水环境质量评价</w:t>
            </w:r>
          </w:p>
          <w:p>
            <w:pPr>
              <w:keepNext w:val="0"/>
              <w:keepLines w:val="0"/>
              <w:suppressLineNumbers w:val="0"/>
              <w:adjustRightInd w:val="0"/>
              <w:snapToGrid w:val="0"/>
              <w:spacing w:before="0" w:beforeAutospacing="0" w:after="0" w:afterAutospacing="0" w:line="360" w:lineRule="auto"/>
              <w:ind w:left="0" w:right="0" w:firstLine="480" w:firstLineChars="200"/>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根据《建设项目环境影响报告表编制技术指南》（生态影响类）（试行）“不开展专项评价的环境要素，引用与项目距离近的有效数据和调查资料，国家、地方环境质量监测网数据或生态环境主管部门公布的生态环境质量数据等”</w:t>
            </w:r>
            <w:r>
              <w:rPr>
                <w:color w:val="000000" w:themeColor="text1"/>
                <w:kern w:val="0"/>
                <w:sz w:val="24"/>
                <w:highlight w:val="none"/>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0" w:firstLineChars="200"/>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根据达州市生态环境局发布</w:t>
            </w:r>
            <w:r>
              <w:rPr>
                <w:rFonts w:hint="eastAsia"/>
                <w:color w:val="000000" w:themeColor="text1"/>
                <w:kern w:val="0"/>
                <w:sz w:val="24"/>
                <w:highlight w:val="none"/>
                <w:lang w:val="en-US" w:eastAsia="zh-CN"/>
                <w14:textFill>
                  <w14:solidFill>
                    <w14:schemeClr w14:val="tx1"/>
                  </w14:solidFill>
                </w14:textFill>
              </w:rPr>
              <w:t>的“达州市各县（市、区）环境空气质量月报（网址：https://sthjj.dazhou.gov.cn/news-list-shjzlcs.html）</w:t>
            </w:r>
            <w:r>
              <w:rPr>
                <w:rFonts w:hint="eastAsia"/>
                <w:color w:val="000000" w:themeColor="text1"/>
                <w:kern w:val="0"/>
                <w:sz w:val="24"/>
                <w:highlight w:val="none"/>
                <w:lang w:eastAsia="zh-CN"/>
                <w14:textFill>
                  <w14:solidFill>
                    <w14:schemeClr w14:val="tx1"/>
                  </w14:solidFill>
                </w14:textFill>
              </w:rPr>
              <w:t>，</w:t>
            </w:r>
            <w:r>
              <w:rPr>
                <w:rFonts w:hint="eastAsia"/>
                <w:color w:val="000000" w:themeColor="text1"/>
                <w:kern w:val="0"/>
                <w:sz w:val="24"/>
                <w:highlight w:val="none"/>
                <w:lang w:val="en-US" w:eastAsia="zh-CN"/>
                <w14:textFill>
                  <w14:solidFill>
                    <w14:schemeClr w14:val="tx1"/>
                  </w14:solidFill>
                </w14:textFill>
              </w:rPr>
              <w:t>本项目所在区域地表水环境质量见</w:t>
            </w:r>
            <w:r>
              <w:rPr>
                <w:rFonts w:hint="eastAsia"/>
                <w:color w:val="000000" w:themeColor="text1"/>
                <w:kern w:val="0"/>
                <w:sz w:val="24"/>
                <w:highlight w:val="none"/>
                <w14:textFill>
                  <w14:solidFill>
                    <w14:schemeClr w14:val="tx1"/>
                  </w14:solidFill>
                </w14:textFill>
              </w:rPr>
              <w:t>下表：</w:t>
            </w:r>
          </w:p>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表3-3  2023年区域地表水环境质量状况一览表（摘录）</w:t>
            </w:r>
          </w:p>
          <w:tbl>
            <w:tblPr>
              <w:tblStyle w:val="25"/>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1069"/>
              <w:gridCol w:w="1116"/>
              <w:gridCol w:w="732"/>
              <w:gridCol w:w="732"/>
              <w:gridCol w:w="720"/>
              <w:gridCol w:w="732"/>
              <w:gridCol w:w="624"/>
              <w:gridCol w:w="684"/>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gridSpan w:val="2"/>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河流</w:t>
                  </w:r>
                </w:p>
              </w:tc>
              <w:tc>
                <w:tcPr>
                  <w:tcW w:w="672"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断面名称</w:t>
                  </w:r>
                </w:p>
              </w:tc>
              <w:tc>
                <w:tcPr>
                  <w:tcW w:w="441"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12月</w:t>
                  </w:r>
                </w:p>
              </w:tc>
              <w:tc>
                <w:tcPr>
                  <w:tcW w:w="441"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11月</w:t>
                  </w:r>
                </w:p>
              </w:tc>
              <w:tc>
                <w:tcPr>
                  <w:tcW w:w="434"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10月</w:t>
                  </w:r>
                </w:p>
              </w:tc>
              <w:tc>
                <w:tcPr>
                  <w:tcW w:w="441"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9月</w:t>
                  </w:r>
                </w:p>
              </w:tc>
              <w:tc>
                <w:tcPr>
                  <w:tcW w:w="376"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8月</w:t>
                  </w:r>
                </w:p>
              </w:tc>
              <w:tc>
                <w:tcPr>
                  <w:tcW w:w="412"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7月</w:t>
                  </w:r>
                </w:p>
              </w:tc>
              <w:tc>
                <w:tcPr>
                  <w:tcW w:w="457"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州河水系</w:t>
                  </w:r>
                </w:p>
              </w:tc>
              <w:tc>
                <w:tcPr>
                  <w:tcW w:w="643"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明月江</w:t>
                  </w:r>
                </w:p>
              </w:tc>
              <w:tc>
                <w:tcPr>
                  <w:tcW w:w="672"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李家渡</w:t>
                  </w:r>
                </w:p>
              </w:tc>
              <w:tc>
                <w:tcPr>
                  <w:tcW w:w="441"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Ⅱ</w:t>
                  </w:r>
                </w:p>
              </w:tc>
              <w:tc>
                <w:tcPr>
                  <w:tcW w:w="441"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Ⅱ</w:t>
                  </w:r>
                </w:p>
              </w:tc>
              <w:tc>
                <w:tcPr>
                  <w:tcW w:w="434"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Ⅱ</w:t>
                  </w:r>
                </w:p>
              </w:tc>
              <w:tc>
                <w:tcPr>
                  <w:tcW w:w="441"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Ⅲ</w:t>
                  </w:r>
                </w:p>
              </w:tc>
              <w:tc>
                <w:tcPr>
                  <w:tcW w:w="376"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Ⅲ</w:t>
                  </w:r>
                </w:p>
              </w:tc>
              <w:tc>
                <w:tcPr>
                  <w:tcW w:w="412"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Ⅲ</w:t>
                  </w:r>
                </w:p>
              </w:tc>
              <w:tc>
                <w:tcPr>
                  <w:tcW w:w="457" w:type="pct"/>
                </w:tcPr>
                <w:p>
                  <w:pPr>
                    <w:pStyle w:val="3"/>
                    <w:keepNext/>
                    <w:keepLines/>
                    <w:pageBreakBefore w:val="0"/>
                    <w:widowControl w:val="0"/>
                    <w:suppressLineNumbers w:val="0"/>
                    <w:kinsoku/>
                    <w:wordWrap/>
                    <w:overflowPunct/>
                    <w:topLinePunct w:val="0"/>
                    <w:autoSpaceDE/>
                    <w:autoSpaceDN/>
                    <w:bidi w:val="0"/>
                    <w:adjustRightInd w:val="0"/>
                    <w:snapToGrid w:val="0"/>
                    <w:spacing w:before="0" w:after="0" w:line="240" w:lineRule="auto"/>
                    <w:ind w:left="0" w:right="0"/>
                    <w:textAlignment w:val="auto"/>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pPr>
                  <w:r>
                    <w:rPr>
                      <w:rFonts w:hint="default" w:ascii="宋体" w:hAnsi="宋体" w:eastAsia="宋体" w:cs="宋体"/>
                      <w:b w:val="0"/>
                      <w:bCs/>
                      <w:color w:val="000000" w:themeColor="text1"/>
                      <w:kern w:val="0"/>
                      <w:sz w:val="21"/>
                      <w:szCs w:val="21"/>
                      <w:highlight w:val="none"/>
                      <w:vertAlign w:val="baseline"/>
                      <w:lang w:val="en-US" w:eastAsia="zh-CN" w:bidi="ar"/>
                      <w14:textFill>
                        <w14:solidFill>
                          <w14:schemeClr w14:val="tx1"/>
                        </w14:solidFill>
                      </w14:textFill>
                    </w:rPr>
                    <w:t>Ⅲ</w:t>
                  </w:r>
                </w:p>
              </w:tc>
            </w:tr>
          </w:tbl>
          <w:p>
            <w:pPr>
              <w:keepNext w:val="0"/>
              <w:keepLines w:val="0"/>
              <w:widowControl w:val="0"/>
              <w:suppressLineNumbers w:val="0"/>
              <w:spacing w:before="0" w:beforeAutospacing="0" w:after="0" w:afterAutospacing="0" w:line="240" w:lineRule="auto"/>
              <w:ind w:left="0" w:right="0"/>
              <w:jc w:val="center"/>
              <w:rPr>
                <w:rFonts w:hint="eastAsia" w:ascii="微软雅黑" w:hAnsi="微软雅黑" w:eastAsia="微软雅黑" w:cs="微软雅黑"/>
                <w:b w:val="0"/>
                <w:bCs/>
                <w:color w:val="000000" w:themeColor="text1"/>
                <w:kern w:val="0"/>
                <w:sz w:val="21"/>
                <w:szCs w:val="21"/>
                <w:highlight w:val="none"/>
                <w:lang w:val="en-US" w:eastAsia="zh-CN" w:bidi="ar"/>
                <w14:textFill>
                  <w14:solidFill>
                    <w14:schemeClr w14:val="tx1"/>
                  </w14:solidFill>
                </w14:textFill>
              </w:rPr>
            </w:pPr>
          </w:p>
          <w:p>
            <w:pPr>
              <w:keepNext w:val="0"/>
              <w:keepLines w:val="0"/>
              <w:suppressLineNumbers w:val="0"/>
              <w:autoSpaceDE w:val="0"/>
              <w:autoSpaceDN w:val="0"/>
              <w:adjustRightInd w:val="0"/>
              <w:spacing w:before="0" w:beforeAutospacing="0" w:after="0" w:afterAutospacing="0" w:line="360" w:lineRule="auto"/>
              <w:ind w:left="0" w:right="0" w:firstLine="480"/>
              <w:rPr>
                <w:rFonts w:hint="eastAsia"/>
                <w:color w:val="000000" w:themeColor="text1"/>
                <w:sz w:val="24"/>
                <w:szCs w:val="20"/>
                <w:highlight w:val="none"/>
                <w14:textFill>
                  <w14:solidFill>
                    <w14:schemeClr w14:val="tx1"/>
                  </w14:solidFill>
                </w14:textFill>
              </w:rPr>
            </w:pPr>
            <w:r>
              <w:rPr>
                <w:rFonts w:hint="eastAsia"/>
                <w:color w:val="000000" w:themeColor="text1"/>
                <w:sz w:val="24"/>
                <w:szCs w:val="20"/>
                <w:highlight w:val="none"/>
                <w:lang w:val="en-US" w:eastAsia="zh-CN"/>
                <w14:textFill>
                  <w14:solidFill>
                    <w14:schemeClr w14:val="tx1"/>
                  </w14:solidFill>
                </w14:textFill>
              </w:rPr>
              <w:t>根据距离本项目最近的地表水监测情况可知，</w:t>
            </w:r>
            <w:r>
              <w:rPr>
                <w:color w:val="000000" w:themeColor="text1"/>
                <w:sz w:val="24"/>
                <w:szCs w:val="20"/>
                <w:highlight w:val="none"/>
                <w14:textFill>
                  <w14:solidFill>
                    <w14:schemeClr w14:val="tx1"/>
                  </w14:solidFill>
                </w14:textFill>
              </w:rPr>
              <w:t>本项目所在地表水</w:t>
            </w:r>
            <w:r>
              <w:rPr>
                <w:rFonts w:hint="eastAsia"/>
                <w:color w:val="000000" w:themeColor="text1"/>
                <w:sz w:val="24"/>
                <w:szCs w:val="20"/>
                <w:highlight w:val="none"/>
                <w:lang w:val="en-US" w:eastAsia="zh-CN"/>
                <w14:textFill>
                  <w14:solidFill>
                    <w14:schemeClr w14:val="tx1"/>
                  </w14:solidFill>
                </w14:textFill>
              </w:rPr>
              <w:t>环境</w:t>
            </w:r>
            <w:r>
              <w:rPr>
                <w:rFonts w:hint="eastAsia"/>
                <w:color w:val="000000" w:themeColor="text1"/>
                <w:sz w:val="24"/>
                <w:szCs w:val="20"/>
                <w:highlight w:val="none"/>
                <w14:textFill>
                  <w14:solidFill>
                    <w14:schemeClr w14:val="tx1"/>
                  </w14:solidFill>
                </w14:textFill>
              </w:rPr>
              <w:t>满足《地表水环境质量标准》（GB3838-2002）中Ⅲ类水质要求，水环境质量现状良好，属达标区域。</w:t>
            </w:r>
          </w:p>
          <w:p>
            <w:pPr>
              <w:keepNext w:val="0"/>
              <w:keepLines w:val="0"/>
              <w:suppressLineNumbers w:val="0"/>
              <w:adjustRightInd w:val="0"/>
              <w:snapToGrid w:val="0"/>
              <w:spacing w:before="0" w:beforeAutospacing="0" w:after="0" w:afterAutospacing="0" w:line="360" w:lineRule="auto"/>
              <w:ind w:left="0" w:right="0"/>
              <w:rPr>
                <w:b/>
                <w:bCs/>
                <w:color w:val="000000" w:themeColor="text1"/>
                <w:kern w:val="0"/>
                <w:sz w:val="24"/>
                <w:highlight w:val="none"/>
                <w14:textFill>
                  <w14:solidFill>
                    <w14:schemeClr w14:val="tx1"/>
                  </w14:solidFill>
                </w14:textFill>
              </w:rPr>
            </w:pPr>
            <w:r>
              <w:rPr>
                <w:rFonts w:hint="eastAsia"/>
                <w:b/>
                <w:bCs/>
                <w:color w:val="000000" w:themeColor="text1"/>
                <w:kern w:val="0"/>
                <w:sz w:val="24"/>
                <w:highlight w:val="none"/>
                <w:lang w:eastAsia="zh-CN"/>
                <w14:textFill>
                  <w14:solidFill>
                    <w14:schemeClr w14:val="tx1"/>
                  </w14:solidFill>
                </w14:textFill>
              </w:rPr>
              <w:t>（</w:t>
            </w:r>
            <w:r>
              <w:rPr>
                <w:rFonts w:hint="eastAsia"/>
                <w:b/>
                <w:bCs/>
                <w:color w:val="000000" w:themeColor="text1"/>
                <w:kern w:val="0"/>
                <w:sz w:val="24"/>
                <w:highlight w:val="none"/>
                <w:lang w:val="en-US" w:eastAsia="zh-CN"/>
                <w14:textFill>
                  <w14:solidFill>
                    <w14:schemeClr w14:val="tx1"/>
                  </w14:solidFill>
                </w14:textFill>
              </w:rPr>
              <w:t>五</w:t>
            </w:r>
            <w:r>
              <w:rPr>
                <w:rFonts w:hint="eastAsia"/>
                <w:b/>
                <w:bCs/>
                <w:color w:val="000000" w:themeColor="text1"/>
                <w:kern w:val="0"/>
                <w:sz w:val="24"/>
                <w:highlight w:val="none"/>
                <w:lang w:eastAsia="zh-CN"/>
                <w14:textFill>
                  <w14:solidFill>
                    <w14:schemeClr w14:val="tx1"/>
                  </w14:solidFill>
                </w14:textFill>
              </w:rPr>
              <w:t>）</w:t>
            </w:r>
            <w:r>
              <w:rPr>
                <w:b/>
                <w:bCs/>
                <w:color w:val="000000" w:themeColor="text1"/>
                <w:kern w:val="0"/>
                <w:sz w:val="24"/>
                <w:highlight w:val="none"/>
                <w14:textFill>
                  <w14:solidFill>
                    <w14:schemeClr w14:val="tx1"/>
                  </w14:solidFill>
                </w14:textFill>
              </w:rPr>
              <w:t>声环境质量评价</w:t>
            </w:r>
          </w:p>
          <w:p>
            <w:pPr>
              <w:keepNext w:val="0"/>
              <w:keepLines w:val="0"/>
              <w:widowControl w:val="0"/>
              <w:suppressLineNumbers w:val="0"/>
              <w:spacing w:before="0" w:beforeAutospacing="0" w:after="0" w:afterAutospacing="0" w:line="360" w:lineRule="auto"/>
              <w:ind w:left="0" w:right="0" w:firstLine="482" w:firstLineChars="200"/>
              <w:jc w:val="both"/>
              <w:rPr>
                <w:b/>
                <w:bCs w:val="0"/>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t>1</w:t>
            </w:r>
            <w:r>
              <w:rPr>
                <w:rFonts w:hint="eastAsia" w:ascii="Times New Roman" w:hAnsi="Times New Roman" w:eastAsia="宋体" w:cs="宋体"/>
                <w:b/>
                <w:bCs/>
                <w:color w:val="000000" w:themeColor="text1"/>
                <w:kern w:val="2"/>
                <w:sz w:val="24"/>
                <w:szCs w:val="24"/>
                <w:highlight w:val="none"/>
                <w:lang w:val="en-US" w:eastAsia="zh-CN" w:bidi="ar"/>
                <w14:textFill>
                  <w14:solidFill>
                    <w14:schemeClr w14:val="tx1"/>
                  </w14:solidFill>
                </w14:textFill>
              </w:rPr>
              <w:t>、声学环境质量现状检测</w:t>
            </w:r>
          </w:p>
          <w:p>
            <w:pPr>
              <w:keepNext/>
              <w:keepLines w:val="0"/>
              <w:widowControl w:val="0"/>
              <w:suppressLineNumbers w:val="0"/>
              <w:overflowPunct w:val="0"/>
              <w:snapToGrid w:val="0"/>
              <w:spacing w:before="0" w:beforeAutospacing="0" w:after="0" w:afterAutospacing="0" w:line="360" w:lineRule="auto"/>
              <w:ind w:left="0" w:right="0" w:firstLine="480" w:firstLineChars="200"/>
              <w:jc w:val="both"/>
              <w:rPr>
                <w:color w:val="000000" w:themeColor="text1"/>
                <w:sz w:val="24"/>
                <w:szCs w:val="24"/>
                <w:highlight w:val="none"/>
                <w:lang w:val="en-US"/>
                <w14:textFill>
                  <w14:solidFill>
                    <w14:schemeClr w14:val="tx1"/>
                  </w14:solidFill>
                </w14:textFill>
              </w:rPr>
            </w:pPr>
            <w:r>
              <w:rPr>
                <w:rFonts w:hint="eastAsia" w:cs="宋体"/>
                <w:color w:val="000000" w:themeColor="text1"/>
                <w:kern w:val="2"/>
                <w:sz w:val="24"/>
                <w:szCs w:val="24"/>
                <w:highlight w:val="none"/>
                <w:lang w:val="en-US" w:eastAsia="zh-CN" w:bidi="ar"/>
                <w14:textFill>
                  <w14:solidFill>
                    <w14:schemeClr w14:val="tx1"/>
                  </w14:solidFill>
                </w14:textFill>
              </w:rPr>
              <w:t>我司</w:t>
            </w:r>
            <w:r>
              <w:rPr>
                <w:rFonts w:hint="eastAsia" w:ascii="Times New Roman" w:hAnsi="Times New Roman" w:eastAsia="宋体" w:cs="宋体"/>
                <w:color w:val="000000" w:themeColor="text1"/>
                <w:kern w:val="2"/>
                <w:sz w:val="24"/>
                <w:szCs w:val="24"/>
                <w:highlight w:val="none"/>
                <w:lang w:val="zh-CN" w:eastAsia="zh-CN" w:bidi="ar"/>
                <w14:textFill>
                  <w14:solidFill>
                    <w14:schemeClr w14:val="tx1"/>
                  </w14:solidFill>
                </w14:textFill>
              </w:rPr>
              <w:t>委托</w:t>
            </w:r>
            <w:r>
              <w:rPr>
                <w:rFonts w:hint="eastAsia" w:cs="宋体"/>
                <w:color w:val="000000" w:themeColor="text1"/>
                <w:kern w:val="2"/>
                <w:sz w:val="24"/>
                <w:szCs w:val="24"/>
                <w:highlight w:val="none"/>
                <w:lang w:val="en-US" w:eastAsia="zh-CN" w:bidi="ar"/>
                <w14:textFill>
                  <w14:solidFill>
                    <w14:schemeClr w14:val="tx1"/>
                  </w14:solidFill>
                </w14:textFill>
              </w:rPr>
              <w:t>达州恒福环境监测服务有限公司</w:t>
            </w: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于</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202</w:t>
            </w:r>
            <w:r>
              <w:rPr>
                <w:rFonts w:hint="eastAsia" w:cs="Times New Roman"/>
                <w:color w:val="000000" w:themeColor="text1"/>
                <w:kern w:val="0"/>
                <w:sz w:val="24"/>
                <w:szCs w:val="24"/>
                <w:highlight w:val="none"/>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年</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1</w:t>
            </w:r>
            <w:r>
              <w:rPr>
                <w:rFonts w:hint="eastAsia" w:cs="Times New Roman"/>
                <w:color w:val="000000" w:themeColor="text1"/>
                <w:kern w:val="0"/>
                <w:sz w:val="24"/>
                <w:szCs w:val="24"/>
                <w:highlight w:val="none"/>
                <w:lang w:val="en-US" w:eastAsia="zh-CN" w:bidi="ar"/>
                <w14:textFill>
                  <w14:solidFill>
                    <w14:schemeClr w14:val="tx1"/>
                  </w14:solidFill>
                </w14:textFill>
              </w:rPr>
              <w:t>2</w:t>
            </w: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月</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2</w:t>
            </w:r>
            <w:r>
              <w:rPr>
                <w:rFonts w:hint="eastAsia" w:cs="Times New Roman"/>
                <w:color w:val="000000" w:themeColor="text1"/>
                <w:kern w:val="0"/>
                <w:sz w:val="24"/>
                <w:szCs w:val="24"/>
                <w:highlight w:val="none"/>
                <w:lang w:val="en-US" w:eastAsia="zh-CN" w:bidi="ar"/>
                <w14:textFill>
                  <w14:solidFill>
                    <w14:schemeClr w14:val="tx1"/>
                  </w14:solidFill>
                </w14:textFill>
              </w:rPr>
              <w:t>8</w:t>
            </w: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日</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-2</w:t>
            </w:r>
            <w:r>
              <w:rPr>
                <w:rFonts w:hint="eastAsia" w:cs="Times New Roman"/>
                <w:color w:val="000000" w:themeColor="text1"/>
                <w:kern w:val="0"/>
                <w:sz w:val="24"/>
                <w:szCs w:val="24"/>
                <w:highlight w:val="none"/>
                <w:lang w:val="en-US" w:eastAsia="zh-CN" w:bidi="ar"/>
                <w14:textFill>
                  <w14:solidFill>
                    <w14:schemeClr w14:val="tx1"/>
                  </w14:solidFill>
                </w14:textFill>
              </w:rPr>
              <w:t>9</w:t>
            </w: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日对项目区声环境现状进行检测</w:t>
            </w:r>
            <w:r>
              <w:rPr>
                <w:rFonts w:hint="eastAsia" w:ascii="Times New Roman" w:hAnsi="Times New Roman" w:eastAsia="宋体" w:cs="宋体"/>
                <w:color w:val="000000" w:themeColor="text1"/>
                <w:kern w:val="2"/>
                <w:sz w:val="24"/>
                <w:szCs w:val="24"/>
                <w:highlight w:val="none"/>
                <w:lang w:val="zh-CN" w:eastAsia="zh-CN" w:bidi="ar"/>
                <w14:textFill>
                  <w14:solidFill>
                    <w14:schemeClr w14:val="tx1"/>
                  </w14:solidFill>
                </w14:textFill>
              </w:rPr>
              <w:t>，共布设</w:t>
            </w:r>
            <w:r>
              <w:rPr>
                <w:rFonts w:hint="eastAsia" w:cs="Times New Roman"/>
                <w:color w:val="000000" w:themeColor="text1"/>
                <w:kern w:val="2"/>
                <w:sz w:val="24"/>
                <w:szCs w:val="24"/>
                <w:highlight w:val="none"/>
                <w:lang w:val="en-US" w:eastAsia="zh-CN" w:bidi="ar"/>
                <w14:textFill>
                  <w14:solidFill>
                    <w14:schemeClr w14:val="tx1"/>
                  </w14:solidFill>
                </w14:textFill>
              </w:rPr>
              <w:t>13</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个噪声检测点位。检测报告见附件</w:t>
            </w:r>
            <w:r>
              <w:rPr>
                <w:rFonts w:hint="eastAsia" w:cs="宋体"/>
                <w:color w:val="000000" w:themeColor="text1"/>
                <w:kern w:val="2"/>
                <w:sz w:val="24"/>
                <w:szCs w:val="24"/>
                <w:highlight w:val="none"/>
                <w:lang w:val="en-US" w:eastAsia="zh-CN" w:bidi="ar"/>
                <w14:textFill>
                  <w14:solidFill>
                    <w14:schemeClr w14:val="tx1"/>
                  </w14:solidFill>
                </w14:textFill>
              </w:rPr>
              <w:t>5</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w:t>
            </w:r>
          </w:p>
          <w:p>
            <w:pPr>
              <w:keepNext/>
              <w:keepLines w:val="0"/>
              <w:widowControl w:val="0"/>
              <w:suppressLineNumbers w:val="0"/>
              <w:overflowPunct w:val="0"/>
              <w:snapToGrid w:val="0"/>
              <w:spacing w:before="0" w:beforeAutospacing="0" w:after="0" w:afterAutospacing="0" w:line="360" w:lineRule="auto"/>
              <w:ind w:left="0" w:right="0" w:firstLine="480" w:firstLineChars="200"/>
              <w:jc w:val="both"/>
              <w:rPr>
                <w:rFonts w:hint="default"/>
                <w:color w:val="000000" w:themeColor="text1"/>
                <w:sz w:val="24"/>
                <w:szCs w:val="24"/>
                <w:highlight w:val="none"/>
                <w:lang w:val="en-US"/>
                <w14:textFill>
                  <w14:solidFill>
                    <w14:schemeClr w14:val="tx1"/>
                  </w14:solidFill>
                </w14:textFill>
              </w:rPr>
            </w:pP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检测时间：</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202</w:t>
            </w:r>
            <w:r>
              <w:rPr>
                <w:rFonts w:hint="eastAsia" w:cs="Times New Roman"/>
                <w:color w:val="000000" w:themeColor="text1"/>
                <w:kern w:val="2"/>
                <w:sz w:val="24"/>
                <w:szCs w:val="24"/>
                <w:highlight w:val="none"/>
                <w:lang w:val="en-US" w:eastAsia="zh-CN" w:bidi="ar"/>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1</w:t>
            </w:r>
            <w:r>
              <w:rPr>
                <w:rFonts w:hint="eastAsia" w:cs="Times New Roman"/>
                <w:color w:val="000000" w:themeColor="text1"/>
                <w:kern w:val="2"/>
                <w:sz w:val="24"/>
                <w:szCs w:val="24"/>
                <w:highlight w:val="none"/>
                <w:lang w:val="en-US" w:eastAsia="zh-CN" w:bidi="ar"/>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.2</w:t>
            </w:r>
            <w:r>
              <w:rPr>
                <w:rFonts w:hint="eastAsia" w:cs="Times New Roman"/>
                <w:color w:val="000000" w:themeColor="text1"/>
                <w:kern w:val="2"/>
                <w:sz w:val="24"/>
                <w:szCs w:val="24"/>
                <w:highlight w:val="none"/>
                <w:lang w:val="en-US" w:eastAsia="zh-CN" w:bidi="ar"/>
                <w14:textFill>
                  <w14:solidFill>
                    <w14:schemeClr w14:val="tx1"/>
                  </w14:solidFill>
                </w14:textFill>
              </w:rPr>
              <w:t>8</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-2</w:t>
            </w:r>
            <w:r>
              <w:rPr>
                <w:rFonts w:hint="eastAsia" w:cs="Times New Roman"/>
                <w:color w:val="000000" w:themeColor="text1"/>
                <w:kern w:val="2"/>
                <w:sz w:val="24"/>
                <w:szCs w:val="24"/>
                <w:highlight w:val="none"/>
                <w:lang w:val="en-US" w:eastAsia="zh-CN" w:bidi="ar"/>
                <w14:textFill>
                  <w14:solidFill>
                    <w14:schemeClr w14:val="tx1"/>
                  </w14:solidFill>
                </w14:textFill>
              </w:rPr>
              <w:t>9</w:t>
            </w:r>
          </w:p>
          <w:p>
            <w:pPr>
              <w:keepNext/>
              <w:keepLines w:val="0"/>
              <w:widowControl w:val="0"/>
              <w:suppressLineNumbers w:val="0"/>
              <w:overflowPunct w:val="0"/>
              <w:snapToGrid w:val="0"/>
              <w:spacing w:before="0" w:beforeAutospacing="0" w:after="0" w:afterAutospacing="0" w:line="360" w:lineRule="auto"/>
              <w:ind w:left="0" w:right="0" w:firstLine="480" w:firstLineChars="200"/>
              <w:jc w:val="both"/>
              <w:rPr>
                <w:color w:val="000000" w:themeColor="text1"/>
                <w:sz w:val="24"/>
                <w:szCs w:val="24"/>
                <w:highlight w:val="none"/>
                <w:lang w:val="en-US"/>
                <w14:textFill>
                  <w14:solidFill>
                    <w14:schemeClr w14:val="tx1"/>
                  </w14:solidFill>
                </w14:textFill>
              </w:rPr>
            </w:pP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检测项目：等效连续</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A</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声级（</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Leq</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A</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w:t>
            </w:r>
          </w:p>
          <w:p>
            <w:pPr>
              <w:keepNext/>
              <w:keepLines w:val="0"/>
              <w:widowControl w:val="0"/>
              <w:suppressLineNumbers w:val="0"/>
              <w:overflowPunct w:val="0"/>
              <w:snapToGrid w:val="0"/>
              <w:spacing w:before="0" w:beforeAutospacing="0" w:after="0" w:afterAutospacing="0" w:line="360" w:lineRule="auto"/>
              <w:ind w:left="0" w:right="0" w:firstLine="480" w:firstLineChars="200"/>
              <w:jc w:val="both"/>
              <w:rPr>
                <w:rFonts w:hint="default"/>
                <w:color w:val="000000" w:themeColor="text1"/>
                <w:sz w:val="24"/>
                <w:szCs w:val="24"/>
                <w:highlight w:val="none"/>
                <w:lang w:val="en-US"/>
                <w14:textFill>
                  <w14:solidFill>
                    <w14:schemeClr w14:val="tx1"/>
                  </w14:solidFill>
                </w14:textFill>
              </w:rPr>
            </w:pP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检测点位：厂界</w:t>
            </w:r>
            <w:r>
              <w:rPr>
                <w:rFonts w:hint="eastAsia" w:cs="宋体"/>
                <w:color w:val="000000" w:themeColor="text1"/>
                <w:kern w:val="2"/>
                <w:sz w:val="24"/>
                <w:szCs w:val="24"/>
                <w:highlight w:val="none"/>
                <w:lang w:val="en-US" w:eastAsia="zh-CN" w:bidi="ar"/>
                <w14:textFill>
                  <w14:solidFill>
                    <w14:schemeClr w14:val="tx1"/>
                  </w14:solidFill>
                </w14:textFill>
              </w:rPr>
              <w:t>、敏感点</w:t>
            </w:r>
          </w:p>
          <w:p>
            <w:pPr>
              <w:keepNext/>
              <w:keepLines w:val="0"/>
              <w:widowControl w:val="0"/>
              <w:suppressLineNumbers w:val="0"/>
              <w:overflowPunct w:val="0"/>
              <w:snapToGrid w:val="0"/>
              <w:spacing w:before="0" w:beforeAutospacing="0" w:after="0" w:afterAutospacing="0" w:line="360" w:lineRule="auto"/>
              <w:ind w:left="0" w:right="0" w:firstLine="480" w:firstLineChars="200"/>
              <w:jc w:val="both"/>
              <w:rPr>
                <w:color w:val="000000" w:themeColor="text1"/>
                <w:sz w:val="24"/>
                <w:szCs w:val="24"/>
                <w:highlight w:val="none"/>
                <w:lang w:val="en-US"/>
                <w14:textFill>
                  <w14:solidFill>
                    <w14:schemeClr w14:val="tx1"/>
                  </w14:solidFill>
                </w14:textFill>
              </w:rPr>
            </w:pP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检测频次：检测</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2</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天，昼间、夜间各测</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1</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次</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t>2</w:t>
            </w:r>
            <w:r>
              <w:rPr>
                <w:rFonts w:hint="eastAsia"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t>、声学环境质量现状评价</w:t>
            </w:r>
          </w:p>
          <w:p>
            <w:pPr>
              <w:keepNext/>
              <w:keepLines w:val="0"/>
              <w:widowControl w:val="0"/>
              <w:suppressLineNumbers w:val="0"/>
              <w:overflowPunct w:val="0"/>
              <w:snapToGrid w:val="0"/>
              <w:spacing w:before="0" w:beforeAutospacing="0" w:after="0" w:afterAutospacing="0" w:line="360" w:lineRule="auto"/>
              <w:ind w:left="0" w:right="0" w:firstLine="480" w:firstLineChars="200"/>
              <w:jc w:val="both"/>
              <w:rPr>
                <w:color w:val="000000" w:themeColor="text1"/>
                <w:sz w:val="24"/>
                <w:szCs w:val="24"/>
                <w:highlight w:val="none"/>
                <w:lang w:val="en-US"/>
                <w14:textFill>
                  <w14:solidFill>
                    <w14:schemeClr w14:val="tx1"/>
                  </w14:solidFill>
                </w14:textFill>
              </w:rPr>
            </w:pP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本项目评价标准采用《声环境质量标准》（</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GB3096</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2008</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2</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类标准</w:t>
            </w: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昼间</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&lt;60dB</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A</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），夜间</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&lt;50dB</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A</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w:t>
            </w:r>
            <w:r>
              <w:rPr>
                <w:rFonts w:hint="eastAsia" w:cs="宋体"/>
                <w:color w:val="000000" w:themeColor="text1"/>
                <w:kern w:val="2"/>
                <w:sz w:val="24"/>
                <w:szCs w:val="24"/>
                <w:highlight w:val="none"/>
                <w:lang w:val="en-US" w:eastAsia="zh-CN" w:bidi="ar"/>
                <w14:textFill>
                  <w14:solidFill>
                    <w14:schemeClr w14:val="tx1"/>
                  </w14:solidFill>
                </w14:textFill>
              </w:rPr>
              <w:t>）和4a类标准（</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昼间</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&lt;</w:t>
            </w:r>
            <w:r>
              <w:rPr>
                <w:rFonts w:hint="eastAsia" w:cs="Times New Roman"/>
                <w:color w:val="000000" w:themeColor="text1"/>
                <w:kern w:val="2"/>
                <w:sz w:val="24"/>
                <w:szCs w:val="24"/>
                <w:highlight w:val="none"/>
                <w:lang w:val="en-US" w:eastAsia="zh-CN" w:bidi="ar"/>
                <w14:textFill>
                  <w14:solidFill>
                    <w14:schemeClr w14:val="tx1"/>
                  </w14:solidFill>
                </w14:textFill>
              </w:rPr>
              <w:t>70</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dB</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A</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），夜间</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&lt;5</w:t>
            </w:r>
            <w:r>
              <w:rPr>
                <w:rFonts w:hint="eastAsia" w:cs="Times New Roman"/>
                <w:color w:val="000000" w:themeColor="text1"/>
                <w:kern w:val="2"/>
                <w:sz w:val="24"/>
                <w:szCs w:val="24"/>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dB</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A</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w:t>
            </w: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，将检测结果与评价标准进行对照，得出评价结果。</w:t>
            </w:r>
          </w:p>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微软雅黑" w:hAnsi="微软雅黑" w:eastAsia="微软雅黑" w:cs="微软雅黑"/>
                <w:b w:val="0"/>
                <w:bCs/>
                <w:color w:val="000000" w:themeColor="text1"/>
                <w:kern w:val="0"/>
                <w:sz w:val="21"/>
                <w:szCs w:val="21"/>
                <w:highlight w:val="none"/>
                <w:lang w:val="en-US" w:eastAsia="zh-CN" w:bidi="ar"/>
                <w14:textFill>
                  <w14:solidFill>
                    <w14:schemeClr w14:val="tx1"/>
                  </w14:solidFill>
                </w14:textFill>
              </w:rPr>
            </w:pP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表</w:t>
            </w:r>
            <w:r>
              <w:rPr>
                <w:rFonts w:hint="default" w:ascii="黑体" w:hAnsi="黑体" w:eastAsia="黑体" w:cs="黑体"/>
                <w:color w:val="000000" w:themeColor="text1"/>
                <w:kern w:val="0"/>
                <w:sz w:val="24"/>
                <w:szCs w:val="24"/>
                <w:highlight w:val="none"/>
                <w:lang w:val="en-US" w:eastAsia="zh-CN" w:bidi="ar"/>
                <w14:textFill>
                  <w14:solidFill>
                    <w14:schemeClr w14:val="tx1"/>
                  </w14:solidFill>
                </w14:textFill>
              </w:rPr>
              <w:t>3-</w:t>
            </w: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4  声环境质量现状检测结果表单位：</w:t>
            </w:r>
            <w:r>
              <w:rPr>
                <w:rFonts w:hint="default" w:ascii="黑体" w:hAnsi="黑体" w:eastAsia="黑体" w:cs="黑体"/>
                <w:color w:val="000000" w:themeColor="text1"/>
                <w:kern w:val="0"/>
                <w:sz w:val="24"/>
                <w:szCs w:val="24"/>
                <w:highlight w:val="none"/>
                <w:lang w:val="en-US" w:eastAsia="zh-CN" w:bidi="ar"/>
                <w14:textFill>
                  <w14:solidFill>
                    <w14:schemeClr w14:val="tx1"/>
                  </w14:solidFill>
                </w14:textFill>
              </w:rPr>
              <w:t>dB</w:t>
            </w: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w:t>
            </w:r>
            <w:r>
              <w:rPr>
                <w:rFonts w:hint="default" w:ascii="黑体" w:hAnsi="黑体" w:eastAsia="黑体" w:cs="黑体"/>
                <w:color w:val="000000" w:themeColor="text1"/>
                <w:kern w:val="0"/>
                <w:sz w:val="24"/>
                <w:szCs w:val="24"/>
                <w:highlight w:val="none"/>
                <w:lang w:val="en-US" w:eastAsia="zh-CN" w:bidi="ar"/>
                <w14:textFill>
                  <w14:solidFill>
                    <w14:schemeClr w14:val="tx1"/>
                  </w14:solidFill>
                </w14:textFill>
              </w:rPr>
              <w:t>A</w:t>
            </w: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27"/>
              <w:gridCol w:w="3370"/>
              <w:gridCol w:w="1194"/>
              <w:gridCol w:w="732"/>
              <w:gridCol w:w="752"/>
              <w:gridCol w:w="809"/>
              <w:gridCol w:w="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5" w:hRule="atLeast"/>
                <w:jc w:val="center"/>
              </w:trPr>
              <w:tc>
                <w:tcPr>
                  <w:tcW w:w="438" w:type="pct"/>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b/>
                      <w:bCs w:val="0"/>
                      <w:color w:val="000000" w:themeColor="text1"/>
                      <w:kern w:val="0"/>
                      <w:szCs w:val="21"/>
                      <w:highlight w:val="none"/>
                      <w:lang w:val="en-US"/>
                      <w14:textFill>
                        <w14:solidFill>
                          <w14:schemeClr w14:val="tx1"/>
                        </w14:solidFill>
                      </w14:textFill>
                    </w:rPr>
                  </w:pPr>
                  <w:r>
                    <w:rPr>
                      <w:rFonts w:hint="eastAsia" w:ascii="Times New Roman" w:hAnsi="Times New Roman" w:eastAsia="宋体" w:cs="宋体"/>
                      <w:b/>
                      <w:bCs w:val="0"/>
                      <w:color w:val="000000" w:themeColor="text1"/>
                      <w:kern w:val="0"/>
                      <w:sz w:val="21"/>
                      <w:szCs w:val="21"/>
                      <w:highlight w:val="none"/>
                      <w:lang w:val="en-US" w:eastAsia="zh-CN" w:bidi="ar"/>
                      <w14:textFill>
                        <w14:solidFill>
                          <w14:schemeClr w14:val="tx1"/>
                        </w14:solidFill>
                      </w14:textFill>
                    </w:rPr>
                    <w:t>点位编号</w:t>
                  </w:r>
                </w:p>
              </w:tc>
              <w:tc>
                <w:tcPr>
                  <w:tcW w:w="2030" w:type="pct"/>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b/>
                      <w:bCs w:val="0"/>
                      <w:color w:val="000000" w:themeColor="text1"/>
                      <w:kern w:val="0"/>
                      <w:szCs w:val="21"/>
                      <w:highlight w:val="none"/>
                      <w:lang w:val="en-US"/>
                      <w14:textFill>
                        <w14:solidFill>
                          <w14:schemeClr w14:val="tx1"/>
                        </w14:solidFill>
                      </w14:textFill>
                    </w:rPr>
                  </w:pPr>
                  <w:r>
                    <w:rPr>
                      <w:rFonts w:hint="eastAsia" w:ascii="Times New Roman" w:hAnsi="Times New Roman" w:eastAsia="宋体" w:cs="宋体"/>
                      <w:b/>
                      <w:bCs w:val="0"/>
                      <w:color w:val="000000" w:themeColor="text1"/>
                      <w:kern w:val="0"/>
                      <w:sz w:val="21"/>
                      <w:szCs w:val="21"/>
                      <w:highlight w:val="none"/>
                      <w:lang w:val="en-US" w:eastAsia="zh-CN" w:bidi="ar"/>
                      <w14:textFill>
                        <w14:solidFill>
                          <w14:schemeClr w14:val="tx1"/>
                        </w14:solidFill>
                      </w14:textFill>
                    </w:rPr>
                    <w:t>检测点位</w:t>
                  </w:r>
                </w:p>
              </w:tc>
              <w:tc>
                <w:tcPr>
                  <w:tcW w:w="719" w:type="pct"/>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b/>
                      <w:bCs w:val="0"/>
                      <w:color w:val="000000" w:themeColor="text1"/>
                      <w:kern w:val="0"/>
                      <w:szCs w:val="21"/>
                      <w:highlight w:val="none"/>
                      <w:lang w:val="en-US"/>
                      <w14:textFill>
                        <w14:solidFill>
                          <w14:schemeClr w14:val="tx1"/>
                        </w14:solidFill>
                      </w14:textFill>
                    </w:rPr>
                  </w:pPr>
                  <w:r>
                    <w:rPr>
                      <w:rFonts w:hint="eastAsia" w:ascii="Times New Roman" w:hAnsi="Times New Roman" w:eastAsia="宋体" w:cs="宋体"/>
                      <w:b/>
                      <w:bCs w:val="0"/>
                      <w:color w:val="000000" w:themeColor="text1"/>
                      <w:kern w:val="0"/>
                      <w:sz w:val="21"/>
                      <w:szCs w:val="21"/>
                      <w:highlight w:val="none"/>
                      <w:lang w:val="en-US" w:eastAsia="zh-CN" w:bidi="ar"/>
                      <w14:textFill>
                        <w14:solidFill>
                          <w14:schemeClr w14:val="tx1"/>
                        </w14:solidFill>
                      </w14:textFill>
                    </w:rPr>
                    <w:t>检测日期</w:t>
                  </w:r>
                </w:p>
              </w:tc>
              <w:tc>
                <w:tcPr>
                  <w:tcW w:w="89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b/>
                      <w:bCs w:val="0"/>
                      <w:color w:val="000000" w:themeColor="text1"/>
                      <w:kern w:val="0"/>
                      <w:szCs w:val="21"/>
                      <w:highlight w:val="none"/>
                      <w:lang w:val="en-US"/>
                      <w14:textFill>
                        <w14:solidFill>
                          <w14:schemeClr w14:val="tx1"/>
                        </w14:solidFill>
                      </w14:textFill>
                    </w:rPr>
                  </w:pPr>
                  <w:r>
                    <w:rPr>
                      <w:rFonts w:hint="eastAsia"/>
                      <w:b/>
                      <w:bCs w:val="0"/>
                      <w:color w:val="000000" w:themeColor="text1"/>
                      <w:kern w:val="0"/>
                      <w:szCs w:val="21"/>
                      <w:highlight w:val="none"/>
                      <w:lang w:val="en-US" w:eastAsia="zh-CN"/>
                      <w14:textFill>
                        <w14:solidFill>
                          <w14:schemeClr w14:val="tx1"/>
                        </w14:solidFill>
                      </w14:textFill>
                    </w:rPr>
                    <w:t>昼间检测结果</w:t>
                  </w:r>
                </w:p>
              </w:tc>
              <w:tc>
                <w:tcPr>
                  <w:tcW w:w="91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b/>
                      <w:bCs w:val="0"/>
                      <w:color w:val="000000" w:themeColor="text1"/>
                      <w:kern w:val="0"/>
                      <w:szCs w:val="21"/>
                      <w:highlight w:val="none"/>
                      <w:lang w:val="en-US"/>
                      <w14:textFill>
                        <w14:solidFill>
                          <w14:schemeClr w14:val="tx1"/>
                        </w14:solidFill>
                      </w14:textFill>
                    </w:rPr>
                  </w:pPr>
                  <w:r>
                    <w:rPr>
                      <w:rFonts w:hint="eastAsia"/>
                      <w:b/>
                      <w:bCs w:val="0"/>
                      <w:color w:val="000000" w:themeColor="text1"/>
                      <w:kern w:val="0"/>
                      <w:szCs w:val="21"/>
                      <w:highlight w:val="none"/>
                      <w:lang w:val="en-US" w:eastAsia="zh-CN"/>
                      <w14:textFill>
                        <w14:solidFill>
                          <w14:schemeClr w14:val="tx1"/>
                        </w14:solidFill>
                      </w14:textFill>
                    </w:rPr>
                    <w:t>夜间检测结果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5" w:hRule="atLeast"/>
                <w:jc w:val="center"/>
              </w:trPr>
              <w:tc>
                <w:tcPr>
                  <w:tcW w:w="438"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Times New Roman" w:hAnsi="Times New Roman" w:eastAsia="宋体" w:cs="宋体"/>
                      <w:b/>
                      <w:bCs w:val="0"/>
                      <w:color w:val="000000" w:themeColor="text1"/>
                      <w:kern w:val="0"/>
                      <w:sz w:val="21"/>
                      <w:szCs w:val="21"/>
                      <w:highlight w:val="none"/>
                      <w:lang w:val="en-US" w:eastAsia="zh-CN" w:bidi="ar"/>
                      <w14:textFill>
                        <w14:solidFill>
                          <w14:schemeClr w14:val="tx1"/>
                        </w14:solidFill>
                      </w14:textFill>
                    </w:rPr>
                  </w:pPr>
                </w:p>
              </w:tc>
              <w:tc>
                <w:tcPr>
                  <w:tcW w:w="203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宋体"/>
                      <w:b/>
                      <w:bCs w:val="0"/>
                      <w:color w:val="000000" w:themeColor="text1"/>
                      <w:kern w:val="0"/>
                      <w:sz w:val="21"/>
                      <w:szCs w:val="21"/>
                      <w:highlight w:val="none"/>
                      <w:lang w:val="en-US" w:eastAsia="zh-CN" w:bidi="ar"/>
                      <w14:textFill>
                        <w14:solidFill>
                          <w14:schemeClr w14:val="tx1"/>
                        </w14:solidFill>
                      </w14:textFill>
                    </w:rPr>
                  </w:pPr>
                </w:p>
              </w:tc>
              <w:tc>
                <w:tcPr>
                  <w:tcW w:w="719"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宋体"/>
                      <w:b/>
                      <w:bCs w:val="0"/>
                      <w:color w:val="000000" w:themeColor="text1"/>
                      <w:kern w:val="0"/>
                      <w:sz w:val="21"/>
                      <w:szCs w:val="21"/>
                      <w:highlight w:val="none"/>
                      <w:lang w:val="en-US" w:eastAsia="zh-CN" w:bidi="ar"/>
                      <w14:textFill>
                        <w14:solidFill>
                          <w14:schemeClr w14:val="tx1"/>
                        </w14:solidFill>
                      </w14:textFill>
                    </w:rPr>
                  </w:pP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宋体"/>
                      <w:b/>
                      <w:bCs w:val="0"/>
                      <w:color w:val="000000" w:themeColor="text1"/>
                      <w:kern w:val="0"/>
                      <w:sz w:val="21"/>
                      <w:szCs w:val="21"/>
                      <w:highlight w:val="none"/>
                      <w:lang w:val="en-US" w:eastAsia="zh-CN" w:bidi="ar"/>
                      <w14:textFill>
                        <w14:solidFill>
                          <w14:schemeClr w14:val="tx1"/>
                        </w14:solidFill>
                      </w14:textFill>
                    </w:rPr>
                  </w:pPr>
                  <w:r>
                    <w:rPr>
                      <w:rFonts w:hint="eastAsia" w:cs="宋体"/>
                      <w:b/>
                      <w:bCs w:val="0"/>
                      <w:color w:val="000000" w:themeColor="text1"/>
                      <w:kern w:val="0"/>
                      <w:sz w:val="21"/>
                      <w:szCs w:val="21"/>
                      <w:highlight w:val="none"/>
                      <w:lang w:val="en-US" w:eastAsia="zh-CN" w:bidi="ar"/>
                      <w14:textFill>
                        <w14:solidFill>
                          <w14:schemeClr w14:val="tx1"/>
                        </w14:solidFill>
                      </w14:textFill>
                    </w:rPr>
                    <w:t>Leq</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宋体"/>
                      <w:b/>
                      <w:bCs w:val="0"/>
                      <w:color w:val="000000" w:themeColor="text1"/>
                      <w:kern w:val="0"/>
                      <w:sz w:val="21"/>
                      <w:szCs w:val="21"/>
                      <w:highlight w:val="none"/>
                      <w:lang w:val="en-US" w:eastAsia="zh-CN" w:bidi="ar"/>
                      <w14:textFill>
                        <w14:solidFill>
                          <w14:schemeClr w14:val="tx1"/>
                        </w14:solidFill>
                      </w14:textFill>
                    </w:rPr>
                  </w:pPr>
                  <w:r>
                    <w:rPr>
                      <w:rFonts w:hint="eastAsia" w:cs="宋体"/>
                      <w:b/>
                      <w:bCs w:val="0"/>
                      <w:color w:val="000000" w:themeColor="text1"/>
                      <w:kern w:val="0"/>
                      <w:sz w:val="21"/>
                      <w:szCs w:val="21"/>
                      <w:highlight w:val="none"/>
                      <w:lang w:val="en-US" w:eastAsia="zh-CN" w:bidi="ar"/>
                      <w14:textFill>
                        <w14:solidFill>
                          <w14:schemeClr w14:val="tx1"/>
                        </w14:solidFill>
                      </w14:textFill>
                    </w:rPr>
                    <w:t>L</w:t>
                  </w:r>
                  <w:r>
                    <w:rPr>
                      <w:rFonts w:hint="eastAsia" w:cs="宋体"/>
                      <w:b/>
                      <w:bCs w:val="0"/>
                      <w:color w:val="000000" w:themeColor="text1"/>
                      <w:kern w:val="0"/>
                      <w:sz w:val="21"/>
                      <w:szCs w:val="21"/>
                      <w:highlight w:val="none"/>
                      <w:vertAlign w:val="subscript"/>
                      <w:lang w:val="en-US" w:eastAsia="zh-CN" w:bidi="ar"/>
                      <w14:textFill>
                        <w14:solidFill>
                          <w14:schemeClr w14:val="tx1"/>
                        </w14:solidFill>
                      </w14:textFill>
                    </w:rPr>
                    <w:t>90</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宋体"/>
                      <w:b/>
                      <w:bCs w:val="0"/>
                      <w:color w:val="000000" w:themeColor="text1"/>
                      <w:kern w:val="0"/>
                      <w:sz w:val="21"/>
                      <w:szCs w:val="21"/>
                      <w:highlight w:val="none"/>
                      <w:lang w:val="en-US" w:eastAsia="zh-CN" w:bidi="ar"/>
                      <w14:textFill>
                        <w14:solidFill>
                          <w14:schemeClr w14:val="tx1"/>
                        </w14:solidFill>
                      </w14:textFill>
                    </w:rPr>
                  </w:pPr>
                  <w:r>
                    <w:rPr>
                      <w:rFonts w:hint="eastAsia" w:cs="宋体"/>
                      <w:b/>
                      <w:bCs w:val="0"/>
                      <w:color w:val="000000" w:themeColor="text1"/>
                      <w:kern w:val="0"/>
                      <w:sz w:val="21"/>
                      <w:szCs w:val="21"/>
                      <w:highlight w:val="none"/>
                      <w:lang w:val="en-US" w:eastAsia="zh-CN" w:bidi="ar"/>
                      <w14:textFill>
                        <w14:solidFill>
                          <w14:schemeClr w14:val="tx1"/>
                        </w14:solidFill>
                      </w14:textFill>
                    </w:rPr>
                    <w:t>Leq</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宋体"/>
                      <w:b/>
                      <w:bCs w:val="0"/>
                      <w:color w:val="000000" w:themeColor="text1"/>
                      <w:kern w:val="0"/>
                      <w:sz w:val="21"/>
                      <w:szCs w:val="21"/>
                      <w:highlight w:val="none"/>
                      <w:lang w:val="en-US" w:eastAsia="zh-CN" w:bidi="ar"/>
                      <w14:textFill>
                        <w14:solidFill>
                          <w14:schemeClr w14:val="tx1"/>
                        </w14:solidFill>
                      </w14:textFill>
                    </w:rPr>
                  </w:pPr>
                  <w:r>
                    <w:rPr>
                      <w:rFonts w:hint="eastAsia" w:cs="宋体"/>
                      <w:b/>
                      <w:bCs w:val="0"/>
                      <w:color w:val="000000" w:themeColor="text1"/>
                      <w:kern w:val="0"/>
                      <w:sz w:val="21"/>
                      <w:szCs w:val="21"/>
                      <w:highlight w:val="none"/>
                      <w:lang w:val="en-US" w:eastAsia="zh-CN" w:bidi="ar"/>
                      <w14:textFill>
                        <w14:solidFill>
                          <w14:schemeClr w14:val="tx1"/>
                        </w14:solidFill>
                      </w14:textFill>
                    </w:rPr>
                    <w:t>L</w:t>
                  </w:r>
                  <w:r>
                    <w:rPr>
                      <w:rFonts w:hint="eastAsia" w:cs="宋体"/>
                      <w:b/>
                      <w:bCs w:val="0"/>
                      <w:color w:val="000000" w:themeColor="text1"/>
                      <w:kern w:val="0"/>
                      <w:sz w:val="21"/>
                      <w:szCs w:val="21"/>
                      <w:highlight w:val="none"/>
                      <w:vertAlign w:val="subscript"/>
                      <w:lang w:val="en-US" w:eastAsia="zh-CN" w:bidi="ar"/>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1"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w:t>
                  </w:r>
                </w:p>
              </w:tc>
              <w:tc>
                <w:tcPr>
                  <w:tcW w:w="203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adjustRightInd/>
                    <w:spacing w:before="0" w:beforeAutospacing="0" w:after="0" w:afterAutospacing="0" w:line="240" w:lineRule="auto"/>
                    <w:ind w:left="0" w:right="0"/>
                    <w:jc w:val="center"/>
                    <w:rPr>
                      <w:color w:val="000000" w:themeColor="text1"/>
                      <w:kern w:val="0"/>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本项目与既有道路交叉点</w:t>
                  </w:r>
                </w:p>
              </w:tc>
              <w:tc>
                <w:tcPr>
                  <w:tcW w:w="71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color w:val="000000" w:themeColor="text1"/>
                      <w:kern w:val="0"/>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202</w:t>
                  </w:r>
                  <w:r>
                    <w:rPr>
                      <w:rFonts w:hint="eastAsia" w:cs="Times New Roman"/>
                      <w:color w:val="000000" w:themeColor="text1"/>
                      <w:kern w:val="0"/>
                      <w:sz w:val="21"/>
                      <w:szCs w:val="21"/>
                      <w:highlight w:val="none"/>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w:t>
                  </w:r>
                  <w:r>
                    <w:rPr>
                      <w:rFonts w:hint="eastAsia" w:cs="Times New Roman"/>
                      <w:color w:val="000000" w:themeColor="text1"/>
                      <w:kern w:val="0"/>
                      <w:sz w:val="21"/>
                      <w:szCs w:val="21"/>
                      <w:highlight w:val="none"/>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w:t>
                  </w:r>
                  <w:r>
                    <w:rPr>
                      <w:rFonts w:hint="eastAsia" w:cs="Times New Roman"/>
                      <w:color w:val="000000" w:themeColor="text1"/>
                      <w:kern w:val="0"/>
                      <w:sz w:val="21"/>
                      <w:szCs w:val="21"/>
                      <w:highlight w:val="none"/>
                      <w:lang w:val="en-US" w:eastAsia="zh-CN" w:bidi="ar"/>
                      <w14:textFill>
                        <w14:solidFill>
                          <w14:schemeClr w14:val="tx1"/>
                        </w14:solidFill>
                      </w14:textFill>
                    </w:rPr>
                    <w:t>8</w:t>
                  </w: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64</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46</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50</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1"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c>
                <w:tcPr>
                  <w:tcW w:w="203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adjustRightIn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拟建道路北侧最近处农户1F</w:t>
                  </w:r>
                </w:p>
              </w:tc>
              <w:tc>
                <w:tcPr>
                  <w:tcW w:w="71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000000" w:themeColor="text1"/>
                      <w:kern w:val="2"/>
                      <w:sz w:val="21"/>
                      <w:szCs w:val="22"/>
                      <w:highlight w:val="none"/>
                      <w14:textFill>
                        <w14:solidFill>
                          <w14:schemeClr w14:val="tx1"/>
                        </w14:solidFill>
                      </w14:textFill>
                    </w:rPr>
                  </w:pP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52</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48</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45</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c>
                <w:tcPr>
                  <w:tcW w:w="20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拟建道路南侧最近楼栋九龙城小区1F</w:t>
                  </w:r>
                </w:p>
              </w:tc>
              <w:tc>
                <w:tcPr>
                  <w:tcW w:w="71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000000" w:themeColor="text1"/>
                      <w:kern w:val="2"/>
                      <w:sz w:val="21"/>
                      <w:szCs w:val="22"/>
                      <w:highlight w:val="none"/>
                      <w14:textFill>
                        <w14:solidFill>
                          <w14:schemeClr w14:val="tx1"/>
                        </w14:solidFill>
                      </w14:textFill>
                    </w:rPr>
                  </w:pP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55</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52</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44</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1"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c>
                <w:tcPr>
                  <w:tcW w:w="20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拟建道路南侧最近楼栋九龙城小区6F</w:t>
                  </w:r>
                </w:p>
              </w:tc>
              <w:tc>
                <w:tcPr>
                  <w:tcW w:w="71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000000" w:themeColor="text1"/>
                      <w:kern w:val="2"/>
                      <w:sz w:val="21"/>
                      <w:szCs w:val="22"/>
                      <w:highlight w:val="none"/>
                      <w14:textFill>
                        <w14:solidFill>
                          <w14:schemeClr w14:val="tx1"/>
                        </w14:solidFill>
                      </w14:textFill>
                    </w:rPr>
                  </w:pP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53</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49</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42</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1"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c>
                <w:tcPr>
                  <w:tcW w:w="20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拟建道路南侧最近楼栋九龙城小区12F</w:t>
                  </w:r>
                </w:p>
              </w:tc>
              <w:tc>
                <w:tcPr>
                  <w:tcW w:w="71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000000" w:themeColor="text1"/>
                      <w:kern w:val="2"/>
                      <w:sz w:val="21"/>
                      <w:szCs w:val="22"/>
                      <w:highlight w:val="none"/>
                      <w14:textFill>
                        <w14:solidFill>
                          <w14:schemeClr w14:val="tx1"/>
                        </w14:solidFill>
                      </w14:textFill>
                    </w:rPr>
                  </w:pP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51</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49</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41</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1"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6</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c>
                <w:tcPr>
                  <w:tcW w:w="20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拟建道路南侧最近楼栋九龙城小区顶楼</w:t>
                  </w:r>
                </w:p>
              </w:tc>
              <w:tc>
                <w:tcPr>
                  <w:tcW w:w="71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000000" w:themeColor="text1"/>
                      <w:kern w:val="2"/>
                      <w:sz w:val="21"/>
                      <w:szCs w:val="22"/>
                      <w:highlight w:val="none"/>
                      <w14:textFill>
                        <w14:solidFill>
                          <w14:schemeClr w14:val="tx1"/>
                        </w14:solidFill>
                      </w14:textFill>
                    </w:rPr>
                  </w:pP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49</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46</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41</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1"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7</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c>
                <w:tcPr>
                  <w:tcW w:w="20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拟建道路南侧</w:t>
                  </w:r>
                  <w:r>
                    <w:rPr>
                      <w:rFonts w:hint="eastAsia" w:cs="Times New Roman"/>
                      <w:color w:val="000000" w:themeColor="text1"/>
                      <w:kern w:val="0"/>
                      <w:sz w:val="21"/>
                      <w:szCs w:val="21"/>
                      <w:highlight w:val="none"/>
                      <w:lang w:val="en-US" w:eastAsia="zh-CN" w:bidi="ar"/>
                      <w14:textFill>
                        <w14:solidFill>
                          <w14:schemeClr w14:val="tx1"/>
                        </w14:solidFill>
                      </w14:textFill>
                    </w:rPr>
                    <w:t>民房（原为</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复兴镇九龙小学</w:t>
                  </w:r>
                  <w:r>
                    <w:rPr>
                      <w:rFonts w:hint="eastAsia"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1F</w:t>
                  </w:r>
                </w:p>
              </w:tc>
              <w:tc>
                <w:tcPr>
                  <w:tcW w:w="71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000000" w:themeColor="text1"/>
                      <w:kern w:val="2"/>
                      <w:sz w:val="21"/>
                      <w:szCs w:val="22"/>
                      <w:highlight w:val="none"/>
                      <w14:textFill>
                        <w14:solidFill>
                          <w14:schemeClr w14:val="tx1"/>
                        </w14:solidFill>
                      </w14:textFill>
                    </w:rPr>
                  </w:pP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53</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44</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color w:val="000000" w:themeColor="text1"/>
                      <w:kern w:val="0"/>
                      <w:szCs w:val="21"/>
                      <w:highlight w:val="none"/>
                      <w:lang w:val="en-US"/>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41</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1"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8</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c>
                <w:tcPr>
                  <w:tcW w:w="20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拟建道路南侧</w:t>
                  </w:r>
                  <w:r>
                    <w:rPr>
                      <w:rFonts w:hint="eastAsia" w:cs="Times New Roman"/>
                      <w:color w:val="000000" w:themeColor="text1"/>
                      <w:kern w:val="0"/>
                      <w:sz w:val="21"/>
                      <w:szCs w:val="21"/>
                      <w:highlight w:val="none"/>
                      <w:lang w:val="en-US" w:eastAsia="zh-CN" w:bidi="ar"/>
                      <w14:textFill>
                        <w14:solidFill>
                          <w14:schemeClr w14:val="tx1"/>
                        </w14:solidFill>
                      </w14:textFill>
                    </w:rPr>
                    <w:t>民房（原为</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复兴镇九龙小学</w:t>
                  </w:r>
                  <w:r>
                    <w:rPr>
                      <w:rFonts w:hint="eastAsia"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3F</w:t>
                  </w:r>
                </w:p>
              </w:tc>
              <w:tc>
                <w:tcPr>
                  <w:tcW w:w="71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000000" w:themeColor="text1"/>
                      <w:kern w:val="2"/>
                      <w:sz w:val="21"/>
                      <w:szCs w:val="22"/>
                      <w:highlight w:val="none"/>
                      <w14:textFill>
                        <w14:solidFill>
                          <w14:schemeClr w14:val="tx1"/>
                        </w14:solidFill>
                      </w14:textFill>
                    </w:rPr>
                  </w:pP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55</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50</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color w:val="000000" w:themeColor="text1"/>
                      <w:kern w:val="0"/>
                      <w:szCs w:val="21"/>
                      <w:highlight w:val="none"/>
                      <w:lang w:val="en-US"/>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41</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5"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9</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c>
                <w:tcPr>
                  <w:tcW w:w="20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拟建道路南侧最近处农户1F</w:t>
                  </w:r>
                </w:p>
              </w:tc>
              <w:tc>
                <w:tcPr>
                  <w:tcW w:w="71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000000" w:themeColor="text1"/>
                      <w:kern w:val="2"/>
                      <w:sz w:val="21"/>
                      <w:szCs w:val="22"/>
                      <w:highlight w:val="none"/>
                      <w14:textFill>
                        <w14:solidFill>
                          <w14:schemeClr w14:val="tx1"/>
                        </w14:solidFill>
                      </w14:textFill>
                    </w:rPr>
                  </w:pP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56</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49</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43</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c>
                <w:tcPr>
                  <w:tcW w:w="20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拟建道路北侧最近处农户1F</w:t>
                  </w:r>
                </w:p>
              </w:tc>
              <w:tc>
                <w:tcPr>
                  <w:tcW w:w="71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000000" w:themeColor="text1"/>
                      <w:kern w:val="2"/>
                      <w:sz w:val="21"/>
                      <w:szCs w:val="22"/>
                      <w:highlight w:val="none"/>
                      <w14:textFill>
                        <w14:solidFill>
                          <w14:schemeClr w14:val="tx1"/>
                        </w14:solidFill>
                      </w14:textFill>
                    </w:rPr>
                  </w:pP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58</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44</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43</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11</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c>
                <w:tcPr>
                  <w:tcW w:w="20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本项目与既有道路交叉点</w:t>
                  </w:r>
                </w:p>
              </w:tc>
              <w:tc>
                <w:tcPr>
                  <w:tcW w:w="71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000000" w:themeColor="text1"/>
                      <w:kern w:val="2"/>
                      <w:sz w:val="21"/>
                      <w:szCs w:val="22"/>
                      <w:highlight w:val="none"/>
                      <w14:textFill>
                        <w14:solidFill>
                          <w14:schemeClr w14:val="tx1"/>
                        </w14:solidFill>
                      </w14:textFill>
                    </w:rPr>
                  </w:pP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61</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59</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46</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12</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c>
                <w:tcPr>
                  <w:tcW w:w="20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拟建道路南侧最近处农户1F</w:t>
                  </w:r>
                </w:p>
              </w:tc>
              <w:tc>
                <w:tcPr>
                  <w:tcW w:w="71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000000" w:themeColor="text1"/>
                      <w:kern w:val="2"/>
                      <w:sz w:val="21"/>
                      <w:szCs w:val="22"/>
                      <w:highlight w:val="none"/>
                      <w14:textFill>
                        <w14:solidFill>
                          <w14:schemeClr w14:val="tx1"/>
                        </w14:solidFill>
                      </w14:textFill>
                    </w:rPr>
                  </w:pP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53</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49</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45</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13</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c>
                <w:tcPr>
                  <w:tcW w:w="20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拟建道路北侧最近处农户1F</w:t>
                  </w:r>
                </w:p>
              </w:tc>
              <w:tc>
                <w:tcPr>
                  <w:tcW w:w="71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000000" w:themeColor="text1"/>
                      <w:kern w:val="2"/>
                      <w:sz w:val="21"/>
                      <w:szCs w:val="22"/>
                      <w:highlight w:val="none"/>
                      <w14:textFill>
                        <w14:solidFill>
                          <w14:schemeClr w14:val="tx1"/>
                        </w14:solidFill>
                      </w14:textFill>
                    </w:rPr>
                  </w:pP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53</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51</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44</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w:t>
                  </w:r>
                </w:p>
              </w:tc>
              <w:tc>
                <w:tcPr>
                  <w:tcW w:w="203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adjustRightInd/>
                    <w:spacing w:before="0" w:beforeAutospacing="0" w:after="0" w:afterAutospacing="0" w:line="240" w:lineRule="auto"/>
                    <w:ind w:left="0" w:right="0"/>
                    <w:jc w:val="center"/>
                    <w:rPr>
                      <w:rFonts w:hint="eastAsia" w:ascii="Times New Roman" w:cs="Times New Roman"/>
                      <w:color w:val="000000" w:themeColor="text1"/>
                      <w:kern w:val="0"/>
                      <w:sz w:val="21"/>
                      <w:szCs w:val="21"/>
                      <w:highlight w:val="none"/>
                      <w:lang w:val="en-US" w:eastAsia="zh-CN" w:bidi="ar"/>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本项目与既有道路交叉点</w:t>
                  </w:r>
                </w:p>
              </w:tc>
              <w:tc>
                <w:tcPr>
                  <w:tcW w:w="719" w:type="pct"/>
                  <w:vMerge w:val="restart"/>
                  <w:tcBorders>
                    <w:top w:val="sing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000000" w:themeColor="text1"/>
                      <w:kern w:val="2"/>
                      <w:sz w:val="21"/>
                      <w:szCs w:val="22"/>
                      <w:highlight w:val="none"/>
                      <w:lang w:val="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202</w:t>
                  </w:r>
                  <w:r>
                    <w:rPr>
                      <w:rFonts w:hint="eastAsia" w:cs="Times New Roman"/>
                      <w:color w:val="000000" w:themeColor="text1"/>
                      <w:kern w:val="0"/>
                      <w:sz w:val="21"/>
                      <w:szCs w:val="21"/>
                      <w:highlight w:val="none"/>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w:t>
                  </w:r>
                  <w:r>
                    <w:rPr>
                      <w:rFonts w:hint="eastAsia" w:cs="Times New Roman"/>
                      <w:color w:val="000000" w:themeColor="text1"/>
                      <w:kern w:val="0"/>
                      <w:sz w:val="21"/>
                      <w:szCs w:val="21"/>
                      <w:highlight w:val="none"/>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w:t>
                  </w:r>
                  <w:r>
                    <w:rPr>
                      <w:rFonts w:hint="eastAsia" w:cs="Times New Roman"/>
                      <w:color w:val="000000" w:themeColor="text1"/>
                      <w:kern w:val="0"/>
                      <w:sz w:val="21"/>
                      <w:szCs w:val="21"/>
                      <w:highlight w:val="none"/>
                      <w:lang w:val="en-US" w:eastAsia="zh-CN" w:bidi="ar"/>
                      <w14:textFill>
                        <w14:solidFill>
                          <w14:schemeClr w14:val="tx1"/>
                        </w14:solidFill>
                      </w14:textFill>
                    </w:rPr>
                    <w:t>9</w:t>
                  </w: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64</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62</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50</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c>
                <w:tcPr>
                  <w:tcW w:w="203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adjustRightInd/>
                    <w:spacing w:before="0" w:beforeAutospacing="0" w:after="0" w:afterAutospacing="0" w:line="240" w:lineRule="auto"/>
                    <w:ind w:left="0" w:right="0"/>
                    <w:jc w:val="center"/>
                    <w:rPr>
                      <w:rFonts w:hint="eastAsia" w:ascii="Times New Roman" w:cs="Times New Roman"/>
                      <w:color w:val="000000" w:themeColor="text1"/>
                      <w:kern w:val="0"/>
                      <w:sz w:val="21"/>
                      <w:szCs w:val="21"/>
                      <w:highlight w:val="none"/>
                      <w:lang w:val="en-US" w:eastAsia="zh-CN" w:bidi="ar"/>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拟建道路北侧最近处农户1F</w:t>
                  </w:r>
                </w:p>
              </w:tc>
              <w:tc>
                <w:tcPr>
                  <w:tcW w:w="719" w:type="pct"/>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000000" w:themeColor="text1"/>
                      <w:kern w:val="2"/>
                      <w:sz w:val="21"/>
                      <w:szCs w:val="22"/>
                      <w:highlight w:val="none"/>
                      <w14:textFill>
                        <w14:solidFill>
                          <w14:schemeClr w14:val="tx1"/>
                        </w14:solidFill>
                      </w14:textFill>
                    </w:rPr>
                  </w:pP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53</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51</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45</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c>
                <w:tcPr>
                  <w:tcW w:w="20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拟建道路南侧最近楼栋九龙城小区1F</w:t>
                  </w:r>
                </w:p>
              </w:tc>
              <w:tc>
                <w:tcPr>
                  <w:tcW w:w="719" w:type="pct"/>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000000" w:themeColor="text1"/>
                      <w:kern w:val="2"/>
                      <w:sz w:val="21"/>
                      <w:szCs w:val="22"/>
                      <w:highlight w:val="none"/>
                      <w14:textFill>
                        <w14:solidFill>
                          <w14:schemeClr w14:val="tx1"/>
                        </w14:solidFill>
                      </w14:textFill>
                    </w:rPr>
                  </w:pP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54</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50</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45</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c>
                <w:tcPr>
                  <w:tcW w:w="20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拟建道路南侧最近楼栋九龙城小区6F</w:t>
                  </w:r>
                </w:p>
              </w:tc>
              <w:tc>
                <w:tcPr>
                  <w:tcW w:w="719" w:type="pct"/>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000000" w:themeColor="text1"/>
                      <w:kern w:val="2"/>
                      <w:sz w:val="21"/>
                      <w:szCs w:val="22"/>
                      <w:highlight w:val="none"/>
                      <w14:textFill>
                        <w14:solidFill>
                          <w14:schemeClr w14:val="tx1"/>
                        </w14:solidFill>
                      </w14:textFill>
                    </w:rPr>
                  </w:pP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52</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46</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44</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c>
                <w:tcPr>
                  <w:tcW w:w="20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拟建道路南侧最近楼栋九龙城小区12F</w:t>
                  </w:r>
                </w:p>
              </w:tc>
              <w:tc>
                <w:tcPr>
                  <w:tcW w:w="719" w:type="pct"/>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000000" w:themeColor="text1"/>
                      <w:kern w:val="2"/>
                      <w:sz w:val="21"/>
                      <w:szCs w:val="22"/>
                      <w:highlight w:val="none"/>
                      <w14:textFill>
                        <w14:solidFill>
                          <w14:schemeClr w14:val="tx1"/>
                        </w14:solidFill>
                      </w14:textFill>
                    </w:rPr>
                  </w:pP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50</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44</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41</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6</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c>
                <w:tcPr>
                  <w:tcW w:w="20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拟建道路南侧最近楼栋九龙城小区顶楼</w:t>
                  </w:r>
                </w:p>
              </w:tc>
              <w:tc>
                <w:tcPr>
                  <w:tcW w:w="719" w:type="pct"/>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000000" w:themeColor="text1"/>
                      <w:kern w:val="2"/>
                      <w:sz w:val="21"/>
                      <w:szCs w:val="22"/>
                      <w:highlight w:val="none"/>
                      <w14:textFill>
                        <w14:solidFill>
                          <w14:schemeClr w14:val="tx1"/>
                        </w14:solidFill>
                      </w14:textFill>
                    </w:rPr>
                  </w:pP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49</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47</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41</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7</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c>
                <w:tcPr>
                  <w:tcW w:w="20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拟建道路南侧</w:t>
                  </w:r>
                  <w:r>
                    <w:rPr>
                      <w:rFonts w:hint="eastAsia" w:cs="Times New Roman"/>
                      <w:color w:val="000000" w:themeColor="text1"/>
                      <w:kern w:val="0"/>
                      <w:sz w:val="21"/>
                      <w:szCs w:val="21"/>
                      <w:highlight w:val="none"/>
                      <w:lang w:val="en-US" w:eastAsia="zh-CN" w:bidi="ar"/>
                      <w14:textFill>
                        <w14:solidFill>
                          <w14:schemeClr w14:val="tx1"/>
                        </w14:solidFill>
                      </w14:textFill>
                    </w:rPr>
                    <w:t>民房（原为</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复兴镇九龙小学</w:t>
                  </w:r>
                  <w:r>
                    <w:rPr>
                      <w:rFonts w:hint="eastAsia"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1F</w:t>
                  </w:r>
                </w:p>
              </w:tc>
              <w:tc>
                <w:tcPr>
                  <w:tcW w:w="719" w:type="pct"/>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000000" w:themeColor="text1"/>
                      <w:kern w:val="2"/>
                      <w:sz w:val="21"/>
                      <w:szCs w:val="22"/>
                      <w:highlight w:val="none"/>
                      <w14:textFill>
                        <w14:solidFill>
                          <w14:schemeClr w14:val="tx1"/>
                        </w14:solidFill>
                      </w14:textFill>
                    </w:rPr>
                  </w:pP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53</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45</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42</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8</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c>
                <w:tcPr>
                  <w:tcW w:w="20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拟建道路南侧</w:t>
                  </w:r>
                  <w:r>
                    <w:rPr>
                      <w:rFonts w:hint="eastAsia" w:cs="Times New Roman"/>
                      <w:color w:val="000000" w:themeColor="text1"/>
                      <w:kern w:val="0"/>
                      <w:sz w:val="21"/>
                      <w:szCs w:val="21"/>
                      <w:highlight w:val="none"/>
                      <w:lang w:val="en-US" w:eastAsia="zh-CN" w:bidi="ar"/>
                      <w14:textFill>
                        <w14:solidFill>
                          <w14:schemeClr w14:val="tx1"/>
                        </w14:solidFill>
                      </w14:textFill>
                    </w:rPr>
                    <w:t>民房（原为</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复兴镇九龙小学</w:t>
                  </w:r>
                  <w:r>
                    <w:rPr>
                      <w:rFonts w:hint="eastAsia"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3F</w:t>
                  </w:r>
                </w:p>
              </w:tc>
              <w:tc>
                <w:tcPr>
                  <w:tcW w:w="719" w:type="pct"/>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000000" w:themeColor="text1"/>
                      <w:kern w:val="2"/>
                      <w:sz w:val="21"/>
                      <w:szCs w:val="22"/>
                      <w:highlight w:val="none"/>
                      <w14:textFill>
                        <w14:solidFill>
                          <w14:schemeClr w14:val="tx1"/>
                        </w14:solidFill>
                      </w14:textFill>
                    </w:rPr>
                  </w:pP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56</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51</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47</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9</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c>
                <w:tcPr>
                  <w:tcW w:w="20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拟建道路南侧最近处农户1F</w:t>
                  </w:r>
                </w:p>
              </w:tc>
              <w:tc>
                <w:tcPr>
                  <w:tcW w:w="719" w:type="pct"/>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000000" w:themeColor="text1"/>
                      <w:kern w:val="2"/>
                      <w:sz w:val="21"/>
                      <w:szCs w:val="22"/>
                      <w:highlight w:val="none"/>
                      <w14:textFill>
                        <w14:solidFill>
                          <w14:schemeClr w14:val="tx1"/>
                        </w14:solidFill>
                      </w14:textFill>
                    </w:rPr>
                  </w:pP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55</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47</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42</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c>
                <w:tcPr>
                  <w:tcW w:w="20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拟建道路北侧最近处农户1F</w:t>
                  </w:r>
                </w:p>
              </w:tc>
              <w:tc>
                <w:tcPr>
                  <w:tcW w:w="719" w:type="pct"/>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000000" w:themeColor="text1"/>
                      <w:kern w:val="2"/>
                      <w:sz w:val="21"/>
                      <w:szCs w:val="22"/>
                      <w:highlight w:val="none"/>
                      <w14:textFill>
                        <w14:solidFill>
                          <w14:schemeClr w14:val="tx1"/>
                        </w14:solidFill>
                      </w14:textFill>
                    </w:rPr>
                  </w:pP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54</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39</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45</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11</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c>
                <w:tcPr>
                  <w:tcW w:w="20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本项目与既有道路交叉点</w:t>
                  </w:r>
                </w:p>
              </w:tc>
              <w:tc>
                <w:tcPr>
                  <w:tcW w:w="719" w:type="pct"/>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000000" w:themeColor="text1"/>
                      <w:kern w:val="2"/>
                      <w:sz w:val="21"/>
                      <w:szCs w:val="22"/>
                      <w:highlight w:val="none"/>
                      <w14:textFill>
                        <w14:solidFill>
                          <w14:schemeClr w14:val="tx1"/>
                        </w14:solidFill>
                      </w14:textFill>
                    </w:rPr>
                  </w:pP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60</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49</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51</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12</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c>
                <w:tcPr>
                  <w:tcW w:w="20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拟建道路南侧最近处农户1F</w:t>
                  </w:r>
                </w:p>
              </w:tc>
              <w:tc>
                <w:tcPr>
                  <w:tcW w:w="719" w:type="pct"/>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000000" w:themeColor="text1"/>
                      <w:kern w:val="2"/>
                      <w:sz w:val="21"/>
                      <w:szCs w:val="22"/>
                      <w:highlight w:val="none"/>
                      <w14:textFill>
                        <w14:solidFill>
                          <w14:schemeClr w14:val="tx1"/>
                        </w14:solidFill>
                      </w14:textFill>
                    </w:rPr>
                  </w:pP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55</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42</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44</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13</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c>
                <w:tcPr>
                  <w:tcW w:w="20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拟建道路北侧最近处农户1F</w:t>
                  </w:r>
                </w:p>
              </w:tc>
              <w:tc>
                <w:tcPr>
                  <w:tcW w:w="719"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000000" w:themeColor="text1"/>
                      <w:kern w:val="2"/>
                      <w:sz w:val="21"/>
                      <w:szCs w:val="22"/>
                      <w:highlight w:val="none"/>
                      <w14:textFill>
                        <w14:solidFill>
                          <w14:schemeClr w14:val="tx1"/>
                        </w14:solidFill>
                      </w14:textFill>
                    </w:rPr>
                  </w:pP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55</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48</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43</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38</w:t>
                  </w:r>
                </w:p>
              </w:tc>
            </w:tr>
          </w:tbl>
          <w:p>
            <w:pPr>
              <w:keepNext w:val="0"/>
              <w:keepLines w:val="0"/>
              <w:widowControl/>
              <w:suppressLineNumbers w:val="0"/>
              <w:autoSpaceDE w:val="0"/>
              <w:autoSpaceDN w:val="0"/>
              <w:spacing w:before="0" w:beforeAutospacing="0" w:after="0" w:afterAutospacing="0" w:line="360" w:lineRule="auto"/>
              <w:ind w:left="0" w:right="0" w:firstLine="480" w:firstLineChars="200"/>
              <w:rPr>
                <w:rFonts w:hint="default"/>
                <w:color w:val="000000" w:themeColor="text1"/>
                <w:kern w:val="0"/>
                <w:sz w:val="24"/>
                <w:szCs w:val="20"/>
                <w:highlight w:val="none"/>
                <w:lang w:val="en-US"/>
                <w14:textFill>
                  <w14:solidFill>
                    <w14:schemeClr w14:val="tx1"/>
                  </w14:solidFill>
                </w14:textFill>
              </w:rPr>
            </w:pPr>
            <w:r>
              <w:rPr>
                <w:rFonts w:hint="eastAsia"/>
                <w:color w:val="000000" w:themeColor="text1"/>
                <w:kern w:val="0"/>
                <w:sz w:val="24"/>
                <w:szCs w:val="20"/>
                <w:highlight w:val="none"/>
                <w:lang w:val="en-US" w:eastAsia="zh-CN"/>
                <w14:textFill>
                  <w14:solidFill>
                    <w14:schemeClr w14:val="tx1"/>
                  </w14:solidFill>
                </w14:textFill>
              </w:rPr>
              <w:t>根据上表检测结果，本项目1#和11#检测点执行《声环境质量标准》（</w:t>
            </w:r>
            <w:r>
              <w:rPr>
                <w:rFonts w:hint="default"/>
                <w:color w:val="000000" w:themeColor="text1"/>
                <w:kern w:val="0"/>
                <w:sz w:val="24"/>
                <w:szCs w:val="20"/>
                <w:highlight w:val="none"/>
                <w:lang w:val="en-US" w:eastAsia="zh-CN"/>
                <w14:textFill>
                  <w14:solidFill>
                    <w14:schemeClr w14:val="tx1"/>
                  </w14:solidFill>
                </w14:textFill>
              </w:rPr>
              <w:t>GB3096-2008</w:t>
            </w:r>
            <w:r>
              <w:rPr>
                <w:rFonts w:hint="eastAsia"/>
                <w:color w:val="000000" w:themeColor="text1"/>
                <w:kern w:val="0"/>
                <w:sz w:val="24"/>
                <w:szCs w:val="20"/>
                <w:highlight w:val="none"/>
                <w:lang w:val="en-US" w:eastAsia="zh-CN"/>
                <w14:textFill>
                  <w14:solidFill>
                    <w14:schemeClr w14:val="tx1"/>
                  </w14:solidFill>
                </w14:textFill>
              </w:rPr>
              <w:t>）4a类标准（噪声限值：昼间70dB(A)；夜间55dB(A)），其余监测点执行《声环境质量标准》（</w:t>
            </w:r>
            <w:r>
              <w:rPr>
                <w:rFonts w:hint="default"/>
                <w:color w:val="000000" w:themeColor="text1"/>
                <w:kern w:val="0"/>
                <w:sz w:val="24"/>
                <w:szCs w:val="20"/>
                <w:highlight w:val="none"/>
                <w:lang w:val="en-US" w:eastAsia="zh-CN"/>
                <w14:textFill>
                  <w14:solidFill>
                    <w14:schemeClr w14:val="tx1"/>
                  </w14:solidFill>
                </w14:textFill>
              </w:rPr>
              <w:t>GB3096-2008</w:t>
            </w:r>
            <w:r>
              <w:rPr>
                <w:rFonts w:hint="eastAsia"/>
                <w:color w:val="000000" w:themeColor="text1"/>
                <w:kern w:val="0"/>
                <w:sz w:val="24"/>
                <w:szCs w:val="20"/>
                <w:highlight w:val="none"/>
                <w:lang w:val="en-US" w:eastAsia="zh-CN"/>
                <w14:textFill>
                  <w14:solidFill>
                    <w14:schemeClr w14:val="tx1"/>
                  </w14:solidFill>
                </w14:textFill>
              </w:rPr>
              <w:t>）2类标准（噪声限值：昼间60dB(A)；夜间50dB(A)）。由上表可知，项目区域声环境质量良好。</w:t>
            </w:r>
          </w:p>
          <w:p>
            <w:pPr>
              <w:keepNext w:val="0"/>
              <w:keepLines w:val="0"/>
              <w:suppressLineNumbers w:val="0"/>
              <w:spacing w:before="0" w:beforeAutospacing="0" w:after="0" w:afterAutospacing="0" w:line="360" w:lineRule="auto"/>
              <w:ind w:left="0" w:right="0"/>
              <w:jc w:val="left"/>
              <w:rPr>
                <w:b/>
                <w:bCs/>
                <w:color w:val="000000" w:themeColor="text1"/>
                <w:sz w:val="24"/>
                <w:highlight w:val="none"/>
                <w14:textFill>
                  <w14:solidFill>
                    <w14:schemeClr w14:val="tx1"/>
                  </w14:solidFill>
                </w14:textFill>
              </w:rPr>
            </w:pPr>
            <w:r>
              <w:rPr>
                <w:rFonts w:hint="eastAsia"/>
                <w:b/>
                <w:bCs/>
                <w:color w:val="000000" w:themeColor="text1"/>
                <w:sz w:val="24"/>
                <w:highlight w:val="none"/>
                <w:lang w:eastAsia="zh-CN"/>
                <w14:textFill>
                  <w14:solidFill>
                    <w14:schemeClr w14:val="tx1"/>
                  </w14:solidFill>
                </w14:textFill>
              </w:rPr>
              <w:t>（</w:t>
            </w:r>
            <w:r>
              <w:rPr>
                <w:rFonts w:hint="eastAsia"/>
                <w:b/>
                <w:bCs/>
                <w:color w:val="000000" w:themeColor="text1"/>
                <w:sz w:val="24"/>
                <w:highlight w:val="none"/>
                <w:lang w:val="en-US" w:eastAsia="zh-CN"/>
                <w14:textFill>
                  <w14:solidFill>
                    <w14:schemeClr w14:val="tx1"/>
                  </w14:solidFill>
                </w14:textFill>
              </w:rPr>
              <w:t>六</w:t>
            </w:r>
            <w:r>
              <w:rPr>
                <w:rFonts w:hint="eastAsia"/>
                <w:b/>
                <w:bCs/>
                <w:color w:val="000000" w:themeColor="text1"/>
                <w:sz w:val="24"/>
                <w:highlight w:val="none"/>
                <w:lang w:eastAsia="zh-CN"/>
                <w14:textFill>
                  <w14:solidFill>
                    <w14:schemeClr w14:val="tx1"/>
                  </w14:solidFill>
                </w14:textFill>
              </w:rPr>
              <w:t>）</w:t>
            </w:r>
            <w:r>
              <w:rPr>
                <w:rFonts w:hint="eastAsia"/>
                <w:b/>
                <w:bCs/>
                <w:color w:val="000000" w:themeColor="text1"/>
                <w:sz w:val="24"/>
                <w:highlight w:val="none"/>
                <w14:textFill>
                  <w14:solidFill>
                    <w14:schemeClr w14:val="tx1"/>
                  </w14:solidFill>
                </w14:textFill>
              </w:rPr>
              <w:t>地下水</w:t>
            </w:r>
            <w:r>
              <w:rPr>
                <w:b/>
                <w:bCs/>
                <w:color w:val="000000" w:themeColor="text1"/>
                <w:sz w:val="24"/>
                <w:highlight w:val="none"/>
                <w14:textFill>
                  <w14:solidFill>
                    <w14:schemeClr w14:val="tx1"/>
                  </w14:solidFill>
                </w14:textFill>
              </w:rPr>
              <w:t>环境质量现状</w:t>
            </w:r>
          </w:p>
          <w:p>
            <w:pPr>
              <w:keepNext w:val="0"/>
              <w:keepLines w:val="0"/>
              <w:widowControl/>
              <w:suppressLineNumbers w:val="0"/>
              <w:autoSpaceDE w:val="0"/>
              <w:autoSpaceDN w:val="0"/>
              <w:spacing w:before="0" w:beforeAutospacing="0" w:after="0" w:afterAutospacing="0" w:line="360" w:lineRule="auto"/>
              <w:ind w:left="0" w:right="0" w:firstLine="480" w:firstLineChars="200"/>
              <w:rPr>
                <w:rFonts w:hint="eastAsia" w:eastAsia="宋体"/>
                <w:color w:val="000000" w:themeColor="text1"/>
                <w:kern w:val="0"/>
                <w:sz w:val="24"/>
                <w:szCs w:val="20"/>
                <w:highlight w:val="none"/>
                <w:lang w:eastAsia="zh-CN"/>
                <w14:textFill>
                  <w14:solidFill>
                    <w14:schemeClr w14:val="tx1"/>
                  </w14:solidFill>
                </w14:textFill>
              </w:rPr>
            </w:pPr>
            <w:r>
              <w:rPr>
                <w:rFonts w:hint="eastAsia"/>
                <w:color w:val="000000" w:themeColor="text1"/>
                <w:kern w:val="0"/>
                <w:sz w:val="24"/>
                <w:szCs w:val="20"/>
                <w:highlight w:val="none"/>
                <w14:textFill>
                  <w14:solidFill>
                    <w14:schemeClr w14:val="tx1"/>
                  </w14:solidFill>
                </w14:textFill>
              </w:rPr>
              <w:t>本项目为新建城市主干路项目，根据《环境影响评价技术导则地下水环境》（HJ610-2016）附录A，项目地下水环境影响评价项目类别属于Ⅳ类。</w:t>
            </w:r>
          </w:p>
          <w:p>
            <w:pPr>
              <w:keepNext w:val="0"/>
              <w:keepLines w:val="0"/>
              <w:widowControl/>
              <w:suppressLineNumbers w:val="0"/>
              <w:autoSpaceDE w:val="0"/>
              <w:autoSpaceDN w:val="0"/>
              <w:spacing w:before="0" w:beforeAutospacing="0" w:after="0" w:afterAutospacing="0" w:line="360" w:lineRule="auto"/>
              <w:ind w:left="0" w:right="0" w:firstLine="480" w:firstLineChars="200"/>
              <w:rPr>
                <w:b/>
                <w:bCs/>
                <w:color w:val="000000" w:themeColor="text1"/>
                <w:sz w:val="24"/>
                <w:highlight w:val="none"/>
                <w14:textFill>
                  <w14:solidFill>
                    <w14:schemeClr w14:val="tx1"/>
                  </w14:solidFill>
                </w14:textFill>
              </w:rPr>
            </w:pPr>
            <w:r>
              <w:rPr>
                <w:rFonts w:hint="eastAsia"/>
                <w:color w:val="000000" w:themeColor="text1"/>
                <w:kern w:val="0"/>
                <w:sz w:val="24"/>
                <w:szCs w:val="20"/>
                <w:highlight w:val="none"/>
                <w14:textFill>
                  <w14:solidFill>
                    <w14:schemeClr w14:val="tx1"/>
                  </w14:solidFill>
                </w14:textFill>
              </w:rPr>
              <w:t>根据《环境影响评价技术导则地下水环境》（HJ610-2016）第“4.1”条，Ⅳ类建设项目可不开展地下水环境影响评价，不进行地下水环境质量现状调查</w:t>
            </w:r>
            <w:r>
              <w:rPr>
                <w:rFonts w:hint="eastAsia"/>
                <w:color w:val="000000" w:themeColor="text1"/>
                <w:sz w:val="24"/>
                <w:highlight w:val="none"/>
                <w14:textFill>
                  <w14:solidFill>
                    <w14:schemeClr w14:val="tx1"/>
                  </w14:solidFill>
                </w14:textFill>
              </w:rPr>
              <w:t>。</w:t>
            </w:r>
          </w:p>
          <w:p>
            <w:pPr>
              <w:keepNext w:val="0"/>
              <w:keepLines w:val="0"/>
              <w:widowControl/>
              <w:suppressLineNumbers w:val="0"/>
              <w:spacing w:before="120" w:beforeLines="50" w:beforeAutospacing="0" w:after="0" w:afterAutospacing="0" w:line="360" w:lineRule="auto"/>
              <w:ind w:left="0" w:right="0"/>
              <w:rPr>
                <w:color w:val="000000" w:themeColor="text1"/>
                <w:sz w:val="24"/>
                <w:szCs w:val="20"/>
                <w:highlight w:val="none"/>
                <w14:textFill>
                  <w14:solidFill>
                    <w14:schemeClr w14:val="tx1"/>
                  </w14:solidFill>
                </w14:textFill>
              </w:rPr>
            </w:pPr>
            <w:r>
              <w:rPr>
                <w:rFonts w:hint="eastAsia"/>
                <w:b/>
                <w:bCs/>
                <w:color w:val="000000" w:themeColor="text1"/>
                <w:sz w:val="24"/>
                <w:highlight w:val="none"/>
                <w:lang w:eastAsia="zh-CN"/>
                <w14:textFill>
                  <w14:solidFill>
                    <w14:schemeClr w14:val="tx1"/>
                  </w14:solidFill>
                </w14:textFill>
              </w:rPr>
              <w:t>（</w:t>
            </w:r>
            <w:r>
              <w:rPr>
                <w:rFonts w:hint="eastAsia"/>
                <w:b/>
                <w:bCs/>
                <w:color w:val="000000" w:themeColor="text1"/>
                <w:sz w:val="24"/>
                <w:highlight w:val="none"/>
                <w14:textFill>
                  <w14:solidFill>
                    <w14:schemeClr w14:val="tx1"/>
                  </w14:solidFill>
                </w14:textFill>
              </w:rPr>
              <w:t>七</w:t>
            </w:r>
            <w:r>
              <w:rPr>
                <w:rFonts w:hint="eastAsia"/>
                <w:b/>
                <w:bCs/>
                <w:color w:val="000000" w:themeColor="text1"/>
                <w:sz w:val="24"/>
                <w:highlight w:val="none"/>
                <w:lang w:eastAsia="zh-CN"/>
                <w14:textFill>
                  <w14:solidFill>
                    <w14:schemeClr w14:val="tx1"/>
                  </w14:solidFill>
                </w14:textFill>
              </w:rPr>
              <w:t>）</w:t>
            </w:r>
            <w:r>
              <w:rPr>
                <w:rFonts w:hint="eastAsia"/>
                <w:b/>
                <w:bCs/>
                <w:color w:val="000000" w:themeColor="text1"/>
                <w:sz w:val="24"/>
                <w:highlight w:val="none"/>
                <w14:textFill>
                  <w14:solidFill>
                    <w14:schemeClr w14:val="tx1"/>
                  </w14:solidFill>
                </w14:textFill>
              </w:rPr>
              <w:t>土壤</w:t>
            </w:r>
            <w:r>
              <w:rPr>
                <w:b/>
                <w:bCs/>
                <w:color w:val="000000" w:themeColor="text1"/>
                <w:sz w:val="24"/>
                <w:highlight w:val="none"/>
                <w14:textFill>
                  <w14:solidFill>
                    <w14:schemeClr w14:val="tx1"/>
                  </w14:solidFill>
                </w14:textFill>
              </w:rPr>
              <w:t>环境质量现状</w:t>
            </w:r>
          </w:p>
          <w:p>
            <w:pPr>
              <w:keepNext w:val="0"/>
              <w:keepLines w:val="0"/>
              <w:suppressLineNumbers w:val="0"/>
              <w:spacing w:before="0" w:beforeAutospacing="0" w:after="0" w:afterAutospacing="0" w:line="360" w:lineRule="auto"/>
              <w:ind w:left="0" w:right="0" w:firstLine="480" w:firstLineChars="200"/>
              <w:jc w:val="left"/>
              <w:rPr>
                <w:b/>
                <w:bCs/>
                <w:color w:val="000000" w:themeColor="text1"/>
                <w:sz w:val="24"/>
                <w:highlight w:val="none"/>
                <w14:textFill>
                  <w14:solidFill>
                    <w14:schemeClr w14:val="tx1"/>
                  </w14:solidFill>
                </w14:textFill>
              </w:rPr>
            </w:pPr>
            <w:r>
              <w:rPr>
                <w:rFonts w:hint="eastAsia"/>
                <w:color w:val="000000" w:themeColor="text1"/>
                <w:kern w:val="0"/>
                <w:sz w:val="24"/>
                <w:szCs w:val="20"/>
                <w:highlight w:val="none"/>
                <w14:textFill>
                  <w14:solidFill>
                    <w14:schemeClr w14:val="tx1"/>
                  </w14:solidFill>
                </w14:textFill>
              </w:rPr>
              <w:t>本项目为新建城市主干路项目，根据《环境影响评价技术导则土壤环境（试行）》（HJ</w:t>
            </w:r>
            <w:r>
              <w:rPr>
                <w:color w:val="000000" w:themeColor="text1"/>
                <w:kern w:val="0"/>
                <w:sz w:val="24"/>
                <w:szCs w:val="20"/>
                <w:highlight w:val="none"/>
                <w14:textFill>
                  <w14:solidFill>
                    <w14:schemeClr w14:val="tx1"/>
                  </w14:solidFill>
                </w14:textFill>
              </w:rPr>
              <w:t>964</w:t>
            </w:r>
            <w:r>
              <w:rPr>
                <w:rFonts w:hint="eastAsia"/>
                <w:color w:val="000000" w:themeColor="text1"/>
                <w:kern w:val="0"/>
                <w:sz w:val="24"/>
                <w:szCs w:val="20"/>
                <w:highlight w:val="none"/>
                <w14:textFill>
                  <w14:solidFill>
                    <w14:schemeClr w14:val="tx1"/>
                  </w14:solidFill>
                </w14:textFill>
              </w:rPr>
              <w:t>-</w:t>
            </w:r>
            <w:r>
              <w:rPr>
                <w:color w:val="000000" w:themeColor="text1"/>
                <w:kern w:val="0"/>
                <w:sz w:val="24"/>
                <w:szCs w:val="20"/>
                <w:highlight w:val="none"/>
                <w14:textFill>
                  <w14:solidFill>
                    <w14:schemeClr w14:val="tx1"/>
                  </w14:solidFill>
                </w14:textFill>
              </w:rPr>
              <w:t>2018</w:t>
            </w:r>
            <w:r>
              <w:rPr>
                <w:rFonts w:hint="eastAsia"/>
                <w:color w:val="000000" w:themeColor="text1"/>
                <w:kern w:val="0"/>
                <w:sz w:val="24"/>
                <w:szCs w:val="20"/>
                <w:highlight w:val="none"/>
                <w14:textFill>
                  <w14:solidFill>
                    <w14:schemeClr w14:val="tx1"/>
                  </w14:solidFill>
                </w14:textFill>
              </w:rPr>
              <w:t>）附录A，本项目属于其他行业，属于Ⅳ类，项目可不开展土壤环境影响评价。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3" w:hRule="atLeast"/>
          <w:jc w:val="center"/>
        </w:trPr>
        <w:tc>
          <w:tcPr>
            <w:tcW w:w="738" w:type="dxa"/>
            <w:vAlign w:val="center"/>
          </w:tcPr>
          <w:p>
            <w:pPr>
              <w:keepNext w:val="0"/>
              <w:keepLines w:val="0"/>
              <w:suppressLineNumbers w:val="0"/>
              <w:adjustRightInd w:val="0"/>
              <w:snapToGrid w:val="0"/>
              <w:spacing w:before="0" w:beforeAutospacing="0" w:after="0" w:afterAutospacing="0"/>
              <w:ind w:left="0" w:right="0"/>
              <w:jc w:val="center"/>
              <w:rPr>
                <w:color w:val="000000" w:themeColor="text1"/>
                <w:kern w:val="0"/>
                <w:sz w:val="24"/>
                <w:highlight w:val="none"/>
                <w14:textFill>
                  <w14:solidFill>
                    <w14:schemeClr w14:val="tx1"/>
                  </w14:solidFill>
                </w14:textFill>
              </w:rPr>
            </w:pPr>
            <w:r>
              <w:rPr>
                <w:bCs/>
                <w:color w:val="000000" w:themeColor="text1"/>
                <w:sz w:val="24"/>
                <w:highlight w:val="none"/>
                <w14:textFill>
                  <w14:solidFill>
                    <w14:schemeClr w14:val="tx1"/>
                  </w14:solidFill>
                </w14:textFill>
              </w:rPr>
              <w:t>与项目有关的原有环境污染和生态破坏问题</w:t>
            </w:r>
          </w:p>
        </w:tc>
        <w:tc>
          <w:tcPr>
            <w:tcW w:w="8527" w:type="dxa"/>
            <w:vAlign w:val="center"/>
          </w:tcPr>
          <w:p>
            <w:pPr>
              <w:pStyle w:val="19"/>
              <w:keepNext w:val="0"/>
              <w:keepLines w:val="0"/>
              <w:widowControl w:val="0"/>
              <w:suppressLineNumbers w:val="0"/>
              <w:spacing w:before="0" w:beforeAutospacing="0" w:after="0" w:afterAutospacing="0" w:line="360" w:lineRule="auto"/>
              <w:ind w:left="0" w:leftChars="0" w:right="0" w:firstLine="480" w:firstLineChars="200"/>
              <w:jc w:val="left"/>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本项目为</w:t>
            </w:r>
            <w:r>
              <w:rPr>
                <w:rFonts w:hint="eastAsia"/>
                <w:color w:val="000000" w:themeColor="text1"/>
                <w:kern w:val="0"/>
                <w:sz w:val="24"/>
                <w:szCs w:val="20"/>
                <w:highlight w:val="none"/>
                <w14:textFill>
                  <w14:solidFill>
                    <w14:schemeClr w14:val="tx1"/>
                  </w14:solidFill>
                </w14:textFill>
              </w:rPr>
              <w:t>新建城市主干路项目</w:t>
            </w:r>
            <w:r>
              <w:rPr>
                <w:rFonts w:hint="eastAsia"/>
                <w:color w:val="000000" w:themeColor="text1"/>
                <w:kern w:val="0"/>
                <w:sz w:val="24"/>
                <w:highlight w:val="none"/>
                <w14:textFill>
                  <w14:solidFill>
                    <w14:schemeClr w14:val="tx1"/>
                  </w14:solidFill>
                </w14:textFill>
              </w:rPr>
              <w:t>，通过现场踏勘，现状土地利用类型为农用地</w:t>
            </w:r>
            <w:r>
              <w:rPr>
                <w:rFonts w:hint="eastAsia"/>
                <w:color w:val="000000" w:themeColor="text1"/>
                <w:kern w:val="0"/>
                <w:sz w:val="24"/>
                <w:highlight w:val="none"/>
                <w:lang w:eastAsia="zh-CN"/>
                <w14:textFill>
                  <w14:solidFill>
                    <w14:schemeClr w14:val="tx1"/>
                  </w14:solidFill>
                </w14:textFill>
              </w:rPr>
              <w:t>（</w:t>
            </w:r>
            <w:r>
              <w:rPr>
                <w:rFonts w:hint="eastAsia"/>
                <w:color w:val="000000" w:themeColor="text1"/>
                <w:kern w:val="0"/>
                <w:sz w:val="24"/>
                <w:highlight w:val="none"/>
                <w:lang w:val="en-US" w:eastAsia="zh-CN"/>
                <w14:textFill>
                  <w14:solidFill>
                    <w14:schemeClr w14:val="tx1"/>
                  </w14:solidFill>
                </w14:textFill>
              </w:rPr>
              <w:t>不含永久基本农田）</w:t>
            </w:r>
            <w:r>
              <w:rPr>
                <w:rFonts w:hint="eastAsia"/>
                <w:color w:val="000000" w:themeColor="text1"/>
                <w:kern w:val="0"/>
                <w:sz w:val="24"/>
                <w:highlight w:val="none"/>
                <w14:textFill>
                  <w14:solidFill>
                    <w14:schemeClr w14:val="tx1"/>
                  </w14:solidFill>
                </w14:textFill>
              </w:rPr>
              <w:t>、</w:t>
            </w:r>
            <w:r>
              <w:rPr>
                <w:rFonts w:hint="eastAsia"/>
                <w:color w:val="000000" w:themeColor="text1"/>
                <w:kern w:val="0"/>
                <w:sz w:val="24"/>
                <w:highlight w:val="none"/>
                <w:lang w:val="en-US" w:eastAsia="zh-CN"/>
                <w14:textFill>
                  <w14:solidFill>
                    <w14:schemeClr w14:val="tx1"/>
                  </w14:solidFill>
                </w14:textFill>
              </w:rPr>
              <w:t>建设</w:t>
            </w:r>
            <w:r>
              <w:rPr>
                <w:rFonts w:hint="eastAsia"/>
                <w:color w:val="000000" w:themeColor="text1"/>
                <w:kern w:val="0"/>
                <w:sz w:val="24"/>
                <w:highlight w:val="none"/>
                <w14:textFill>
                  <w14:solidFill>
                    <w14:schemeClr w14:val="tx1"/>
                  </w14:solidFill>
                </w14:textFill>
              </w:rPr>
              <w:t>用地</w:t>
            </w:r>
            <w:r>
              <w:rPr>
                <w:rFonts w:hint="eastAsia"/>
                <w:color w:val="000000" w:themeColor="text1"/>
                <w:kern w:val="0"/>
                <w:sz w:val="24"/>
                <w:highlight w:val="none"/>
                <w:lang w:val="en-US" w:eastAsia="zh-CN"/>
                <w14:textFill>
                  <w14:solidFill>
                    <w14:schemeClr w14:val="tx1"/>
                  </w14:solidFill>
                </w14:textFill>
              </w:rPr>
              <w:t>和</w:t>
            </w:r>
            <w:r>
              <w:rPr>
                <w:rFonts w:hint="eastAsia"/>
                <w:color w:val="000000" w:themeColor="text1"/>
                <w:kern w:val="0"/>
                <w:sz w:val="24"/>
                <w:highlight w:val="none"/>
                <w14:textFill>
                  <w14:solidFill>
                    <w14:schemeClr w14:val="tx1"/>
                  </w14:solidFill>
                </w14:textFill>
              </w:rPr>
              <w:t>未利用地，调规后均为城市道路建设用地，区域生态环境整体较好，不存在明显的生态破坏、失衡等现象。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3" w:hRule="atLeast"/>
          <w:jc w:val="center"/>
        </w:trPr>
        <w:tc>
          <w:tcPr>
            <w:tcW w:w="738" w:type="dxa"/>
            <w:vAlign w:val="center"/>
          </w:tcPr>
          <w:p>
            <w:pPr>
              <w:keepNext w:val="0"/>
              <w:keepLines w:val="0"/>
              <w:suppressLineNumbers w:val="0"/>
              <w:adjustRightInd w:val="0"/>
              <w:snapToGrid w:val="0"/>
              <w:spacing w:before="0" w:beforeAutospacing="0" w:after="0" w:afterAutospacing="0"/>
              <w:ind w:left="0" w:right="0"/>
              <w:jc w:val="center"/>
              <w:rPr>
                <w:bCs/>
                <w:color w:val="000000" w:themeColor="text1"/>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生态环境保护目标</w:t>
            </w:r>
          </w:p>
        </w:tc>
        <w:tc>
          <w:tcPr>
            <w:tcW w:w="8527" w:type="dxa"/>
            <w:vAlign w:val="center"/>
          </w:tcPr>
          <w:p>
            <w:pPr>
              <w:keepNext w:val="0"/>
              <w:keepLines w:val="0"/>
              <w:suppressLineNumbers w:val="0"/>
              <w:autoSpaceDE w:val="0"/>
              <w:autoSpaceDN w:val="0"/>
              <w:spacing w:before="0" w:beforeAutospacing="0" w:after="0" w:afterAutospacing="0" w:line="360" w:lineRule="auto"/>
              <w:ind w:left="0" w:right="0"/>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eastAsia="zh-CN"/>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一</w:t>
            </w:r>
            <w:r>
              <w:rPr>
                <w:rFonts w:hint="eastAsia"/>
                <w:b/>
                <w:bCs/>
                <w:color w:val="000000" w:themeColor="text1"/>
                <w:sz w:val="24"/>
                <w:szCs w:val="24"/>
                <w:highlight w:val="none"/>
                <w:lang w:eastAsia="zh-CN"/>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评价范围</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表3-5  评价范围表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6"/>
              <w:gridCol w:w="6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6" w:type="dxa"/>
                </w:tcPr>
                <w:p>
                  <w:pPr>
                    <w:keepNext w:val="0"/>
                    <w:keepLines w:val="0"/>
                    <w:suppressLineNumbers w:val="0"/>
                    <w:spacing w:before="0" w:beforeAutospacing="0" w:after="0" w:afterAutospacing="0" w:line="360" w:lineRule="auto"/>
                    <w:ind w:left="0" w:right="0"/>
                    <w:jc w:val="left"/>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环境要素</w:t>
                  </w:r>
                </w:p>
              </w:tc>
              <w:tc>
                <w:tcPr>
                  <w:tcW w:w="6435" w:type="dxa"/>
                </w:tcPr>
                <w:p>
                  <w:pPr>
                    <w:keepNext w:val="0"/>
                    <w:keepLines w:val="0"/>
                    <w:suppressLineNumbers w:val="0"/>
                    <w:spacing w:before="0" w:beforeAutospacing="0" w:after="0" w:afterAutospacing="0" w:line="360" w:lineRule="auto"/>
                    <w:ind w:left="0" w:right="0"/>
                    <w:jc w:val="left"/>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6" w:type="dxa"/>
                </w:tcPr>
                <w:p>
                  <w:pPr>
                    <w:keepNext w:val="0"/>
                    <w:keepLines w:val="0"/>
                    <w:suppressLineNumbers w:val="0"/>
                    <w:spacing w:before="0" w:beforeAutospacing="0" w:after="0" w:afterAutospacing="0" w:line="360" w:lineRule="auto"/>
                    <w:ind w:left="0" w:right="0"/>
                    <w:jc w:val="left"/>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生态环境</w:t>
                  </w:r>
                </w:p>
              </w:tc>
              <w:tc>
                <w:tcPr>
                  <w:tcW w:w="6435" w:type="dxa"/>
                </w:tcPr>
                <w:p>
                  <w:pPr>
                    <w:keepNext w:val="0"/>
                    <w:keepLines w:val="0"/>
                    <w:suppressLineNumbers w:val="0"/>
                    <w:spacing w:before="0" w:beforeAutospacing="0" w:after="0" w:afterAutospacing="0" w:line="360" w:lineRule="auto"/>
                    <w:ind w:left="0" w:right="0"/>
                    <w:jc w:val="left"/>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以线路中心线向两侧外延300m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6" w:type="dxa"/>
                </w:tcPr>
                <w:p>
                  <w:pPr>
                    <w:keepNext w:val="0"/>
                    <w:keepLines w:val="0"/>
                    <w:suppressLineNumbers w:val="0"/>
                    <w:spacing w:before="0" w:beforeAutospacing="0" w:after="0" w:afterAutospacing="0" w:line="360" w:lineRule="auto"/>
                    <w:ind w:left="0" w:right="0"/>
                    <w:jc w:val="left"/>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声环境</w:t>
                  </w:r>
                </w:p>
              </w:tc>
              <w:tc>
                <w:tcPr>
                  <w:tcW w:w="6435" w:type="dxa"/>
                </w:tcPr>
                <w:p>
                  <w:pPr>
                    <w:keepNext w:val="0"/>
                    <w:keepLines w:val="0"/>
                    <w:widowControl/>
                    <w:suppressLineNumbers w:val="0"/>
                    <w:spacing w:before="0" w:beforeAutospacing="0" w:after="0" w:afterAutospacing="0"/>
                    <w:ind w:left="0" w:right="0"/>
                    <w:jc w:val="left"/>
                    <w:rPr>
                      <w:rFonts w:hint="eastAsia"/>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施工期为各施工区施工场界；营运期为道路沿线</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200m</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以内区域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6" w:type="dxa"/>
                </w:tcPr>
                <w:p>
                  <w:pPr>
                    <w:keepNext w:val="0"/>
                    <w:keepLines w:val="0"/>
                    <w:suppressLineNumbers w:val="0"/>
                    <w:spacing w:before="0" w:beforeAutospacing="0" w:after="0" w:afterAutospacing="0" w:line="360" w:lineRule="auto"/>
                    <w:ind w:left="0" w:right="0"/>
                    <w:jc w:val="left"/>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环境空气</w:t>
                  </w:r>
                </w:p>
              </w:tc>
              <w:tc>
                <w:tcPr>
                  <w:tcW w:w="6435" w:type="dxa"/>
                </w:tcPr>
                <w:p>
                  <w:pPr>
                    <w:keepNext w:val="0"/>
                    <w:keepLines w:val="0"/>
                    <w:widowControl/>
                    <w:suppressLineNumbers w:val="0"/>
                    <w:spacing w:before="0" w:beforeAutospacing="0" w:after="0" w:afterAutospacing="0"/>
                    <w:ind w:left="0" w:right="0"/>
                    <w:jc w:val="left"/>
                    <w:rPr>
                      <w:rFonts w:hint="default"/>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施工期为各施工区施工场界；营运期为道路</w:t>
                  </w:r>
                  <w:r>
                    <w:rPr>
                      <w:rFonts w:hint="eastAsia" w:ascii="宋体" w:hAnsi="宋体" w:cs="宋体"/>
                      <w:color w:val="000000" w:themeColor="text1"/>
                      <w:kern w:val="0"/>
                      <w:sz w:val="21"/>
                      <w:szCs w:val="21"/>
                      <w:highlight w:val="none"/>
                      <w:lang w:val="en-US" w:eastAsia="zh-CN" w:bidi="ar"/>
                      <w14:textFill>
                        <w14:solidFill>
                          <w14:schemeClr w14:val="tx1"/>
                        </w14:solidFill>
                      </w14:textFill>
                    </w:rPr>
                    <w:t>周边空气</w:t>
                  </w:r>
                </w:p>
              </w:tc>
            </w:tr>
          </w:tbl>
          <w:p>
            <w:pPr>
              <w:keepNext w:val="0"/>
              <w:keepLines w:val="0"/>
              <w:pageBreakBefore w:val="0"/>
              <w:widowControl w:val="0"/>
              <w:suppressLineNumbers w:val="0"/>
              <w:kinsoku/>
              <w:wordWrap/>
              <w:overflowPunct/>
              <w:topLinePunct w:val="0"/>
              <w:autoSpaceDE w:val="0"/>
              <w:autoSpaceDN w:val="0"/>
              <w:bidi w:val="0"/>
              <w:adjustRightInd/>
              <w:snapToGrid/>
              <w:spacing w:before="313" w:beforeLines="100" w:beforeAutospacing="0" w:after="0" w:afterAutospacing="0" w:line="360" w:lineRule="auto"/>
              <w:ind w:left="0" w:right="0"/>
              <w:textAlignment w:val="auto"/>
              <w:rPr>
                <w:rFonts w:hint="default"/>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eastAsia="zh-CN"/>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二</w:t>
            </w:r>
            <w:r>
              <w:rPr>
                <w:rFonts w:hint="eastAsia"/>
                <w:b/>
                <w:bCs/>
                <w:color w:val="000000" w:themeColor="text1"/>
                <w:sz w:val="24"/>
                <w:szCs w:val="24"/>
                <w:highlight w:val="none"/>
                <w:lang w:eastAsia="zh-CN"/>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环境保护目标的识别</w:t>
            </w:r>
          </w:p>
          <w:p>
            <w:pPr>
              <w:keepNext w:val="0"/>
              <w:keepLines w:val="0"/>
              <w:suppressLineNumbers w:val="0"/>
              <w:spacing w:before="0" w:beforeAutospacing="0" w:after="0" w:afterAutospacing="0" w:line="360" w:lineRule="auto"/>
              <w:ind w:left="0" w:right="0" w:firstLine="482" w:firstLineChars="200"/>
              <w:jc w:val="left"/>
              <w:rPr>
                <w:rFonts w:hint="default"/>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1、生态环境保护目标</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表3-6  生态保护目标一览表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1752"/>
              <w:gridCol w:w="3316"/>
              <w:gridCol w:w="2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dxa"/>
                </w:tcPr>
                <w:p>
                  <w:pPr>
                    <w:keepNext w:val="0"/>
                    <w:keepLines w:val="0"/>
                    <w:suppressLineNumbers w:val="0"/>
                    <w:spacing w:before="0" w:beforeAutospacing="0" w:after="0" w:afterAutospacing="0" w:line="360" w:lineRule="auto"/>
                    <w:ind w:left="0" w:right="0"/>
                    <w:jc w:val="left"/>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敏感目标</w:t>
                  </w:r>
                </w:p>
              </w:tc>
              <w:tc>
                <w:tcPr>
                  <w:tcW w:w="1752" w:type="dxa"/>
                </w:tcPr>
                <w:p>
                  <w:pPr>
                    <w:keepNext w:val="0"/>
                    <w:keepLines w:val="0"/>
                    <w:suppressLineNumbers w:val="0"/>
                    <w:spacing w:before="0" w:beforeAutospacing="0" w:after="0" w:afterAutospacing="0" w:line="360" w:lineRule="auto"/>
                    <w:ind w:left="0" w:right="0"/>
                    <w:jc w:val="left"/>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位置</w:t>
                  </w:r>
                </w:p>
              </w:tc>
              <w:tc>
                <w:tcPr>
                  <w:tcW w:w="3316" w:type="dxa"/>
                </w:tcPr>
                <w:p>
                  <w:pPr>
                    <w:keepNext w:val="0"/>
                    <w:keepLines w:val="0"/>
                    <w:suppressLineNumbers w:val="0"/>
                    <w:spacing w:before="0" w:beforeAutospacing="0" w:after="0" w:afterAutospacing="0" w:line="360" w:lineRule="auto"/>
                    <w:ind w:left="0" w:right="0"/>
                    <w:jc w:val="left"/>
                    <w:rPr>
                      <w:rFonts w:hint="eastAsia"/>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工程可能污染或破坏行为</w:t>
                  </w:r>
                </w:p>
              </w:tc>
              <w:tc>
                <w:tcPr>
                  <w:tcW w:w="2075" w:type="dxa"/>
                </w:tcPr>
                <w:p>
                  <w:pPr>
                    <w:keepNext w:val="0"/>
                    <w:keepLines w:val="0"/>
                    <w:suppressLineNumbers w:val="0"/>
                    <w:spacing w:before="0" w:beforeAutospacing="0" w:after="0" w:afterAutospacing="0" w:line="360" w:lineRule="auto"/>
                    <w:ind w:left="0" w:right="0"/>
                    <w:jc w:val="left"/>
                    <w:rPr>
                      <w:rFonts w:hint="eastAsia"/>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详细情况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dxa"/>
                </w:tcPr>
                <w:p>
                  <w:pPr>
                    <w:keepNext w:val="0"/>
                    <w:keepLines w:val="0"/>
                    <w:suppressLineNumbers w:val="0"/>
                    <w:spacing w:before="0" w:beforeAutospacing="0" w:after="0" w:afterAutospacing="0" w:line="360" w:lineRule="auto"/>
                    <w:ind w:left="0" w:right="0"/>
                    <w:jc w:val="left"/>
                    <w:rPr>
                      <w:rFonts w:hint="eastAsia"/>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水土保持</w:t>
                  </w:r>
                </w:p>
              </w:tc>
              <w:tc>
                <w:tcPr>
                  <w:tcW w:w="1752" w:type="dxa"/>
                  <w:vMerge w:val="restart"/>
                </w:tcPr>
                <w:p>
                  <w:pPr>
                    <w:keepNext w:val="0"/>
                    <w:keepLines w:val="0"/>
                    <w:suppressLineNumbers w:val="0"/>
                    <w:spacing w:before="0" w:beforeAutospacing="0" w:after="0" w:afterAutospacing="0" w:line="360" w:lineRule="auto"/>
                    <w:ind w:left="0" w:right="0"/>
                    <w:jc w:val="left"/>
                    <w:rPr>
                      <w:rFonts w:hint="eastAsia"/>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项目区及周边</w:t>
                  </w:r>
                </w:p>
              </w:tc>
              <w:tc>
                <w:tcPr>
                  <w:tcW w:w="3316" w:type="dxa"/>
                </w:tcPr>
                <w:p>
                  <w:pPr>
                    <w:keepNext w:val="0"/>
                    <w:keepLines w:val="0"/>
                    <w:suppressLineNumbers w:val="0"/>
                    <w:spacing w:before="0" w:beforeAutospacing="0" w:after="0" w:afterAutospacing="0" w:line="360" w:lineRule="auto"/>
                    <w:ind w:left="0" w:right="0"/>
                    <w:jc w:val="left"/>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项目区永久占地和临时占地</w:t>
                  </w:r>
                </w:p>
              </w:tc>
              <w:tc>
                <w:tcPr>
                  <w:tcW w:w="2075" w:type="dxa"/>
                </w:tcPr>
                <w:p>
                  <w:pPr>
                    <w:keepNext w:val="0"/>
                    <w:keepLines w:val="0"/>
                    <w:suppressLineNumbers w:val="0"/>
                    <w:spacing w:before="0" w:beforeAutospacing="0" w:after="0" w:afterAutospacing="0" w:line="360" w:lineRule="auto"/>
                    <w:ind w:left="0" w:right="0"/>
                    <w:jc w:val="left"/>
                    <w:rPr>
                      <w:rFonts w:hint="eastAsia"/>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重点为施工影响区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dxa"/>
                </w:tcPr>
                <w:p>
                  <w:pPr>
                    <w:keepNext w:val="0"/>
                    <w:keepLines w:val="0"/>
                    <w:suppressLineNumbers w:val="0"/>
                    <w:spacing w:before="0" w:beforeAutospacing="0" w:after="0" w:afterAutospacing="0" w:line="360" w:lineRule="auto"/>
                    <w:ind w:left="0" w:right="0"/>
                    <w:jc w:val="left"/>
                    <w:rPr>
                      <w:rFonts w:hint="eastAsia"/>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植被保护</w:t>
                  </w:r>
                </w:p>
              </w:tc>
              <w:tc>
                <w:tcPr>
                  <w:tcW w:w="1752" w:type="dxa"/>
                  <w:vMerge w:val="continue"/>
                </w:tcPr>
                <w:p>
                  <w:pPr>
                    <w:keepNext w:val="0"/>
                    <w:keepLines w:val="0"/>
                    <w:suppressLineNumbers w:val="0"/>
                    <w:spacing w:before="0" w:beforeAutospacing="0" w:after="0" w:afterAutospacing="0" w:line="360" w:lineRule="auto"/>
                    <w:ind w:left="0" w:right="0"/>
                    <w:jc w:val="left"/>
                    <w:rPr>
                      <w:rFonts w:hint="eastAsia"/>
                      <w:color w:val="000000" w:themeColor="text1"/>
                      <w:sz w:val="21"/>
                      <w:szCs w:val="21"/>
                      <w:highlight w:val="none"/>
                      <w:vertAlign w:val="baseline"/>
                      <w:lang w:val="en-US" w:eastAsia="zh-CN"/>
                      <w14:textFill>
                        <w14:solidFill>
                          <w14:schemeClr w14:val="tx1"/>
                        </w14:solidFill>
                      </w14:textFill>
                    </w:rPr>
                  </w:pPr>
                </w:p>
              </w:tc>
              <w:tc>
                <w:tcPr>
                  <w:tcW w:w="3316" w:type="dxa"/>
                </w:tcPr>
                <w:p>
                  <w:pPr>
                    <w:keepNext w:val="0"/>
                    <w:keepLines w:val="0"/>
                    <w:suppressLineNumbers w:val="0"/>
                    <w:spacing w:before="0" w:beforeAutospacing="0" w:after="0" w:afterAutospacing="0" w:line="360" w:lineRule="auto"/>
                    <w:ind w:left="0" w:right="0"/>
                    <w:jc w:val="left"/>
                    <w:rPr>
                      <w:rFonts w:hint="eastAsia"/>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项目区永久或临时占地、人为践踏</w:t>
                  </w:r>
                </w:p>
              </w:tc>
              <w:tc>
                <w:tcPr>
                  <w:tcW w:w="2075" w:type="dxa"/>
                </w:tcPr>
                <w:p>
                  <w:pPr>
                    <w:keepNext w:val="0"/>
                    <w:keepLines w:val="0"/>
                    <w:suppressLineNumbers w:val="0"/>
                    <w:spacing w:before="0" w:beforeAutospacing="0" w:after="0" w:afterAutospacing="0" w:line="360" w:lineRule="auto"/>
                    <w:ind w:left="0" w:right="0"/>
                    <w:jc w:val="left"/>
                    <w:rPr>
                      <w:rFonts w:hint="eastAsia"/>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重点为施工影响区</w:t>
                  </w:r>
                </w:p>
              </w:tc>
            </w:tr>
          </w:tbl>
          <w:p>
            <w:pPr>
              <w:keepNext w:val="0"/>
              <w:keepLines w:val="0"/>
              <w:suppressLineNumbers w:val="0"/>
              <w:spacing w:before="0" w:beforeAutospacing="0" w:after="0" w:afterAutospacing="0" w:line="360" w:lineRule="auto"/>
              <w:ind w:left="0" w:right="0" w:firstLine="482" w:firstLineChars="200"/>
              <w:jc w:val="left"/>
              <w:rPr>
                <w:rFonts w:hint="eastAsia"/>
                <w:b/>
                <w:bCs/>
                <w:color w:val="000000" w:themeColor="text1"/>
                <w:sz w:val="24"/>
                <w:szCs w:val="24"/>
                <w:highlight w:val="none"/>
                <w:lang w:val="en-US" w:eastAsia="zh-CN"/>
                <w14:textFill>
                  <w14:solidFill>
                    <w14:schemeClr w14:val="tx1"/>
                  </w14:solidFill>
                </w14:textFill>
              </w:rPr>
            </w:pPr>
            <w:r>
              <w:rPr>
                <w:rFonts w:hint="default"/>
                <w:b/>
                <w:bCs/>
                <w:color w:val="000000" w:themeColor="text1"/>
                <w:sz w:val="24"/>
                <w:szCs w:val="24"/>
                <w:highlight w:val="none"/>
                <w:lang w:val="en-US" w:eastAsia="zh-CN"/>
                <w14:textFill>
                  <w14:solidFill>
                    <w14:schemeClr w14:val="tx1"/>
                  </w14:solidFill>
                </w14:textFill>
              </w:rPr>
              <w:t>2</w:t>
            </w:r>
            <w:r>
              <w:rPr>
                <w:rFonts w:hint="eastAsia"/>
                <w:b/>
                <w:bCs/>
                <w:color w:val="000000" w:themeColor="text1"/>
                <w:sz w:val="24"/>
                <w:szCs w:val="24"/>
                <w:highlight w:val="none"/>
                <w:lang w:val="en-US" w:eastAsia="zh-CN"/>
                <w14:textFill>
                  <w14:solidFill>
                    <w14:schemeClr w14:val="tx1"/>
                  </w14:solidFill>
                </w14:textFill>
              </w:rPr>
              <w:t>、声环境保护目标</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表3-7  声环境保护目标一览表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autofit"/>
              <w:tblCellMar>
                <w:top w:w="0" w:type="dxa"/>
                <w:left w:w="108" w:type="dxa"/>
                <w:bottom w:w="0" w:type="dxa"/>
                <w:right w:w="108" w:type="dxa"/>
              </w:tblCellMar>
            </w:tblPr>
            <w:tblGrid>
              <w:gridCol w:w="1582"/>
              <w:gridCol w:w="872"/>
              <w:gridCol w:w="1109"/>
              <w:gridCol w:w="1134"/>
              <w:gridCol w:w="1051"/>
              <w:gridCol w:w="1607"/>
              <w:gridCol w:w="943"/>
            </w:tblGrid>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8" w:type="dxa"/>
                  <w:bottom w:w="0" w:type="dxa"/>
                  <w:right w:w="108" w:type="dxa"/>
                </w:tblCellMar>
              </w:tblPrEx>
              <w:trPr>
                <w:cantSplit/>
                <w:trHeight w:val="26" w:hRule="atLeast"/>
                <w:jc w:val="center"/>
              </w:trPr>
              <w:tc>
                <w:tcPr>
                  <w:tcW w:w="953" w:type="pct"/>
                  <w:tcBorders>
                    <w:right w:val="single" w:color="auto" w:sz="4" w:space="0"/>
                  </w:tcBorders>
                  <w:noWrap w:val="0"/>
                  <w:vAlign w:val="center"/>
                </w:tcPr>
                <w:p>
                  <w:pPr>
                    <w:pStyle w:val="43"/>
                    <w:keepNext w:val="0"/>
                    <w:keepLines w:val="0"/>
                    <w:suppressLineNumbers w:val="0"/>
                    <w:adjustRightInd/>
                    <w:spacing w:before="0" w:beforeAutospacing="0" w:after="0" w:afterAutospacing="0" w:line="240" w:lineRule="auto"/>
                    <w:ind w:left="0" w:right="0"/>
                    <w:jc w:val="center"/>
                    <w:rPr>
                      <w:rFonts w:hint="eastAsia" w:ascii="Times New Roman" w:hAnsi="Times New Roman" w:eastAsia="宋体"/>
                      <w:color w:val="000000" w:themeColor="text1"/>
                      <w:sz w:val="18"/>
                      <w:szCs w:val="18"/>
                      <w:highlight w:val="none"/>
                      <w:lang w:eastAsia="zh-CN"/>
                      <w14:textFill>
                        <w14:solidFill>
                          <w14:schemeClr w14:val="tx1"/>
                        </w14:solidFill>
                      </w14:textFill>
                    </w:rPr>
                  </w:pPr>
                  <w:r>
                    <w:rPr>
                      <w:rFonts w:hint="eastAsia" w:ascii="Times New Roman" w:hAnsi="Times New Roman"/>
                      <w:color w:val="000000" w:themeColor="text1"/>
                      <w:sz w:val="18"/>
                      <w:szCs w:val="18"/>
                      <w:highlight w:val="none"/>
                      <w:lang w:val="en-US" w:eastAsia="zh-CN"/>
                      <w14:textFill>
                        <w14:solidFill>
                          <w14:schemeClr w14:val="tx1"/>
                        </w14:solidFill>
                      </w14:textFill>
                    </w:rPr>
                    <w:t>敏感点</w:t>
                  </w:r>
                </w:p>
              </w:tc>
              <w:tc>
                <w:tcPr>
                  <w:tcW w:w="525" w:type="pct"/>
                  <w:tcBorders>
                    <w:left w:val="single" w:color="auto" w:sz="4" w:space="0"/>
                  </w:tcBorders>
                  <w:noWrap w:val="0"/>
                  <w:vAlign w:val="center"/>
                </w:tcPr>
                <w:p>
                  <w:pPr>
                    <w:pStyle w:val="43"/>
                    <w:keepNext w:val="0"/>
                    <w:keepLines w:val="0"/>
                    <w:suppressLineNumbers w:val="0"/>
                    <w:adjustRightInd/>
                    <w:spacing w:before="0" w:beforeAutospacing="0" w:after="0" w:afterAutospacing="0" w:line="240" w:lineRule="auto"/>
                    <w:ind w:left="0" w:right="0"/>
                    <w:jc w:val="center"/>
                    <w:rPr>
                      <w:rFonts w:ascii="Times New Roman" w:hAnsi="Times New Roman"/>
                      <w:color w:val="000000" w:themeColor="text1"/>
                      <w:sz w:val="18"/>
                      <w:szCs w:val="18"/>
                      <w:highlight w:val="none"/>
                      <w:lang w:eastAsia="zh-CN"/>
                      <w14:textFill>
                        <w14:solidFill>
                          <w14:schemeClr w14:val="tx1"/>
                        </w14:solidFill>
                      </w14:textFill>
                    </w:rPr>
                  </w:pPr>
                  <w:r>
                    <w:rPr>
                      <w:rFonts w:hint="eastAsia" w:ascii="Times New Roman" w:hAnsi="Times New Roman"/>
                      <w:color w:val="000000" w:themeColor="text1"/>
                      <w:sz w:val="18"/>
                      <w:szCs w:val="18"/>
                      <w:highlight w:val="none"/>
                      <w:lang w:eastAsia="zh-CN"/>
                      <w14:textFill>
                        <w14:solidFill>
                          <w14:schemeClr w14:val="tx1"/>
                        </w14:solidFill>
                      </w14:textFill>
                    </w:rPr>
                    <w:t>第一排建筑情况</w:t>
                  </w:r>
                </w:p>
              </w:tc>
              <w:tc>
                <w:tcPr>
                  <w:tcW w:w="668" w:type="pct"/>
                  <w:tcBorders>
                    <w:right w:val="single" w:color="auto" w:sz="4" w:space="0"/>
                  </w:tcBorders>
                  <w:noWrap w:val="0"/>
                  <w:vAlign w:val="center"/>
                </w:tcPr>
                <w:p>
                  <w:pPr>
                    <w:pStyle w:val="113"/>
                    <w:keepNext w:val="0"/>
                    <w:keepLines w:val="0"/>
                    <w:suppressLineNumbers w:val="0"/>
                    <w:adjustRightInd/>
                    <w:spacing w:before="0" w:beforeLines="0" w:beforeAutospacing="0" w:after="0" w:afterLines="0" w:afterAutospacing="0" w:line="240" w:lineRule="auto"/>
                    <w:ind w:left="0" w:right="0"/>
                    <w:jc w:val="center"/>
                    <w:rPr>
                      <w:rFonts w:ascii="Times New Roman" w:eastAsia="宋体"/>
                      <w:bCs/>
                      <w:color w:val="000000" w:themeColor="text1"/>
                      <w:sz w:val="18"/>
                      <w:szCs w:val="18"/>
                      <w:highlight w:val="none"/>
                      <w14:textFill>
                        <w14:solidFill>
                          <w14:schemeClr w14:val="tx1"/>
                        </w14:solidFill>
                      </w14:textFill>
                    </w:rPr>
                  </w:pPr>
                  <w:r>
                    <w:rPr>
                      <w:rFonts w:hint="eastAsia" w:ascii="Times New Roman" w:eastAsia="宋体"/>
                      <w:bCs/>
                      <w:color w:val="000000" w:themeColor="text1"/>
                      <w:sz w:val="18"/>
                      <w:szCs w:val="18"/>
                      <w:highlight w:val="none"/>
                      <w14:textFill>
                        <w14:solidFill>
                          <w14:schemeClr w14:val="tx1"/>
                        </w14:solidFill>
                      </w14:textFill>
                    </w:rPr>
                    <w:t>保护对象</w:t>
                  </w:r>
                </w:p>
              </w:tc>
              <w:tc>
                <w:tcPr>
                  <w:tcW w:w="683" w:type="pct"/>
                  <w:tcBorders>
                    <w:left w:val="single" w:color="auto" w:sz="4" w:space="0"/>
                  </w:tcBorders>
                  <w:noWrap w:val="0"/>
                  <w:vAlign w:val="center"/>
                </w:tcPr>
                <w:p>
                  <w:pPr>
                    <w:pStyle w:val="113"/>
                    <w:keepNext w:val="0"/>
                    <w:keepLines w:val="0"/>
                    <w:suppressLineNumbers w:val="0"/>
                    <w:spacing w:before="62" w:beforeAutospacing="0" w:after="62" w:afterAutospacing="0" w:line="240" w:lineRule="auto"/>
                    <w:ind w:left="0" w:right="0"/>
                    <w:jc w:val="center"/>
                    <w:rPr>
                      <w:rFonts w:ascii="Times New Roman" w:eastAsia="宋体"/>
                      <w:bCs/>
                      <w:color w:val="000000" w:themeColor="text1"/>
                      <w:sz w:val="18"/>
                      <w:szCs w:val="18"/>
                      <w:highlight w:val="none"/>
                      <w14:textFill>
                        <w14:solidFill>
                          <w14:schemeClr w14:val="tx1"/>
                        </w14:solidFill>
                      </w14:textFill>
                    </w:rPr>
                  </w:pPr>
                  <w:r>
                    <w:rPr>
                      <w:rFonts w:hint="eastAsia" w:ascii="Times New Roman" w:eastAsia="宋体"/>
                      <w:bCs/>
                      <w:color w:val="000000" w:themeColor="text1"/>
                      <w:sz w:val="18"/>
                      <w:szCs w:val="18"/>
                      <w:highlight w:val="none"/>
                      <w14:textFill>
                        <w14:solidFill>
                          <w14:schemeClr w14:val="tx1"/>
                        </w14:solidFill>
                      </w14:textFill>
                    </w:rPr>
                    <w:t>距离道路边界线</w:t>
                  </w:r>
                </w:p>
              </w:tc>
              <w:tc>
                <w:tcPr>
                  <w:tcW w:w="633" w:type="pct"/>
                  <w:noWrap w:val="0"/>
                  <w:vAlign w:val="center"/>
                </w:tcPr>
                <w:p>
                  <w:pPr>
                    <w:keepNext w:val="0"/>
                    <w:keepLines w:val="0"/>
                    <w:suppressLineNumbers w:val="0"/>
                    <w:spacing w:before="0" w:beforeAutospacing="0" w:after="0" w:afterAutospacing="0"/>
                    <w:ind w:left="0" w:right="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建设前声功能区</w:t>
                  </w:r>
                </w:p>
              </w:tc>
              <w:tc>
                <w:tcPr>
                  <w:tcW w:w="968" w:type="pct"/>
                  <w:noWrap w:val="0"/>
                  <w:vAlign w:val="center"/>
                </w:tcPr>
                <w:p>
                  <w:pPr>
                    <w:keepNext w:val="0"/>
                    <w:keepLines w:val="0"/>
                    <w:suppressLineNumbers w:val="0"/>
                    <w:spacing w:before="0" w:beforeAutospacing="0" w:after="0" w:afterAutospacing="0"/>
                    <w:ind w:left="0" w:right="0"/>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建设后声功能区</w:t>
                  </w:r>
                </w:p>
              </w:tc>
              <w:tc>
                <w:tcPr>
                  <w:tcW w:w="568" w:type="pct"/>
                  <w:noWrap w:val="0"/>
                  <w:vAlign w:val="center"/>
                </w:tcPr>
                <w:p>
                  <w:pPr>
                    <w:keepNext w:val="0"/>
                    <w:keepLines w:val="0"/>
                    <w:suppressLineNumbers w:val="0"/>
                    <w:spacing w:before="0" w:beforeAutospacing="0" w:after="0" w:afterAutospacing="0"/>
                    <w:ind w:left="0" w:right="0"/>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对应道路情况</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8" w:type="dxa"/>
                  <w:bottom w:w="0" w:type="dxa"/>
                  <w:right w:w="108" w:type="dxa"/>
                </w:tblCellMar>
              </w:tblPrEx>
              <w:trPr>
                <w:cantSplit/>
                <w:trHeight w:val="28" w:hRule="atLeast"/>
                <w:jc w:val="center"/>
              </w:trPr>
              <w:tc>
                <w:tcPr>
                  <w:tcW w:w="953" w:type="pct"/>
                  <w:tcBorders>
                    <w:right w:val="single" w:color="auto" w:sz="4" w:space="0"/>
                  </w:tcBorders>
                  <w:noWrap w:val="0"/>
                  <w:vAlign w:val="center"/>
                </w:tcPr>
                <w:p>
                  <w:pPr>
                    <w:pStyle w:val="43"/>
                    <w:keepNext w:val="0"/>
                    <w:keepLines w:val="0"/>
                    <w:suppressLineNumbers w:val="0"/>
                    <w:adjustRightInd/>
                    <w:spacing w:before="0" w:beforeAutospacing="0" w:after="0" w:afterAutospacing="0" w:line="240" w:lineRule="auto"/>
                    <w:ind w:left="0" w:right="0"/>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农户</w:t>
                  </w:r>
                </w:p>
              </w:tc>
              <w:tc>
                <w:tcPr>
                  <w:tcW w:w="525" w:type="pct"/>
                  <w:tcBorders>
                    <w:left w:val="single" w:color="auto" w:sz="4" w:space="0"/>
                  </w:tcBorders>
                  <w:noWrap w:val="0"/>
                  <w:vAlign w:val="center"/>
                </w:tcPr>
                <w:p>
                  <w:pPr>
                    <w:pStyle w:val="43"/>
                    <w:keepNext w:val="0"/>
                    <w:keepLines w:val="0"/>
                    <w:suppressLineNumbers w:val="0"/>
                    <w:adjustRightInd/>
                    <w:spacing w:before="0" w:beforeAutospacing="0" w:after="0" w:afterAutospacing="0" w:line="240" w:lineRule="auto"/>
                    <w:ind w:left="0" w:right="0"/>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1F</w:t>
                  </w:r>
                </w:p>
              </w:tc>
              <w:tc>
                <w:tcPr>
                  <w:tcW w:w="668" w:type="pct"/>
                  <w:tcBorders>
                    <w:right w:val="single" w:color="auto" w:sz="4" w:space="0"/>
                  </w:tcBorders>
                  <w:noWrap w:val="0"/>
                  <w:vAlign w:val="center"/>
                </w:tcPr>
                <w:p>
                  <w:pPr>
                    <w:pStyle w:val="43"/>
                    <w:keepNext w:val="0"/>
                    <w:keepLines w:val="0"/>
                    <w:suppressLineNumbers w:val="0"/>
                    <w:adjustRightInd/>
                    <w:spacing w:before="0" w:beforeAutospacing="0" w:after="0" w:afterAutospacing="0" w:line="240" w:lineRule="auto"/>
                    <w:ind w:left="0" w:right="0"/>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居民</w:t>
                  </w:r>
                </w:p>
              </w:tc>
              <w:tc>
                <w:tcPr>
                  <w:tcW w:w="683" w:type="pct"/>
                  <w:tcBorders>
                    <w:left w:val="single" w:color="auto" w:sz="4" w:space="0"/>
                  </w:tcBorders>
                  <w:noWrap w:val="0"/>
                  <w:vAlign w:val="center"/>
                </w:tcPr>
                <w:p>
                  <w:pPr>
                    <w:pStyle w:val="113"/>
                    <w:keepNext w:val="0"/>
                    <w:keepLines w:val="0"/>
                    <w:suppressLineNumbers w:val="0"/>
                    <w:adjustRightInd/>
                    <w:spacing w:before="0" w:beforeLines="0" w:beforeAutospacing="0" w:after="0" w:afterLines="0" w:afterAutospacing="0" w:line="240" w:lineRule="auto"/>
                    <w:ind w:left="0" w:right="0"/>
                    <w:jc w:val="center"/>
                    <w:rPr>
                      <w:rFonts w:hint="default" w:ascii="Times New Roman" w:eastAsia="宋体"/>
                      <w:bCs/>
                      <w:color w:val="000000" w:themeColor="text1"/>
                      <w:sz w:val="18"/>
                      <w:szCs w:val="18"/>
                      <w:highlight w:val="none"/>
                      <w:lang w:val="en-US" w:eastAsia="zh-CN"/>
                      <w14:textFill>
                        <w14:solidFill>
                          <w14:schemeClr w14:val="tx1"/>
                        </w14:solidFill>
                      </w14:textFill>
                    </w:rPr>
                  </w:pPr>
                  <w:r>
                    <w:rPr>
                      <w:rFonts w:hint="eastAsia" w:ascii="Times New Roman" w:eastAsia="宋体"/>
                      <w:bCs/>
                      <w:color w:val="000000" w:themeColor="text1"/>
                      <w:sz w:val="18"/>
                      <w:szCs w:val="18"/>
                      <w:highlight w:val="none"/>
                      <w:lang w:val="en-US" w:eastAsia="zh-CN"/>
                      <w14:textFill>
                        <w14:solidFill>
                          <w14:schemeClr w14:val="tx1"/>
                        </w14:solidFill>
                      </w14:textFill>
                    </w:rPr>
                    <w:t>K0+680右侧27m</w:t>
                  </w:r>
                </w:p>
              </w:tc>
              <w:tc>
                <w:tcPr>
                  <w:tcW w:w="633" w:type="pct"/>
                  <w:noWrap w:val="0"/>
                  <w:vAlign w:val="center"/>
                </w:tcPr>
                <w:p>
                  <w:pPr>
                    <w:pStyle w:val="43"/>
                    <w:keepNext w:val="0"/>
                    <w:keepLines w:val="0"/>
                    <w:suppressLineNumbers w:val="0"/>
                    <w:adjustRightInd/>
                    <w:spacing w:before="0" w:beforeAutospacing="0" w:after="0" w:afterAutospacing="0" w:line="240" w:lineRule="auto"/>
                    <w:ind w:left="0" w:right="0"/>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2类</w:t>
                  </w:r>
                </w:p>
              </w:tc>
              <w:tc>
                <w:tcPr>
                  <w:tcW w:w="968" w:type="pct"/>
                  <w:noWrap w:val="0"/>
                  <w:vAlign w:val="center"/>
                </w:tcPr>
                <w:p>
                  <w:pPr>
                    <w:pStyle w:val="43"/>
                    <w:keepNext w:val="0"/>
                    <w:keepLines w:val="0"/>
                    <w:suppressLineNumbers w:val="0"/>
                    <w:adjustRightInd/>
                    <w:spacing w:before="0" w:beforeAutospacing="0" w:after="0" w:afterAutospacing="0" w:line="240" w:lineRule="auto"/>
                    <w:ind w:left="0" w:right="0"/>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2类</w:t>
                  </w:r>
                </w:p>
              </w:tc>
              <w:tc>
                <w:tcPr>
                  <w:tcW w:w="568" w:type="pct"/>
                  <w:noWrap w:val="0"/>
                  <w:vAlign w:val="center"/>
                </w:tcPr>
                <w:p>
                  <w:pPr>
                    <w:pStyle w:val="43"/>
                    <w:keepNext w:val="0"/>
                    <w:keepLines w:val="0"/>
                    <w:suppressLineNumbers w:val="0"/>
                    <w:adjustRightInd/>
                    <w:spacing w:before="0" w:beforeAutospacing="0" w:after="0" w:afterAutospacing="0" w:line="240" w:lineRule="auto"/>
                    <w:ind w:left="0" w:right="0"/>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高架桥、平面道路</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8" w:type="dxa"/>
                  <w:bottom w:w="0" w:type="dxa"/>
                  <w:right w:w="108" w:type="dxa"/>
                </w:tblCellMar>
              </w:tblPrEx>
              <w:trPr>
                <w:cantSplit/>
                <w:trHeight w:val="28" w:hRule="atLeast"/>
                <w:jc w:val="center"/>
              </w:trPr>
              <w:tc>
                <w:tcPr>
                  <w:tcW w:w="953" w:type="pct"/>
                  <w:tcBorders>
                    <w:right w:val="single" w:color="auto" w:sz="4" w:space="0"/>
                  </w:tcBorders>
                  <w:noWrap w:val="0"/>
                  <w:vAlign w:val="center"/>
                </w:tcPr>
                <w:p>
                  <w:pPr>
                    <w:pStyle w:val="43"/>
                    <w:keepNext w:val="0"/>
                    <w:keepLines w:val="0"/>
                    <w:suppressLineNumbers w:val="0"/>
                    <w:adjustRightInd/>
                    <w:spacing w:before="0" w:beforeAutospacing="0" w:after="0" w:afterAutospacing="0" w:line="240" w:lineRule="auto"/>
                    <w:ind w:left="0" w:right="0"/>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九龙城小区</w:t>
                  </w:r>
                </w:p>
              </w:tc>
              <w:tc>
                <w:tcPr>
                  <w:tcW w:w="525" w:type="pct"/>
                  <w:tcBorders>
                    <w:left w:val="single" w:color="auto" w:sz="4" w:space="0"/>
                  </w:tcBorders>
                  <w:noWrap w:val="0"/>
                  <w:vAlign w:val="center"/>
                </w:tcPr>
                <w:p>
                  <w:pPr>
                    <w:pStyle w:val="43"/>
                    <w:keepNext w:val="0"/>
                    <w:keepLines w:val="0"/>
                    <w:suppressLineNumbers w:val="0"/>
                    <w:adjustRightInd/>
                    <w:spacing w:before="0" w:beforeAutospacing="0" w:after="0" w:afterAutospacing="0" w:line="240" w:lineRule="auto"/>
                    <w:ind w:left="0" w:right="0"/>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20+F</w:t>
                  </w:r>
                </w:p>
              </w:tc>
              <w:tc>
                <w:tcPr>
                  <w:tcW w:w="668" w:type="pct"/>
                  <w:tcBorders>
                    <w:right w:val="single" w:color="auto" w:sz="4" w:space="0"/>
                  </w:tcBorders>
                  <w:noWrap w:val="0"/>
                  <w:vAlign w:val="center"/>
                </w:tcPr>
                <w:p>
                  <w:pPr>
                    <w:pStyle w:val="43"/>
                    <w:keepNext w:val="0"/>
                    <w:keepLines w:val="0"/>
                    <w:suppressLineNumbers w:val="0"/>
                    <w:adjustRightInd/>
                    <w:spacing w:before="0" w:beforeAutospacing="0" w:after="0" w:afterAutospacing="0" w:line="240" w:lineRule="auto"/>
                    <w:ind w:left="0" w:right="0"/>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居民</w:t>
                  </w:r>
                </w:p>
              </w:tc>
              <w:tc>
                <w:tcPr>
                  <w:tcW w:w="683" w:type="pct"/>
                  <w:tcBorders>
                    <w:left w:val="single" w:color="auto" w:sz="4" w:space="0"/>
                  </w:tcBorders>
                  <w:noWrap w:val="0"/>
                  <w:vAlign w:val="center"/>
                </w:tcPr>
                <w:p>
                  <w:pPr>
                    <w:pStyle w:val="113"/>
                    <w:keepNext w:val="0"/>
                    <w:keepLines w:val="0"/>
                    <w:suppressLineNumbers w:val="0"/>
                    <w:adjustRightInd/>
                    <w:spacing w:before="0" w:beforeLines="0" w:beforeAutospacing="0" w:after="0" w:afterLines="0" w:afterAutospacing="0" w:line="240" w:lineRule="auto"/>
                    <w:ind w:left="0" w:right="0"/>
                    <w:jc w:val="center"/>
                    <w:rPr>
                      <w:rFonts w:hint="eastAsia" w:ascii="Times New Roman" w:eastAsia="宋体"/>
                      <w:bCs/>
                      <w:color w:val="000000" w:themeColor="text1"/>
                      <w:sz w:val="18"/>
                      <w:szCs w:val="18"/>
                      <w:highlight w:val="none"/>
                      <w:lang w:val="en-US" w:eastAsia="zh-CN"/>
                      <w14:textFill>
                        <w14:solidFill>
                          <w14:schemeClr w14:val="tx1"/>
                        </w14:solidFill>
                      </w14:textFill>
                    </w:rPr>
                  </w:pPr>
                  <w:r>
                    <w:rPr>
                      <w:rFonts w:hint="eastAsia" w:ascii="Times New Roman" w:eastAsia="宋体"/>
                      <w:bCs/>
                      <w:color w:val="000000" w:themeColor="text1"/>
                      <w:sz w:val="18"/>
                      <w:szCs w:val="18"/>
                      <w:highlight w:val="none"/>
                      <w:lang w:val="en-US" w:eastAsia="zh-CN"/>
                      <w14:textFill>
                        <w14:solidFill>
                          <w14:schemeClr w14:val="tx1"/>
                        </w14:solidFill>
                      </w14:textFill>
                    </w:rPr>
                    <w:t>K0+860左侧76m</w:t>
                  </w:r>
                </w:p>
              </w:tc>
              <w:tc>
                <w:tcPr>
                  <w:tcW w:w="633" w:type="pct"/>
                  <w:noWrap w:val="0"/>
                  <w:vAlign w:val="center"/>
                </w:tcPr>
                <w:p>
                  <w:pPr>
                    <w:pStyle w:val="43"/>
                    <w:keepNext w:val="0"/>
                    <w:keepLines w:val="0"/>
                    <w:suppressLineNumbers w:val="0"/>
                    <w:adjustRightInd/>
                    <w:spacing w:before="0" w:beforeAutospacing="0" w:after="0" w:afterAutospacing="0" w:line="240" w:lineRule="auto"/>
                    <w:ind w:left="0" w:right="0"/>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2类</w:t>
                  </w:r>
                </w:p>
              </w:tc>
              <w:tc>
                <w:tcPr>
                  <w:tcW w:w="968" w:type="pct"/>
                  <w:noWrap w:val="0"/>
                  <w:vAlign w:val="center"/>
                </w:tcPr>
                <w:p>
                  <w:pPr>
                    <w:pStyle w:val="43"/>
                    <w:keepNext w:val="0"/>
                    <w:keepLines w:val="0"/>
                    <w:suppressLineNumbers w:val="0"/>
                    <w:adjustRightInd/>
                    <w:spacing w:before="0" w:beforeAutospacing="0" w:after="0" w:afterAutospacing="0" w:line="240" w:lineRule="auto"/>
                    <w:ind w:left="0" w:right="0"/>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2类</w:t>
                  </w:r>
                </w:p>
              </w:tc>
              <w:tc>
                <w:tcPr>
                  <w:tcW w:w="568" w:type="pct"/>
                  <w:noWrap w:val="0"/>
                  <w:vAlign w:val="center"/>
                </w:tcPr>
                <w:p>
                  <w:pPr>
                    <w:pStyle w:val="43"/>
                    <w:keepNext w:val="0"/>
                    <w:keepLines w:val="0"/>
                    <w:suppressLineNumbers w:val="0"/>
                    <w:adjustRightInd/>
                    <w:spacing w:before="0" w:beforeAutospacing="0" w:after="0" w:afterAutospacing="0" w:line="240" w:lineRule="auto"/>
                    <w:ind w:left="0" w:right="0"/>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匝道，高架桥、平面道路</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8" w:type="dxa"/>
                  <w:bottom w:w="0" w:type="dxa"/>
                  <w:right w:w="108" w:type="dxa"/>
                </w:tblCellMar>
              </w:tblPrEx>
              <w:trPr>
                <w:cantSplit/>
                <w:trHeight w:val="28" w:hRule="atLeast"/>
                <w:jc w:val="center"/>
              </w:trPr>
              <w:tc>
                <w:tcPr>
                  <w:tcW w:w="953" w:type="pct"/>
                  <w:tcBorders>
                    <w:right w:val="single" w:color="auto" w:sz="4" w:space="0"/>
                  </w:tcBorders>
                  <w:noWrap w:val="0"/>
                  <w:vAlign w:val="center"/>
                </w:tcPr>
                <w:p>
                  <w:pPr>
                    <w:pStyle w:val="43"/>
                    <w:keepNext w:val="0"/>
                    <w:keepLines w:val="0"/>
                    <w:suppressLineNumbers w:val="0"/>
                    <w:adjustRightInd/>
                    <w:spacing w:before="0" w:beforeAutospacing="0" w:after="0" w:afterAutospacing="0" w:line="240" w:lineRule="auto"/>
                    <w:ind w:left="0" w:right="0"/>
                    <w:jc w:val="center"/>
                    <w:rPr>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农户</w:t>
                  </w:r>
                </w:p>
              </w:tc>
              <w:tc>
                <w:tcPr>
                  <w:tcW w:w="525" w:type="pct"/>
                  <w:tcBorders>
                    <w:left w:val="single" w:color="auto" w:sz="4" w:space="0"/>
                  </w:tcBorders>
                  <w:noWrap w:val="0"/>
                  <w:vAlign w:val="center"/>
                </w:tcPr>
                <w:p>
                  <w:pPr>
                    <w:pStyle w:val="43"/>
                    <w:keepNext w:val="0"/>
                    <w:keepLines w:val="0"/>
                    <w:suppressLineNumbers w:val="0"/>
                    <w:adjustRightInd/>
                    <w:spacing w:before="0" w:beforeAutospacing="0" w:after="0" w:afterAutospacing="0" w:line="240" w:lineRule="auto"/>
                    <w:ind w:left="0" w:right="0"/>
                    <w:jc w:val="center"/>
                    <w:rPr>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4F</w:t>
                  </w:r>
                </w:p>
              </w:tc>
              <w:tc>
                <w:tcPr>
                  <w:tcW w:w="668" w:type="pct"/>
                  <w:tcBorders>
                    <w:right w:val="single" w:color="auto" w:sz="4" w:space="0"/>
                  </w:tcBorders>
                  <w:noWrap w:val="0"/>
                  <w:vAlign w:val="center"/>
                </w:tcPr>
                <w:p>
                  <w:pPr>
                    <w:keepNext w:val="0"/>
                    <w:keepLines w:val="0"/>
                    <w:suppressLineNumbers w:val="0"/>
                    <w:adjustRightInd/>
                    <w:spacing w:before="0" w:beforeLines="0" w:beforeAutospacing="0" w:after="0" w:afterLines="0" w:afterAutospacing="0" w:line="240" w:lineRule="auto"/>
                    <w:ind w:left="0" w:right="0"/>
                    <w:jc w:val="center"/>
                    <w:rPr>
                      <w:rFonts w:ascii="Times New Roman" w:eastAsia="宋体"/>
                      <w:bCs/>
                      <w:color w:val="000000" w:themeColor="text1"/>
                      <w:sz w:val="18"/>
                      <w:szCs w:val="18"/>
                      <w:highlight w:val="none"/>
                      <w14:textFill>
                        <w14:solidFill>
                          <w14:schemeClr w14:val="tx1"/>
                        </w14:solidFill>
                      </w14:textFill>
                    </w:rPr>
                  </w:pPr>
                  <w:r>
                    <w:rPr>
                      <w:rFonts w:hint="eastAsia" w:ascii="Times New Roman" w:eastAsia="宋体"/>
                      <w:bCs/>
                      <w:color w:val="000000" w:themeColor="text1"/>
                      <w:sz w:val="18"/>
                      <w:szCs w:val="18"/>
                      <w:highlight w:val="none"/>
                      <w:lang w:eastAsia="zh-CN"/>
                      <w14:textFill>
                        <w14:solidFill>
                          <w14:schemeClr w14:val="tx1"/>
                        </w14:solidFill>
                      </w14:textFill>
                    </w:rPr>
                    <w:t>居民</w:t>
                  </w:r>
                </w:p>
              </w:tc>
              <w:tc>
                <w:tcPr>
                  <w:tcW w:w="683" w:type="pct"/>
                  <w:tcBorders>
                    <w:left w:val="single" w:color="auto" w:sz="4" w:space="0"/>
                  </w:tcBorders>
                  <w:noWrap w:val="0"/>
                  <w:vAlign w:val="center"/>
                </w:tcPr>
                <w:p>
                  <w:pPr>
                    <w:pStyle w:val="113"/>
                    <w:keepNext w:val="0"/>
                    <w:keepLines w:val="0"/>
                    <w:suppressLineNumbers w:val="0"/>
                    <w:adjustRightInd/>
                    <w:spacing w:before="0" w:beforeLines="0" w:beforeAutospacing="0" w:after="0" w:afterLines="0" w:afterAutospacing="0" w:line="240" w:lineRule="auto"/>
                    <w:ind w:left="0" w:right="0"/>
                    <w:jc w:val="center"/>
                    <w:rPr>
                      <w:rFonts w:hint="eastAsia" w:ascii="Times New Roman" w:eastAsia="宋体"/>
                      <w:bCs/>
                      <w:color w:val="000000" w:themeColor="text1"/>
                      <w:sz w:val="18"/>
                      <w:szCs w:val="18"/>
                      <w:highlight w:val="none"/>
                      <w:lang w:val="en-US" w:eastAsia="zh-CN"/>
                      <w14:textFill>
                        <w14:solidFill>
                          <w14:schemeClr w14:val="tx1"/>
                        </w14:solidFill>
                      </w14:textFill>
                    </w:rPr>
                  </w:pPr>
                  <w:r>
                    <w:rPr>
                      <w:rFonts w:hint="eastAsia" w:ascii="Times New Roman" w:eastAsia="宋体"/>
                      <w:b w:val="0"/>
                      <w:bCs/>
                      <w:color w:val="000000" w:themeColor="text1"/>
                      <w:sz w:val="18"/>
                      <w:szCs w:val="18"/>
                      <w:highlight w:val="none"/>
                      <w:lang w:val="en-US" w:eastAsia="zh-CN"/>
                      <w14:textFill>
                        <w14:solidFill>
                          <w14:schemeClr w14:val="tx1"/>
                        </w14:solidFill>
                      </w14:textFill>
                    </w:rPr>
                    <w:t>K1+200左侧32m</w:t>
                  </w:r>
                </w:p>
              </w:tc>
              <w:tc>
                <w:tcPr>
                  <w:tcW w:w="633" w:type="pct"/>
                  <w:noWrap w:val="0"/>
                  <w:vAlign w:val="center"/>
                </w:tcPr>
                <w:p>
                  <w:pPr>
                    <w:pStyle w:val="113"/>
                    <w:keepNext w:val="0"/>
                    <w:keepLines w:val="0"/>
                    <w:suppressLineNumbers w:val="0"/>
                    <w:adjustRightInd/>
                    <w:spacing w:before="0" w:beforeLines="0" w:beforeAutospacing="0" w:after="0" w:afterLines="0" w:afterAutospacing="0" w:line="240" w:lineRule="auto"/>
                    <w:ind w:left="0" w:right="0"/>
                    <w:jc w:val="center"/>
                    <w:rPr>
                      <w:rFonts w:hint="eastAsia" w:ascii="Times New Roman" w:eastAsia="宋体"/>
                      <w:bCs/>
                      <w:color w:val="000000" w:themeColor="text1"/>
                      <w:sz w:val="18"/>
                      <w:szCs w:val="18"/>
                      <w:highlight w:val="none"/>
                      <w:lang w:val="en-US" w:eastAsia="zh-CN"/>
                      <w14:textFill>
                        <w14:solidFill>
                          <w14:schemeClr w14:val="tx1"/>
                        </w14:solidFill>
                      </w14:textFill>
                    </w:rPr>
                  </w:pPr>
                  <w:r>
                    <w:rPr>
                      <w:rFonts w:hint="eastAsia" w:ascii="Times New Roman" w:eastAsia="宋体"/>
                      <w:bCs/>
                      <w:color w:val="000000" w:themeColor="text1"/>
                      <w:sz w:val="18"/>
                      <w:szCs w:val="18"/>
                      <w:highlight w:val="none"/>
                      <w:lang w:val="en-US" w:eastAsia="zh-CN"/>
                      <w14:textFill>
                        <w14:solidFill>
                          <w14:schemeClr w14:val="tx1"/>
                        </w14:solidFill>
                      </w14:textFill>
                    </w:rPr>
                    <w:t>2类</w:t>
                  </w:r>
                </w:p>
              </w:tc>
              <w:tc>
                <w:tcPr>
                  <w:tcW w:w="968" w:type="pct"/>
                  <w:noWrap w:val="0"/>
                  <w:vAlign w:val="center"/>
                </w:tcPr>
                <w:p>
                  <w:pPr>
                    <w:pStyle w:val="113"/>
                    <w:keepNext w:val="0"/>
                    <w:keepLines w:val="0"/>
                    <w:suppressLineNumbers w:val="0"/>
                    <w:adjustRightInd/>
                    <w:spacing w:before="0" w:beforeLines="0" w:beforeAutospacing="0" w:after="0" w:afterLines="0" w:afterAutospacing="0" w:line="240" w:lineRule="auto"/>
                    <w:ind w:left="0" w:right="0"/>
                    <w:jc w:val="center"/>
                    <w:rPr>
                      <w:rFonts w:hint="eastAsia" w:ascii="Times New Roman" w:eastAsia="宋体"/>
                      <w:bCs/>
                      <w:color w:val="000000" w:themeColor="text1"/>
                      <w:sz w:val="18"/>
                      <w:szCs w:val="18"/>
                      <w:highlight w:val="none"/>
                      <w:lang w:val="en-US" w:eastAsia="zh-CN"/>
                      <w14:textFill>
                        <w14:solidFill>
                          <w14:schemeClr w14:val="tx1"/>
                        </w14:solidFill>
                      </w14:textFill>
                    </w:rPr>
                  </w:pPr>
                  <w:r>
                    <w:rPr>
                      <w:rFonts w:hint="eastAsia" w:ascii="Times New Roman" w:eastAsia="宋体"/>
                      <w:bCs/>
                      <w:color w:val="000000" w:themeColor="text1"/>
                      <w:sz w:val="18"/>
                      <w:szCs w:val="18"/>
                      <w:highlight w:val="none"/>
                      <w:lang w:val="en-US" w:eastAsia="zh-CN"/>
                      <w14:textFill>
                        <w14:solidFill>
                          <w14:schemeClr w14:val="tx1"/>
                        </w14:solidFill>
                      </w14:textFill>
                    </w:rPr>
                    <w:t>4a类</w:t>
                  </w:r>
                </w:p>
              </w:tc>
              <w:tc>
                <w:tcPr>
                  <w:tcW w:w="568" w:type="pct"/>
                  <w:noWrap w:val="0"/>
                  <w:vAlign w:val="center"/>
                </w:tcPr>
                <w:p>
                  <w:pPr>
                    <w:pStyle w:val="113"/>
                    <w:keepNext w:val="0"/>
                    <w:keepLines w:val="0"/>
                    <w:suppressLineNumbers w:val="0"/>
                    <w:adjustRightInd/>
                    <w:spacing w:before="0" w:beforeLines="0" w:beforeAutospacing="0" w:after="0" w:afterLines="0" w:afterAutospacing="0" w:line="240" w:lineRule="auto"/>
                    <w:ind w:left="0" w:right="0"/>
                    <w:jc w:val="center"/>
                    <w:rPr>
                      <w:rFonts w:hint="default" w:ascii="Times New Roman" w:eastAsia="宋体"/>
                      <w:bCs/>
                      <w:color w:val="000000" w:themeColor="text1"/>
                      <w:sz w:val="18"/>
                      <w:szCs w:val="18"/>
                      <w:highlight w:val="none"/>
                      <w:lang w:val="en-US" w:eastAsia="zh-CN"/>
                      <w14:textFill>
                        <w14:solidFill>
                          <w14:schemeClr w14:val="tx1"/>
                        </w14:solidFill>
                      </w14:textFill>
                    </w:rPr>
                  </w:pPr>
                  <w:r>
                    <w:rPr>
                      <w:rFonts w:hint="eastAsia" w:ascii="Times New Roman" w:eastAsia="宋体"/>
                      <w:bCs/>
                      <w:color w:val="000000" w:themeColor="text1"/>
                      <w:sz w:val="18"/>
                      <w:szCs w:val="18"/>
                      <w:highlight w:val="none"/>
                      <w:lang w:val="en-US" w:eastAsia="zh-CN"/>
                      <w14:textFill>
                        <w14:solidFill>
                          <w14:schemeClr w14:val="tx1"/>
                        </w14:solidFill>
                      </w14:textFill>
                    </w:rPr>
                    <w:t>高架桥、平面道路</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8" w:type="dxa"/>
                  <w:bottom w:w="0" w:type="dxa"/>
                  <w:right w:w="108" w:type="dxa"/>
                </w:tblCellMar>
              </w:tblPrEx>
              <w:trPr>
                <w:cantSplit/>
                <w:trHeight w:val="28" w:hRule="atLeast"/>
                <w:jc w:val="center"/>
              </w:trPr>
              <w:tc>
                <w:tcPr>
                  <w:tcW w:w="953" w:type="pct"/>
                  <w:tcBorders>
                    <w:right w:val="single" w:color="auto" w:sz="4" w:space="0"/>
                  </w:tcBorders>
                  <w:noWrap w:val="0"/>
                  <w:vAlign w:val="center"/>
                </w:tcPr>
                <w:p>
                  <w:pPr>
                    <w:pStyle w:val="43"/>
                    <w:keepNext w:val="0"/>
                    <w:keepLines w:val="0"/>
                    <w:suppressLineNumbers w:val="0"/>
                    <w:adjustRightInd/>
                    <w:spacing w:before="0" w:beforeAutospacing="0" w:after="0" w:afterAutospacing="0" w:line="240" w:lineRule="auto"/>
                    <w:ind w:left="0" w:right="0"/>
                    <w:jc w:val="center"/>
                    <w:rPr>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农户</w:t>
                  </w:r>
                </w:p>
              </w:tc>
              <w:tc>
                <w:tcPr>
                  <w:tcW w:w="525" w:type="pct"/>
                  <w:tcBorders>
                    <w:left w:val="single" w:color="auto" w:sz="4" w:space="0"/>
                  </w:tcBorders>
                  <w:noWrap w:val="0"/>
                  <w:vAlign w:val="center"/>
                </w:tcPr>
                <w:p>
                  <w:pPr>
                    <w:pStyle w:val="43"/>
                    <w:keepNext w:val="0"/>
                    <w:keepLines w:val="0"/>
                    <w:suppressLineNumbers w:val="0"/>
                    <w:adjustRightInd/>
                    <w:spacing w:before="0" w:beforeAutospacing="0" w:after="0" w:afterAutospacing="0" w:line="240" w:lineRule="auto"/>
                    <w:ind w:left="0" w:right="0"/>
                    <w:jc w:val="center"/>
                    <w:rPr>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4-7F</w:t>
                  </w:r>
                </w:p>
              </w:tc>
              <w:tc>
                <w:tcPr>
                  <w:tcW w:w="668" w:type="pct"/>
                  <w:tcBorders>
                    <w:right w:val="single" w:color="auto" w:sz="4" w:space="0"/>
                  </w:tcBorders>
                  <w:noWrap w:val="0"/>
                  <w:vAlign w:val="center"/>
                </w:tcPr>
                <w:p>
                  <w:pPr>
                    <w:keepNext w:val="0"/>
                    <w:keepLines w:val="0"/>
                    <w:suppressLineNumbers w:val="0"/>
                    <w:adjustRightInd/>
                    <w:spacing w:before="0" w:beforeLines="0" w:beforeAutospacing="0" w:after="0" w:afterLines="0" w:afterAutospacing="0" w:line="240" w:lineRule="auto"/>
                    <w:ind w:left="0" w:right="0"/>
                    <w:jc w:val="center"/>
                    <w:rPr>
                      <w:rFonts w:ascii="Times New Roman" w:eastAsia="宋体"/>
                      <w:bCs/>
                      <w:color w:val="000000" w:themeColor="text1"/>
                      <w:sz w:val="18"/>
                      <w:szCs w:val="18"/>
                      <w:highlight w:val="none"/>
                      <w14:textFill>
                        <w14:solidFill>
                          <w14:schemeClr w14:val="tx1"/>
                        </w14:solidFill>
                      </w14:textFill>
                    </w:rPr>
                  </w:pPr>
                  <w:r>
                    <w:rPr>
                      <w:rFonts w:hint="eastAsia" w:ascii="Times New Roman" w:eastAsia="宋体"/>
                      <w:bCs/>
                      <w:color w:val="000000" w:themeColor="text1"/>
                      <w:sz w:val="18"/>
                      <w:szCs w:val="18"/>
                      <w:highlight w:val="none"/>
                      <w:lang w:eastAsia="zh-CN"/>
                      <w14:textFill>
                        <w14:solidFill>
                          <w14:schemeClr w14:val="tx1"/>
                        </w14:solidFill>
                      </w14:textFill>
                    </w:rPr>
                    <w:t>居民</w:t>
                  </w:r>
                </w:p>
              </w:tc>
              <w:tc>
                <w:tcPr>
                  <w:tcW w:w="683" w:type="pct"/>
                  <w:tcBorders>
                    <w:left w:val="single" w:color="auto" w:sz="4" w:space="0"/>
                  </w:tcBorders>
                  <w:noWrap w:val="0"/>
                  <w:vAlign w:val="center"/>
                </w:tcPr>
                <w:p>
                  <w:pPr>
                    <w:pStyle w:val="113"/>
                    <w:keepNext w:val="0"/>
                    <w:keepLines w:val="0"/>
                    <w:suppressLineNumbers w:val="0"/>
                    <w:adjustRightInd/>
                    <w:spacing w:before="0" w:beforeLines="0" w:beforeAutospacing="0" w:after="0" w:afterLines="0" w:afterAutospacing="0" w:line="240" w:lineRule="auto"/>
                    <w:ind w:left="0" w:right="0"/>
                    <w:jc w:val="center"/>
                    <w:rPr>
                      <w:rFonts w:hint="eastAsia" w:ascii="Times New Roman" w:eastAsia="宋体"/>
                      <w:bCs/>
                      <w:color w:val="000000" w:themeColor="text1"/>
                      <w:sz w:val="18"/>
                      <w:szCs w:val="18"/>
                      <w:highlight w:val="none"/>
                      <w:lang w:val="en-US" w:eastAsia="zh-CN"/>
                      <w14:textFill>
                        <w14:solidFill>
                          <w14:schemeClr w14:val="tx1"/>
                        </w14:solidFill>
                      </w14:textFill>
                    </w:rPr>
                  </w:pPr>
                  <w:r>
                    <w:rPr>
                      <w:rFonts w:hint="eastAsia" w:ascii="Times New Roman" w:eastAsia="宋体"/>
                      <w:bCs/>
                      <w:color w:val="000000" w:themeColor="text1"/>
                      <w:sz w:val="18"/>
                      <w:szCs w:val="18"/>
                      <w:highlight w:val="none"/>
                      <w:lang w:val="en-US" w:eastAsia="zh-CN"/>
                      <w14:textFill>
                        <w14:solidFill>
                          <w14:schemeClr w14:val="tx1"/>
                        </w14:solidFill>
                      </w14:textFill>
                    </w:rPr>
                    <w:t>K1+180右侧20m</w:t>
                  </w:r>
                </w:p>
              </w:tc>
              <w:tc>
                <w:tcPr>
                  <w:tcW w:w="633" w:type="pct"/>
                  <w:noWrap w:val="0"/>
                  <w:vAlign w:val="center"/>
                </w:tcPr>
                <w:p>
                  <w:pPr>
                    <w:pStyle w:val="113"/>
                    <w:keepNext w:val="0"/>
                    <w:keepLines w:val="0"/>
                    <w:suppressLineNumbers w:val="0"/>
                    <w:adjustRightInd/>
                    <w:spacing w:before="0" w:beforeLines="0" w:beforeAutospacing="0" w:after="0" w:afterLines="0" w:afterAutospacing="0" w:line="240" w:lineRule="auto"/>
                    <w:ind w:left="0" w:right="0"/>
                    <w:jc w:val="center"/>
                    <w:rPr>
                      <w:rFonts w:hint="eastAsia" w:ascii="Times New Roman" w:eastAsia="宋体"/>
                      <w:bCs/>
                      <w:color w:val="000000" w:themeColor="text1"/>
                      <w:sz w:val="18"/>
                      <w:szCs w:val="18"/>
                      <w:highlight w:val="none"/>
                      <w:lang w:val="en-US" w:eastAsia="zh-CN"/>
                      <w14:textFill>
                        <w14:solidFill>
                          <w14:schemeClr w14:val="tx1"/>
                        </w14:solidFill>
                      </w14:textFill>
                    </w:rPr>
                  </w:pPr>
                  <w:r>
                    <w:rPr>
                      <w:rFonts w:hint="eastAsia" w:ascii="Times New Roman" w:eastAsia="宋体"/>
                      <w:bCs/>
                      <w:color w:val="000000" w:themeColor="text1"/>
                      <w:sz w:val="18"/>
                      <w:szCs w:val="18"/>
                      <w:highlight w:val="none"/>
                      <w:lang w:val="en-US" w:eastAsia="zh-CN"/>
                      <w14:textFill>
                        <w14:solidFill>
                          <w14:schemeClr w14:val="tx1"/>
                        </w14:solidFill>
                      </w14:textFill>
                    </w:rPr>
                    <w:t>2类</w:t>
                  </w:r>
                </w:p>
              </w:tc>
              <w:tc>
                <w:tcPr>
                  <w:tcW w:w="968" w:type="pct"/>
                  <w:noWrap w:val="0"/>
                  <w:vAlign w:val="center"/>
                </w:tcPr>
                <w:p>
                  <w:pPr>
                    <w:pStyle w:val="113"/>
                    <w:keepNext w:val="0"/>
                    <w:keepLines w:val="0"/>
                    <w:suppressLineNumbers w:val="0"/>
                    <w:adjustRightInd/>
                    <w:spacing w:before="0" w:beforeLines="0" w:beforeAutospacing="0" w:after="0" w:afterLines="0" w:afterAutospacing="0" w:line="240" w:lineRule="auto"/>
                    <w:ind w:left="0" w:right="0"/>
                    <w:jc w:val="center"/>
                    <w:rPr>
                      <w:rFonts w:hint="eastAsia" w:ascii="Times New Roman" w:eastAsia="宋体"/>
                      <w:bCs/>
                      <w:color w:val="000000" w:themeColor="text1"/>
                      <w:sz w:val="18"/>
                      <w:szCs w:val="18"/>
                      <w:highlight w:val="none"/>
                      <w:lang w:val="en-US" w:eastAsia="zh-CN"/>
                      <w14:textFill>
                        <w14:solidFill>
                          <w14:schemeClr w14:val="tx1"/>
                        </w14:solidFill>
                      </w14:textFill>
                    </w:rPr>
                  </w:pPr>
                  <w:r>
                    <w:rPr>
                      <w:rFonts w:hint="eastAsia" w:ascii="Times New Roman" w:eastAsia="宋体"/>
                      <w:bCs/>
                      <w:color w:val="000000" w:themeColor="text1"/>
                      <w:sz w:val="18"/>
                      <w:szCs w:val="18"/>
                      <w:highlight w:val="none"/>
                      <w:lang w:val="en-US" w:eastAsia="zh-CN"/>
                      <w14:textFill>
                        <w14:solidFill>
                          <w14:schemeClr w14:val="tx1"/>
                        </w14:solidFill>
                      </w14:textFill>
                    </w:rPr>
                    <w:t>4a类</w:t>
                  </w:r>
                </w:p>
              </w:tc>
              <w:tc>
                <w:tcPr>
                  <w:tcW w:w="568" w:type="pct"/>
                  <w:noWrap w:val="0"/>
                  <w:vAlign w:val="center"/>
                </w:tcPr>
                <w:p>
                  <w:pPr>
                    <w:pStyle w:val="113"/>
                    <w:keepNext w:val="0"/>
                    <w:keepLines w:val="0"/>
                    <w:suppressLineNumbers w:val="0"/>
                    <w:adjustRightInd/>
                    <w:spacing w:before="0" w:beforeLines="0" w:beforeAutospacing="0" w:after="0" w:afterLines="0" w:afterAutospacing="0" w:line="240" w:lineRule="auto"/>
                    <w:ind w:left="0" w:right="0"/>
                    <w:jc w:val="center"/>
                    <w:rPr>
                      <w:rFonts w:hint="eastAsia" w:ascii="Times New Roman" w:eastAsia="宋体"/>
                      <w:bCs/>
                      <w:color w:val="000000" w:themeColor="text1"/>
                      <w:sz w:val="18"/>
                      <w:szCs w:val="18"/>
                      <w:highlight w:val="none"/>
                      <w:lang w:val="en-US" w:eastAsia="zh-CN"/>
                      <w14:textFill>
                        <w14:solidFill>
                          <w14:schemeClr w14:val="tx1"/>
                        </w14:solidFill>
                      </w14:textFill>
                    </w:rPr>
                  </w:pPr>
                  <w:r>
                    <w:rPr>
                      <w:rFonts w:hint="eastAsia" w:ascii="Times New Roman" w:eastAsia="宋体"/>
                      <w:bCs/>
                      <w:color w:val="000000" w:themeColor="text1"/>
                      <w:sz w:val="18"/>
                      <w:szCs w:val="18"/>
                      <w:highlight w:val="none"/>
                      <w:lang w:val="en-US" w:eastAsia="zh-CN"/>
                      <w14:textFill>
                        <w14:solidFill>
                          <w14:schemeClr w14:val="tx1"/>
                        </w14:solidFill>
                      </w14:textFill>
                    </w:rPr>
                    <w:t>高架桥、平面道路</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8" w:type="dxa"/>
                  <w:bottom w:w="0" w:type="dxa"/>
                  <w:right w:w="108" w:type="dxa"/>
                </w:tblCellMar>
              </w:tblPrEx>
              <w:trPr>
                <w:cantSplit/>
                <w:trHeight w:val="28" w:hRule="atLeast"/>
                <w:jc w:val="center"/>
              </w:trPr>
              <w:tc>
                <w:tcPr>
                  <w:tcW w:w="953" w:type="pct"/>
                  <w:tcBorders>
                    <w:right w:val="single" w:color="auto" w:sz="4" w:space="0"/>
                  </w:tcBorders>
                  <w:noWrap w:val="0"/>
                  <w:vAlign w:val="center"/>
                </w:tcPr>
                <w:p>
                  <w:pPr>
                    <w:pStyle w:val="43"/>
                    <w:keepNext w:val="0"/>
                    <w:keepLines w:val="0"/>
                    <w:suppressLineNumbers w:val="0"/>
                    <w:adjustRightInd/>
                    <w:spacing w:before="0" w:beforeAutospacing="0" w:after="0" w:afterAutospacing="0" w:line="240" w:lineRule="auto"/>
                    <w:ind w:left="0" w:right="0"/>
                    <w:jc w:val="center"/>
                    <w:rPr>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农户</w:t>
                  </w:r>
                </w:p>
              </w:tc>
              <w:tc>
                <w:tcPr>
                  <w:tcW w:w="525" w:type="pct"/>
                  <w:tcBorders>
                    <w:left w:val="single" w:color="auto" w:sz="4" w:space="0"/>
                  </w:tcBorders>
                  <w:noWrap w:val="0"/>
                  <w:vAlign w:val="center"/>
                </w:tcPr>
                <w:p>
                  <w:pPr>
                    <w:pStyle w:val="43"/>
                    <w:keepNext w:val="0"/>
                    <w:keepLines w:val="0"/>
                    <w:suppressLineNumbers w:val="0"/>
                    <w:adjustRightInd/>
                    <w:spacing w:before="0" w:beforeAutospacing="0" w:after="0" w:afterAutospacing="0" w:line="240" w:lineRule="auto"/>
                    <w:ind w:left="0" w:right="0"/>
                    <w:jc w:val="center"/>
                    <w:rPr>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2F</w:t>
                  </w:r>
                </w:p>
              </w:tc>
              <w:tc>
                <w:tcPr>
                  <w:tcW w:w="668" w:type="pct"/>
                  <w:tcBorders>
                    <w:right w:val="single" w:color="auto" w:sz="4" w:space="0"/>
                  </w:tcBorders>
                  <w:noWrap w:val="0"/>
                  <w:vAlign w:val="center"/>
                </w:tcPr>
                <w:p>
                  <w:pPr>
                    <w:keepNext w:val="0"/>
                    <w:keepLines w:val="0"/>
                    <w:suppressLineNumbers w:val="0"/>
                    <w:adjustRightInd/>
                    <w:spacing w:before="0" w:beforeLines="0" w:beforeAutospacing="0" w:after="0" w:afterLines="0" w:afterAutospacing="0" w:line="240" w:lineRule="auto"/>
                    <w:ind w:left="0" w:right="0"/>
                    <w:jc w:val="center"/>
                    <w:rPr>
                      <w:rFonts w:ascii="Times New Roman" w:eastAsia="宋体"/>
                      <w:bCs/>
                      <w:color w:val="000000" w:themeColor="text1"/>
                      <w:sz w:val="18"/>
                      <w:szCs w:val="18"/>
                      <w:highlight w:val="none"/>
                      <w14:textFill>
                        <w14:solidFill>
                          <w14:schemeClr w14:val="tx1"/>
                        </w14:solidFill>
                      </w14:textFill>
                    </w:rPr>
                  </w:pPr>
                  <w:r>
                    <w:rPr>
                      <w:rFonts w:hint="eastAsia" w:ascii="Times New Roman" w:eastAsia="宋体"/>
                      <w:bCs/>
                      <w:color w:val="000000" w:themeColor="text1"/>
                      <w:sz w:val="18"/>
                      <w:szCs w:val="18"/>
                      <w:highlight w:val="none"/>
                      <w:lang w:eastAsia="zh-CN"/>
                      <w14:textFill>
                        <w14:solidFill>
                          <w14:schemeClr w14:val="tx1"/>
                        </w14:solidFill>
                      </w14:textFill>
                    </w:rPr>
                    <w:t>居民</w:t>
                  </w:r>
                </w:p>
              </w:tc>
              <w:tc>
                <w:tcPr>
                  <w:tcW w:w="683" w:type="pct"/>
                  <w:tcBorders>
                    <w:left w:val="single" w:color="auto" w:sz="4" w:space="0"/>
                  </w:tcBorders>
                  <w:noWrap w:val="0"/>
                  <w:vAlign w:val="center"/>
                </w:tcPr>
                <w:p>
                  <w:pPr>
                    <w:pStyle w:val="113"/>
                    <w:keepNext w:val="0"/>
                    <w:keepLines w:val="0"/>
                    <w:suppressLineNumbers w:val="0"/>
                    <w:adjustRightInd/>
                    <w:spacing w:before="0" w:beforeLines="0" w:beforeAutospacing="0" w:after="0" w:afterLines="0" w:afterAutospacing="0" w:line="240" w:lineRule="auto"/>
                    <w:ind w:left="0" w:right="0"/>
                    <w:jc w:val="center"/>
                    <w:rPr>
                      <w:rFonts w:hint="eastAsia" w:ascii="Times New Roman" w:eastAsia="宋体"/>
                      <w:bCs/>
                      <w:color w:val="000000" w:themeColor="text1"/>
                      <w:sz w:val="18"/>
                      <w:szCs w:val="18"/>
                      <w:highlight w:val="none"/>
                      <w:lang w:val="en-US" w:eastAsia="zh-CN"/>
                      <w14:textFill>
                        <w14:solidFill>
                          <w14:schemeClr w14:val="tx1"/>
                        </w14:solidFill>
                      </w14:textFill>
                    </w:rPr>
                  </w:pPr>
                  <w:r>
                    <w:rPr>
                      <w:rFonts w:hint="eastAsia" w:ascii="Times New Roman" w:eastAsia="宋体"/>
                      <w:bCs/>
                      <w:color w:val="000000" w:themeColor="text1"/>
                      <w:sz w:val="18"/>
                      <w:szCs w:val="18"/>
                      <w:highlight w:val="none"/>
                      <w:lang w:val="en-US" w:eastAsia="zh-CN"/>
                      <w14:textFill>
                        <w14:solidFill>
                          <w14:schemeClr w14:val="tx1"/>
                        </w14:solidFill>
                      </w14:textFill>
                    </w:rPr>
                    <w:t>K1+770左侧46m</w:t>
                  </w:r>
                </w:p>
              </w:tc>
              <w:tc>
                <w:tcPr>
                  <w:tcW w:w="633" w:type="pct"/>
                  <w:noWrap w:val="0"/>
                  <w:vAlign w:val="center"/>
                </w:tcPr>
                <w:p>
                  <w:pPr>
                    <w:pStyle w:val="113"/>
                    <w:keepNext w:val="0"/>
                    <w:keepLines w:val="0"/>
                    <w:suppressLineNumbers w:val="0"/>
                    <w:adjustRightInd/>
                    <w:spacing w:before="0" w:beforeLines="0" w:beforeAutospacing="0" w:after="0" w:afterLines="0" w:afterAutospacing="0" w:line="240" w:lineRule="auto"/>
                    <w:ind w:left="0" w:right="0"/>
                    <w:jc w:val="center"/>
                    <w:rPr>
                      <w:rFonts w:hint="eastAsia" w:ascii="Times New Roman" w:eastAsia="宋体"/>
                      <w:bCs/>
                      <w:color w:val="000000" w:themeColor="text1"/>
                      <w:sz w:val="18"/>
                      <w:szCs w:val="18"/>
                      <w:highlight w:val="none"/>
                      <w:lang w:val="en-US" w:eastAsia="zh-CN"/>
                      <w14:textFill>
                        <w14:solidFill>
                          <w14:schemeClr w14:val="tx1"/>
                        </w14:solidFill>
                      </w14:textFill>
                    </w:rPr>
                  </w:pPr>
                  <w:r>
                    <w:rPr>
                      <w:rFonts w:hint="eastAsia" w:ascii="Times New Roman" w:eastAsia="宋体"/>
                      <w:bCs/>
                      <w:color w:val="000000" w:themeColor="text1"/>
                      <w:sz w:val="18"/>
                      <w:szCs w:val="18"/>
                      <w:highlight w:val="none"/>
                      <w:lang w:val="en-US" w:eastAsia="zh-CN"/>
                      <w14:textFill>
                        <w14:solidFill>
                          <w14:schemeClr w14:val="tx1"/>
                        </w14:solidFill>
                      </w14:textFill>
                    </w:rPr>
                    <w:t>2类</w:t>
                  </w:r>
                </w:p>
              </w:tc>
              <w:tc>
                <w:tcPr>
                  <w:tcW w:w="968" w:type="pct"/>
                  <w:noWrap w:val="0"/>
                  <w:vAlign w:val="center"/>
                </w:tcPr>
                <w:p>
                  <w:pPr>
                    <w:pStyle w:val="113"/>
                    <w:keepNext w:val="0"/>
                    <w:keepLines w:val="0"/>
                    <w:suppressLineNumbers w:val="0"/>
                    <w:adjustRightInd/>
                    <w:spacing w:before="0" w:beforeLines="0" w:beforeAutospacing="0" w:after="0" w:afterLines="0" w:afterAutospacing="0" w:line="240" w:lineRule="auto"/>
                    <w:ind w:left="0" w:right="0"/>
                    <w:jc w:val="center"/>
                    <w:rPr>
                      <w:rFonts w:hint="eastAsia" w:ascii="Times New Roman" w:eastAsia="宋体"/>
                      <w:bCs/>
                      <w:color w:val="000000" w:themeColor="text1"/>
                      <w:sz w:val="18"/>
                      <w:szCs w:val="18"/>
                      <w:highlight w:val="none"/>
                      <w:lang w:val="en-US" w:eastAsia="zh-CN"/>
                      <w14:textFill>
                        <w14:solidFill>
                          <w14:schemeClr w14:val="tx1"/>
                        </w14:solidFill>
                      </w14:textFill>
                    </w:rPr>
                  </w:pPr>
                  <w:r>
                    <w:rPr>
                      <w:rFonts w:hint="eastAsia" w:ascii="Times New Roman" w:eastAsia="宋体"/>
                      <w:bCs/>
                      <w:color w:val="000000" w:themeColor="text1"/>
                      <w:sz w:val="18"/>
                      <w:szCs w:val="18"/>
                      <w:highlight w:val="none"/>
                      <w:lang w:val="en-US" w:eastAsia="zh-CN"/>
                      <w14:textFill>
                        <w14:solidFill>
                          <w14:schemeClr w14:val="tx1"/>
                        </w14:solidFill>
                      </w14:textFill>
                    </w:rPr>
                    <w:t>2类</w:t>
                  </w:r>
                </w:p>
              </w:tc>
              <w:tc>
                <w:tcPr>
                  <w:tcW w:w="568" w:type="pct"/>
                  <w:noWrap w:val="0"/>
                  <w:vAlign w:val="center"/>
                </w:tcPr>
                <w:p>
                  <w:pPr>
                    <w:pStyle w:val="113"/>
                    <w:keepNext w:val="0"/>
                    <w:keepLines w:val="0"/>
                    <w:suppressLineNumbers w:val="0"/>
                    <w:adjustRightInd/>
                    <w:spacing w:before="0" w:beforeLines="0" w:beforeAutospacing="0" w:after="0" w:afterLines="0" w:afterAutospacing="0" w:line="240" w:lineRule="auto"/>
                    <w:ind w:left="0" w:right="0"/>
                    <w:jc w:val="center"/>
                    <w:rPr>
                      <w:rFonts w:hint="eastAsia" w:ascii="Times New Roman" w:eastAsia="宋体"/>
                      <w:bCs/>
                      <w:color w:val="000000" w:themeColor="text1"/>
                      <w:sz w:val="18"/>
                      <w:szCs w:val="18"/>
                      <w:highlight w:val="none"/>
                      <w:lang w:val="en-US" w:eastAsia="zh-CN"/>
                      <w14:textFill>
                        <w14:solidFill>
                          <w14:schemeClr w14:val="tx1"/>
                        </w14:solidFill>
                      </w14:textFill>
                    </w:rPr>
                  </w:pPr>
                  <w:r>
                    <w:rPr>
                      <w:rFonts w:hint="eastAsia" w:ascii="Times New Roman" w:eastAsia="宋体"/>
                      <w:bCs/>
                      <w:color w:val="000000" w:themeColor="text1"/>
                      <w:sz w:val="18"/>
                      <w:szCs w:val="18"/>
                      <w:highlight w:val="none"/>
                      <w:lang w:val="en-US" w:eastAsia="zh-CN"/>
                      <w14:textFill>
                        <w14:solidFill>
                          <w14:schemeClr w14:val="tx1"/>
                        </w14:solidFill>
                      </w14:textFill>
                    </w:rPr>
                    <w:t>高架桥</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8" w:type="dxa"/>
                  <w:bottom w:w="0" w:type="dxa"/>
                  <w:right w:w="108" w:type="dxa"/>
                </w:tblCellMar>
              </w:tblPrEx>
              <w:trPr>
                <w:cantSplit/>
                <w:trHeight w:val="28" w:hRule="atLeast"/>
                <w:jc w:val="center"/>
              </w:trPr>
              <w:tc>
                <w:tcPr>
                  <w:tcW w:w="953" w:type="pct"/>
                  <w:tcBorders>
                    <w:right w:val="single" w:color="auto" w:sz="4" w:space="0"/>
                  </w:tcBorders>
                  <w:noWrap w:val="0"/>
                  <w:vAlign w:val="center"/>
                </w:tcPr>
                <w:p>
                  <w:pPr>
                    <w:pStyle w:val="43"/>
                    <w:keepNext w:val="0"/>
                    <w:keepLines w:val="0"/>
                    <w:suppressLineNumbers w:val="0"/>
                    <w:adjustRightInd/>
                    <w:spacing w:before="0" w:beforeAutospacing="0" w:after="0" w:afterAutospacing="0" w:line="240" w:lineRule="auto"/>
                    <w:ind w:left="0" w:right="0"/>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农户</w:t>
                  </w:r>
                </w:p>
              </w:tc>
              <w:tc>
                <w:tcPr>
                  <w:tcW w:w="525" w:type="pct"/>
                  <w:tcBorders>
                    <w:left w:val="single" w:color="auto" w:sz="4" w:space="0"/>
                  </w:tcBorders>
                  <w:noWrap w:val="0"/>
                  <w:vAlign w:val="center"/>
                </w:tcPr>
                <w:p>
                  <w:pPr>
                    <w:pStyle w:val="43"/>
                    <w:keepNext w:val="0"/>
                    <w:keepLines w:val="0"/>
                    <w:suppressLineNumbers w:val="0"/>
                    <w:adjustRightInd/>
                    <w:spacing w:before="0" w:beforeAutospacing="0" w:after="0" w:afterAutospacing="0" w:line="240" w:lineRule="auto"/>
                    <w:ind w:left="0" w:right="0"/>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2F</w:t>
                  </w:r>
                </w:p>
              </w:tc>
              <w:tc>
                <w:tcPr>
                  <w:tcW w:w="668" w:type="pct"/>
                  <w:tcBorders>
                    <w:right w:val="single" w:color="auto" w:sz="4" w:space="0"/>
                  </w:tcBorders>
                  <w:noWrap w:val="0"/>
                  <w:vAlign w:val="center"/>
                </w:tcPr>
                <w:p>
                  <w:pPr>
                    <w:keepNext w:val="0"/>
                    <w:keepLines w:val="0"/>
                    <w:suppressLineNumbers w:val="0"/>
                    <w:adjustRightInd/>
                    <w:spacing w:before="0" w:beforeLines="0" w:beforeAutospacing="0" w:after="0" w:afterLines="0" w:afterAutospacing="0" w:line="240" w:lineRule="auto"/>
                    <w:ind w:left="0" w:right="0"/>
                    <w:jc w:val="center"/>
                    <w:rPr>
                      <w:rFonts w:hint="eastAsia" w:ascii="Times New Roman" w:eastAsia="宋体"/>
                      <w:color w:val="000000" w:themeColor="text1"/>
                      <w:sz w:val="18"/>
                      <w:szCs w:val="18"/>
                      <w:highlight w:val="none"/>
                      <w:lang w:val="en-US" w:eastAsia="zh-CN"/>
                      <w14:textFill>
                        <w14:solidFill>
                          <w14:schemeClr w14:val="tx1"/>
                        </w14:solidFill>
                      </w14:textFill>
                    </w:rPr>
                  </w:pPr>
                  <w:r>
                    <w:rPr>
                      <w:rFonts w:hint="eastAsia" w:ascii="Times New Roman" w:eastAsia="宋体"/>
                      <w:bCs/>
                      <w:color w:val="000000" w:themeColor="text1"/>
                      <w:sz w:val="18"/>
                      <w:szCs w:val="18"/>
                      <w:highlight w:val="none"/>
                      <w:lang w:eastAsia="zh-CN"/>
                      <w14:textFill>
                        <w14:solidFill>
                          <w14:schemeClr w14:val="tx1"/>
                        </w14:solidFill>
                      </w14:textFill>
                    </w:rPr>
                    <w:t>居民</w:t>
                  </w:r>
                </w:p>
              </w:tc>
              <w:tc>
                <w:tcPr>
                  <w:tcW w:w="683" w:type="pct"/>
                  <w:tcBorders>
                    <w:left w:val="single" w:color="auto" w:sz="4" w:space="0"/>
                  </w:tcBorders>
                  <w:noWrap w:val="0"/>
                  <w:vAlign w:val="center"/>
                </w:tcPr>
                <w:p>
                  <w:pPr>
                    <w:pStyle w:val="113"/>
                    <w:keepNext w:val="0"/>
                    <w:keepLines w:val="0"/>
                    <w:suppressLineNumbers w:val="0"/>
                    <w:adjustRightInd/>
                    <w:spacing w:before="0" w:beforeLines="0" w:beforeAutospacing="0" w:after="0" w:afterLines="0" w:afterAutospacing="0" w:line="240" w:lineRule="auto"/>
                    <w:ind w:left="0" w:right="0"/>
                    <w:jc w:val="center"/>
                    <w:rPr>
                      <w:rFonts w:hint="eastAsia" w:ascii="Times New Roman" w:eastAsia="宋体"/>
                      <w:bCs/>
                      <w:color w:val="000000" w:themeColor="text1"/>
                      <w:sz w:val="18"/>
                      <w:szCs w:val="18"/>
                      <w:highlight w:val="none"/>
                      <w:lang w:val="en-US" w:eastAsia="zh-CN"/>
                      <w14:textFill>
                        <w14:solidFill>
                          <w14:schemeClr w14:val="tx1"/>
                        </w14:solidFill>
                      </w14:textFill>
                    </w:rPr>
                  </w:pPr>
                </w:p>
                <w:p>
                  <w:pPr>
                    <w:pStyle w:val="113"/>
                    <w:keepNext w:val="0"/>
                    <w:keepLines w:val="0"/>
                    <w:suppressLineNumbers w:val="0"/>
                    <w:adjustRightInd/>
                    <w:spacing w:before="0" w:beforeLines="0" w:beforeAutospacing="0" w:after="0" w:afterLines="0" w:afterAutospacing="0" w:line="240" w:lineRule="auto"/>
                    <w:ind w:left="0" w:right="0"/>
                    <w:jc w:val="center"/>
                    <w:rPr>
                      <w:rFonts w:hint="eastAsia" w:ascii="Times New Roman" w:eastAsia="宋体"/>
                      <w:bCs/>
                      <w:color w:val="000000" w:themeColor="text1"/>
                      <w:sz w:val="18"/>
                      <w:szCs w:val="18"/>
                      <w:highlight w:val="none"/>
                      <w:lang w:val="en-US" w:eastAsia="zh-CN"/>
                      <w14:textFill>
                        <w14:solidFill>
                          <w14:schemeClr w14:val="tx1"/>
                        </w14:solidFill>
                      </w14:textFill>
                    </w:rPr>
                  </w:pPr>
                  <w:r>
                    <w:rPr>
                      <w:rFonts w:hint="eastAsia" w:ascii="Times New Roman" w:eastAsia="宋体"/>
                      <w:bCs/>
                      <w:color w:val="000000" w:themeColor="text1"/>
                      <w:sz w:val="18"/>
                      <w:szCs w:val="18"/>
                      <w:highlight w:val="none"/>
                      <w:lang w:val="en-US" w:eastAsia="zh-CN"/>
                      <w14:textFill>
                        <w14:solidFill>
                          <w14:schemeClr w14:val="tx1"/>
                        </w14:solidFill>
                      </w14:textFill>
                    </w:rPr>
                    <w:t>K1+840右侧47m</w:t>
                  </w:r>
                </w:p>
              </w:tc>
              <w:tc>
                <w:tcPr>
                  <w:tcW w:w="633" w:type="pct"/>
                  <w:noWrap w:val="0"/>
                  <w:vAlign w:val="center"/>
                </w:tcPr>
                <w:p>
                  <w:pPr>
                    <w:pStyle w:val="113"/>
                    <w:keepNext w:val="0"/>
                    <w:keepLines w:val="0"/>
                    <w:suppressLineNumbers w:val="0"/>
                    <w:adjustRightInd/>
                    <w:spacing w:before="0" w:beforeLines="0" w:beforeAutospacing="0" w:after="0" w:afterLines="0" w:afterAutospacing="0" w:line="240" w:lineRule="auto"/>
                    <w:ind w:left="0" w:right="0"/>
                    <w:jc w:val="center"/>
                    <w:rPr>
                      <w:rFonts w:hint="eastAsia" w:ascii="Times New Roman" w:eastAsia="宋体"/>
                      <w:bCs/>
                      <w:color w:val="000000" w:themeColor="text1"/>
                      <w:sz w:val="18"/>
                      <w:szCs w:val="18"/>
                      <w:highlight w:val="none"/>
                      <w:lang w:val="en-US" w:eastAsia="zh-CN"/>
                      <w14:textFill>
                        <w14:solidFill>
                          <w14:schemeClr w14:val="tx1"/>
                        </w14:solidFill>
                      </w14:textFill>
                    </w:rPr>
                  </w:pPr>
                  <w:r>
                    <w:rPr>
                      <w:rFonts w:hint="eastAsia" w:ascii="Times New Roman" w:eastAsia="宋体"/>
                      <w:bCs/>
                      <w:color w:val="000000" w:themeColor="text1"/>
                      <w:sz w:val="18"/>
                      <w:szCs w:val="18"/>
                      <w:highlight w:val="none"/>
                      <w:lang w:val="en-US" w:eastAsia="zh-CN"/>
                      <w14:textFill>
                        <w14:solidFill>
                          <w14:schemeClr w14:val="tx1"/>
                        </w14:solidFill>
                      </w14:textFill>
                    </w:rPr>
                    <w:t>2类</w:t>
                  </w:r>
                </w:p>
              </w:tc>
              <w:tc>
                <w:tcPr>
                  <w:tcW w:w="968" w:type="pct"/>
                  <w:noWrap w:val="0"/>
                  <w:vAlign w:val="center"/>
                </w:tcPr>
                <w:p>
                  <w:pPr>
                    <w:pStyle w:val="113"/>
                    <w:keepNext w:val="0"/>
                    <w:keepLines w:val="0"/>
                    <w:suppressLineNumbers w:val="0"/>
                    <w:adjustRightInd/>
                    <w:spacing w:before="0" w:beforeLines="0" w:beforeAutospacing="0" w:after="0" w:afterLines="0" w:afterAutospacing="0" w:line="240" w:lineRule="auto"/>
                    <w:ind w:left="0" w:right="0"/>
                    <w:jc w:val="center"/>
                    <w:rPr>
                      <w:rFonts w:hint="eastAsia" w:ascii="Times New Roman" w:eastAsia="宋体"/>
                      <w:bCs/>
                      <w:color w:val="000000" w:themeColor="text1"/>
                      <w:sz w:val="18"/>
                      <w:szCs w:val="18"/>
                      <w:highlight w:val="none"/>
                      <w:lang w:val="en-US" w:eastAsia="zh-CN"/>
                      <w14:textFill>
                        <w14:solidFill>
                          <w14:schemeClr w14:val="tx1"/>
                        </w14:solidFill>
                      </w14:textFill>
                    </w:rPr>
                  </w:pPr>
                  <w:r>
                    <w:rPr>
                      <w:rFonts w:hint="eastAsia" w:ascii="Times New Roman" w:eastAsia="宋体"/>
                      <w:bCs/>
                      <w:color w:val="000000" w:themeColor="text1"/>
                      <w:sz w:val="18"/>
                      <w:szCs w:val="18"/>
                      <w:highlight w:val="none"/>
                      <w:lang w:val="en-US" w:eastAsia="zh-CN"/>
                      <w14:textFill>
                        <w14:solidFill>
                          <w14:schemeClr w14:val="tx1"/>
                        </w14:solidFill>
                      </w14:textFill>
                    </w:rPr>
                    <w:t>2类</w:t>
                  </w:r>
                </w:p>
              </w:tc>
              <w:tc>
                <w:tcPr>
                  <w:tcW w:w="568" w:type="pct"/>
                  <w:noWrap w:val="0"/>
                  <w:vAlign w:val="center"/>
                </w:tcPr>
                <w:p>
                  <w:pPr>
                    <w:pStyle w:val="113"/>
                    <w:keepNext w:val="0"/>
                    <w:keepLines w:val="0"/>
                    <w:suppressLineNumbers w:val="0"/>
                    <w:adjustRightInd/>
                    <w:spacing w:before="0" w:beforeLines="0" w:beforeAutospacing="0" w:after="0" w:afterLines="0" w:afterAutospacing="0" w:line="240" w:lineRule="auto"/>
                    <w:ind w:left="0" w:right="0"/>
                    <w:jc w:val="center"/>
                    <w:rPr>
                      <w:rFonts w:hint="eastAsia" w:ascii="Times New Roman" w:eastAsia="宋体"/>
                      <w:bCs/>
                      <w:color w:val="000000" w:themeColor="text1"/>
                      <w:sz w:val="18"/>
                      <w:szCs w:val="18"/>
                      <w:highlight w:val="none"/>
                      <w:lang w:val="en-US" w:eastAsia="zh-CN"/>
                      <w14:textFill>
                        <w14:solidFill>
                          <w14:schemeClr w14:val="tx1"/>
                        </w14:solidFill>
                      </w14:textFill>
                    </w:rPr>
                  </w:pPr>
                  <w:r>
                    <w:rPr>
                      <w:rFonts w:hint="eastAsia" w:ascii="Times New Roman" w:eastAsia="宋体"/>
                      <w:bCs/>
                      <w:color w:val="000000" w:themeColor="text1"/>
                      <w:sz w:val="18"/>
                      <w:szCs w:val="18"/>
                      <w:highlight w:val="none"/>
                      <w:lang w:val="en-US" w:eastAsia="zh-CN"/>
                      <w14:textFill>
                        <w14:solidFill>
                          <w14:schemeClr w14:val="tx1"/>
                        </w14:solidFill>
                      </w14:textFill>
                    </w:rPr>
                    <w:t>高架桥</w:t>
                  </w:r>
                </w:p>
              </w:tc>
            </w:tr>
          </w:tbl>
          <w:p>
            <w:pPr>
              <w:pStyle w:val="32"/>
              <w:keepNext w:val="0"/>
              <w:keepLines w:val="0"/>
              <w:suppressLineNumbers w:val="0"/>
              <w:spacing w:before="0" w:beforeAutospacing="0" w:after="0" w:afterAutospacing="0"/>
              <w:ind w:left="0" w:right="0"/>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p>
          <w:p>
            <w:pPr>
              <w:keepNext w:val="0"/>
              <w:keepLines w:val="0"/>
              <w:suppressLineNumbers w:val="0"/>
              <w:spacing w:before="0" w:beforeAutospacing="0" w:after="0" w:afterAutospacing="0" w:line="360" w:lineRule="auto"/>
              <w:ind w:left="0" w:right="0" w:firstLine="482" w:firstLineChars="200"/>
              <w:jc w:val="left"/>
              <w:rPr>
                <w:rFonts w:hint="default"/>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3、大气环境保护目标</w:t>
            </w:r>
          </w:p>
          <w:p>
            <w:pPr>
              <w:pStyle w:val="19"/>
              <w:keepNext w:val="0"/>
              <w:keepLines w:val="0"/>
              <w:widowControl w:val="0"/>
              <w:suppressLineNumbers w:val="0"/>
              <w:spacing w:before="0" w:beforeAutospacing="0" w:after="0" w:afterAutospacing="0" w:line="480" w:lineRule="exact"/>
              <w:ind w:left="0" w:leftChars="0" w:right="0" w:firstLine="480" w:firstLineChars="200"/>
              <w:jc w:val="both"/>
              <w:rPr>
                <w:rFonts w:hint="eastAsia"/>
                <w:color w:val="000000" w:themeColor="text1"/>
                <w:kern w:val="0"/>
                <w:sz w:val="24"/>
                <w:highlight w:val="none"/>
                <w14:textFill>
                  <w14:solidFill>
                    <w14:schemeClr w14:val="tx1"/>
                  </w14:solidFill>
                </w14:textFill>
              </w:rPr>
            </w:pP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与声环境保护目标一致，执行《环境空气质量标准》（GB3095-2012）二类区标准。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738" w:type="dxa"/>
            <w:vAlign w:val="center"/>
          </w:tcPr>
          <w:p>
            <w:pPr>
              <w:keepNext w:val="0"/>
              <w:keepLines w:val="0"/>
              <w:suppressLineNumbers w:val="0"/>
              <w:adjustRightInd w:val="0"/>
              <w:snapToGrid w:val="0"/>
              <w:spacing w:before="0" w:beforeAutospacing="0" w:after="0" w:afterAutospacing="0"/>
              <w:ind w:left="0" w:right="0"/>
              <w:jc w:val="center"/>
              <w:rPr>
                <w:color w:val="000000" w:themeColor="text1"/>
                <w:kern w:val="0"/>
                <w:sz w:val="24"/>
                <w:highlight w:val="none"/>
                <w14:textFill>
                  <w14:solidFill>
                    <w14:schemeClr w14:val="tx1"/>
                  </w14:solidFill>
                </w14:textFill>
              </w:rPr>
            </w:pPr>
            <w:r>
              <w:rPr>
                <w:rFonts w:hint="eastAsia" w:ascii="Times New Roman" w:hAnsi="Times New Roman"/>
                <w:color w:val="000000" w:themeColor="text1"/>
                <w:sz w:val="24"/>
                <w:szCs w:val="24"/>
                <w:highlight w:val="none"/>
                <w14:textFill>
                  <w14:solidFill>
                    <w14:schemeClr w14:val="tx1"/>
                  </w14:solidFill>
                </w14:textFill>
              </w:rPr>
              <w:t>评价标准</w:t>
            </w:r>
          </w:p>
        </w:tc>
        <w:tc>
          <w:tcPr>
            <w:tcW w:w="8527" w:type="dxa"/>
            <w:vAlign w:val="center"/>
          </w:tcPr>
          <w:p>
            <w:pPr>
              <w:pStyle w:val="19"/>
              <w:keepNext w:val="0"/>
              <w:keepLines w:val="0"/>
              <w:widowControl w:val="0"/>
              <w:suppressLineNumbers w:val="0"/>
              <w:spacing w:before="0" w:beforeAutospacing="0" w:after="0" w:afterAutospacing="0" w:line="480" w:lineRule="exact"/>
              <w:ind w:left="0" w:right="0"/>
              <w:jc w:val="both"/>
              <w:rPr>
                <w:rFonts w:hint="default"/>
                <w:b/>
                <w:bCs/>
                <w:color w:val="000000" w:themeColor="text1"/>
                <w:szCs w:val="24"/>
                <w:highlight w:val="none"/>
                <w:lang w:val="en-US" w:eastAsia="zh-CN"/>
                <w14:textFill>
                  <w14:solidFill>
                    <w14:schemeClr w14:val="tx1"/>
                  </w14:solidFill>
                </w14:textFill>
              </w:rPr>
            </w:pPr>
            <w:r>
              <w:rPr>
                <w:rFonts w:hint="eastAsia" w:ascii="Times New Roman" w:hAnsi="Times New Roman" w:cs="Times New Roman"/>
                <w:b/>
                <w:bCs/>
                <w:color w:val="000000" w:themeColor="text1"/>
                <w:kern w:val="0"/>
                <w:sz w:val="24"/>
                <w:szCs w:val="24"/>
                <w:highlight w:val="none"/>
                <w:lang w:val="en-US" w:eastAsia="zh-CN" w:bidi="ar"/>
                <w14:textFill>
                  <w14:solidFill>
                    <w14:schemeClr w14:val="tx1"/>
                  </w14:solidFill>
                </w14:textFill>
              </w:rPr>
              <w:t>（一）环境质量标准</w:t>
            </w:r>
          </w:p>
          <w:p>
            <w:pPr>
              <w:pStyle w:val="19"/>
              <w:keepNext w:val="0"/>
              <w:keepLines w:val="0"/>
              <w:widowControl w:val="0"/>
              <w:suppressLineNumbers w:val="0"/>
              <w:spacing w:before="0" w:beforeAutospacing="0" w:after="0" w:afterAutospacing="0" w:line="480" w:lineRule="exact"/>
              <w:ind w:left="0" w:leftChars="0" w:right="0" w:firstLine="482" w:firstLineChars="200"/>
              <w:jc w:val="both"/>
              <w:rPr>
                <w:rFonts w:hint="default" w:ascii="Times New Roman" w:hAnsi="Times New Roman" w:cs="宋体"/>
                <w:b/>
                <w:bCs/>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cs="宋体"/>
                <w:b/>
                <w:bCs/>
                <w:color w:val="000000" w:themeColor="text1"/>
                <w:kern w:val="0"/>
                <w:sz w:val="24"/>
                <w:szCs w:val="24"/>
                <w:highlight w:val="none"/>
                <w:lang w:val="en-US" w:eastAsia="zh-CN" w:bidi="ar"/>
                <w14:textFill>
                  <w14:solidFill>
                    <w14:schemeClr w14:val="tx1"/>
                  </w14:solidFill>
                </w14:textFill>
              </w:rPr>
              <w:t>1、大气环境</w:t>
            </w:r>
          </w:p>
          <w:p>
            <w:pPr>
              <w:pStyle w:val="19"/>
              <w:keepNext w:val="0"/>
              <w:keepLines w:val="0"/>
              <w:widowControl w:val="0"/>
              <w:suppressLineNumbers w:val="0"/>
              <w:spacing w:before="0" w:beforeAutospacing="0" w:after="0" w:afterAutospacing="0" w:line="480" w:lineRule="exact"/>
              <w:ind w:left="0" w:leftChars="0" w:right="0" w:firstLine="480" w:firstLineChars="200"/>
              <w:jc w:val="both"/>
              <w:rPr>
                <w:rFonts w:hint="eastAsia" w:ascii="Times New Roman" w:hAnsi="Times New Roman" w:cs="宋体"/>
                <w:b w:val="0"/>
                <w:bCs w:val="0"/>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cs="宋体"/>
                <w:b w:val="0"/>
                <w:bCs w:val="0"/>
                <w:color w:val="000000" w:themeColor="text1"/>
                <w:kern w:val="0"/>
                <w:sz w:val="24"/>
                <w:szCs w:val="24"/>
                <w:highlight w:val="none"/>
                <w:lang w:val="en-US" w:eastAsia="zh-CN" w:bidi="ar"/>
                <w14:textFill>
                  <w14:solidFill>
                    <w14:schemeClr w14:val="tx1"/>
                  </w14:solidFill>
                </w14:textFill>
              </w:rPr>
              <w:t>项目所处环境空气质量功能分区为二类区，SO</w:t>
            </w:r>
            <w:r>
              <w:rPr>
                <w:rFonts w:hint="eastAsia" w:ascii="Times New Roman" w:hAnsi="Times New Roman" w:cs="宋体"/>
                <w:b w:val="0"/>
                <w:bCs w:val="0"/>
                <w:color w:val="000000" w:themeColor="text1"/>
                <w:kern w:val="0"/>
                <w:sz w:val="24"/>
                <w:szCs w:val="24"/>
                <w:highlight w:val="none"/>
                <w:vertAlign w:val="subscript"/>
                <w:lang w:val="en-US" w:eastAsia="zh-CN" w:bidi="ar"/>
                <w14:textFill>
                  <w14:solidFill>
                    <w14:schemeClr w14:val="tx1"/>
                  </w14:solidFill>
                </w14:textFill>
              </w:rPr>
              <w:t>2</w:t>
            </w:r>
            <w:r>
              <w:rPr>
                <w:rFonts w:hint="eastAsia" w:ascii="Times New Roman" w:hAnsi="Times New Roman" w:cs="宋体"/>
                <w:b w:val="0"/>
                <w:bCs w:val="0"/>
                <w:color w:val="000000" w:themeColor="text1"/>
                <w:kern w:val="0"/>
                <w:sz w:val="24"/>
                <w:szCs w:val="24"/>
                <w:highlight w:val="none"/>
                <w:lang w:val="en-US" w:eastAsia="zh-CN" w:bidi="ar"/>
                <w14:textFill>
                  <w14:solidFill>
                    <w14:schemeClr w14:val="tx1"/>
                  </w14:solidFill>
                </w14:textFill>
              </w:rPr>
              <w:t>、NO</w:t>
            </w:r>
            <w:r>
              <w:rPr>
                <w:rFonts w:hint="eastAsia" w:ascii="Times New Roman" w:hAnsi="Times New Roman" w:cs="宋体"/>
                <w:b w:val="0"/>
                <w:bCs w:val="0"/>
                <w:color w:val="000000" w:themeColor="text1"/>
                <w:kern w:val="0"/>
                <w:sz w:val="24"/>
                <w:szCs w:val="24"/>
                <w:highlight w:val="none"/>
                <w:vertAlign w:val="subscript"/>
                <w:lang w:val="en-US" w:eastAsia="zh-CN" w:bidi="ar"/>
                <w14:textFill>
                  <w14:solidFill>
                    <w14:schemeClr w14:val="tx1"/>
                  </w14:solidFill>
                </w14:textFill>
              </w:rPr>
              <w:t>2</w:t>
            </w:r>
            <w:r>
              <w:rPr>
                <w:rFonts w:hint="eastAsia" w:ascii="Times New Roman" w:hAnsi="Times New Roman" w:cs="宋体"/>
                <w:b w:val="0"/>
                <w:bCs w:val="0"/>
                <w:color w:val="000000" w:themeColor="text1"/>
                <w:kern w:val="0"/>
                <w:sz w:val="24"/>
                <w:szCs w:val="24"/>
                <w:highlight w:val="none"/>
                <w:lang w:val="en-US" w:eastAsia="zh-CN" w:bidi="ar"/>
                <w14:textFill>
                  <w14:solidFill>
                    <w14:schemeClr w14:val="tx1"/>
                  </w14:solidFill>
                </w14:textFill>
              </w:rPr>
              <w:t>、PM</w:t>
            </w:r>
            <w:r>
              <w:rPr>
                <w:rFonts w:hint="eastAsia" w:ascii="Times New Roman" w:hAnsi="Times New Roman" w:cs="宋体"/>
                <w:b w:val="0"/>
                <w:bCs w:val="0"/>
                <w:color w:val="000000" w:themeColor="text1"/>
                <w:kern w:val="0"/>
                <w:sz w:val="24"/>
                <w:szCs w:val="24"/>
                <w:highlight w:val="none"/>
                <w:vertAlign w:val="subscript"/>
                <w:lang w:val="en-US" w:eastAsia="zh-CN" w:bidi="ar"/>
                <w14:textFill>
                  <w14:solidFill>
                    <w14:schemeClr w14:val="tx1"/>
                  </w14:solidFill>
                </w14:textFill>
              </w:rPr>
              <w:t>10</w:t>
            </w:r>
            <w:r>
              <w:rPr>
                <w:rFonts w:hint="eastAsia" w:ascii="Times New Roman" w:hAnsi="Times New Roman" w:cs="宋体"/>
                <w:b w:val="0"/>
                <w:bCs w:val="0"/>
                <w:color w:val="000000" w:themeColor="text1"/>
                <w:kern w:val="0"/>
                <w:sz w:val="24"/>
                <w:szCs w:val="24"/>
                <w:highlight w:val="none"/>
                <w:lang w:val="en-US" w:eastAsia="zh-CN" w:bidi="ar"/>
                <w14:textFill>
                  <w14:solidFill>
                    <w14:schemeClr w14:val="tx1"/>
                  </w14:solidFill>
                </w14:textFill>
              </w:rPr>
              <w:t>执行《环境空气质量标准》（GB3095-2012）的二级标准，见表3-8。</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表3-8  环境空气污染物基本项目浓度限值（单位：mg/m3）</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8"/>
              <w:gridCol w:w="4016"/>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 w:hRule="atLeast"/>
                <w:tblHeader/>
                <w:jc w:val="center"/>
              </w:trPr>
              <w:tc>
                <w:tcPr>
                  <w:tcW w:w="1928" w:type="dxa"/>
                  <w:noWrap w:val="0"/>
                  <w:vAlign w:val="center"/>
                </w:tcPr>
                <w:p>
                  <w:pPr>
                    <w:pStyle w:val="110"/>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污染物项目</w:t>
                  </w:r>
                </w:p>
              </w:tc>
              <w:tc>
                <w:tcPr>
                  <w:tcW w:w="4016" w:type="dxa"/>
                  <w:noWrap w:val="0"/>
                  <w:vAlign w:val="center"/>
                </w:tcPr>
                <w:p>
                  <w:pPr>
                    <w:pStyle w:val="110"/>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平均时间</w:t>
                  </w:r>
                </w:p>
              </w:tc>
              <w:tc>
                <w:tcPr>
                  <w:tcW w:w="2300" w:type="dxa"/>
                  <w:noWrap w:val="0"/>
                  <w:vAlign w:val="center"/>
                </w:tcPr>
                <w:p>
                  <w:pPr>
                    <w:pStyle w:val="110"/>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 w:hRule="atLeast"/>
                <w:jc w:val="center"/>
              </w:trPr>
              <w:tc>
                <w:tcPr>
                  <w:tcW w:w="1928" w:type="dxa"/>
                  <w:vMerge w:val="restart"/>
                  <w:noWrap w:val="0"/>
                  <w:vAlign w:val="center"/>
                </w:tcPr>
                <w:p>
                  <w:pPr>
                    <w:pStyle w:val="110"/>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SO</w:t>
                  </w:r>
                  <w:r>
                    <w:rPr>
                      <w:rFonts w:ascii="Times New Roman" w:hAnsi="Times New Roman"/>
                      <w:color w:val="000000" w:themeColor="text1"/>
                      <w:highlight w:val="none"/>
                      <w:vertAlign w:val="subscript"/>
                      <w14:textFill>
                        <w14:solidFill>
                          <w14:schemeClr w14:val="tx1"/>
                        </w14:solidFill>
                      </w14:textFill>
                    </w:rPr>
                    <w:t>2</w:t>
                  </w:r>
                </w:p>
              </w:tc>
              <w:tc>
                <w:tcPr>
                  <w:tcW w:w="4016" w:type="dxa"/>
                  <w:noWrap w:val="0"/>
                  <w:vAlign w:val="center"/>
                </w:tcPr>
                <w:p>
                  <w:pPr>
                    <w:pStyle w:val="110"/>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24小时平均</w:t>
                  </w:r>
                </w:p>
              </w:tc>
              <w:tc>
                <w:tcPr>
                  <w:tcW w:w="2300" w:type="dxa"/>
                  <w:noWrap w:val="0"/>
                  <w:vAlign w:val="center"/>
                </w:tcPr>
                <w:p>
                  <w:pPr>
                    <w:pStyle w:val="110"/>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 w:hRule="atLeast"/>
                <w:jc w:val="center"/>
              </w:trPr>
              <w:tc>
                <w:tcPr>
                  <w:tcW w:w="1928" w:type="dxa"/>
                  <w:vMerge w:val="continue"/>
                  <w:noWrap w:val="0"/>
                  <w:vAlign w:val="center"/>
                </w:tcPr>
                <w:p>
                  <w:pPr>
                    <w:pStyle w:val="110"/>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p>
              </w:tc>
              <w:tc>
                <w:tcPr>
                  <w:tcW w:w="4016" w:type="dxa"/>
                  <w:noWrap w:val="0"/>
                  <w:vAlign w:val="center"/>
                </w:tcPr>
                <w:p>
                  <w:pPr>
                    <w:pStyle w:val="110"/>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1小时平均</w:t>
                  </w:r>
                </w:p>
              </w:tc>
              <w:tc>
                <w:tcPr>
                  <w:tcW w:w="2300" w:type="dxa"/>
                  <w:noWrap w:val="0"/>
                  <w:vAlign w:val="center"/>
                </w:tcPr>
                <w:p>
                  <w:pPr>
                    <w:pStyle w:val="110"/>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 w:hRule="atLeast"/>
                <w:jc w:val="center"/>
              </w:trPr>
              <w:tc>
                <w:tcPr>
                  <w:tcW w:w="1928" w:type="dxa"/>
                  <w:vMerge w:val="restart"/>
                  <w:noWrap w:val="0"/>
                  <w:vAlign w:val="center"/>
                </w:tcPr>
                <w:p>
                  <w:pPr>
                    <w:pStyle w:val="110"/>
                    <w:keepNext w:val="0"/>
                    <w:keepLines w:val="0"/>
                    <w:suppressLineNumbers w:val="0"/>
                    <w:snapToGrid w:val="0"/>
                    <w:spacing w:before="0" w:beforeAutospacing="0" w:after="0" w:afterAutospacing="0"/>
                    <w:ind w:left="0" w:right="0"/>
                    <w:rPr>
                      <w:rFonts w:ascii="Times New Roman" w:hAnsi="Times New Roman"/>
                      <w:color w:val="000000" w:themeColor="text1"/>
                      <w:highlight w:val="none"/>
                      <w:lang w:val="es-ES"/>
                      <w14:textFill>
                        <w14:solidFill>
                          <w14:schemeClr w14:val="tx1"/>
                        </w14:solidFill>
                      </w14:textFill>
                    </w:rPr>
                  </w:pPr>
                  <w:r>
                    <w:rPr>
                      <w:rFonts w:ascii="Times New Roman" w:hAnsi="Times New Roman"/>
                      <w:color w:val="000000" w:themeColor="text1"/>
                      <w:highlight w:val="none"/>
                      <w:lang w:val="es-ES"/>
                      <w14:textFill>
                        <w14:solidFill>
                          <w14:schemeClr w14:val="tx1"/>
                        </w14:solidFill>
                      </w14:textFill>
                    </w:rPr>
                    <w:t>NO</w:t>
                  </w:r>
                  <w:r>
                    <w:rPr>
                      <w:rFonts w:ascii="Times New Roman" w:hAnsi="Times New Roman"/>
                      <w:color w:val="000000" w:themeColor="text1"/>
                      <w:highlight w:val="none"/>
                      <w:vertAlign w:val="subscript"/>
                      <w:lang w:val="es-ES"/>
                      <w14:textFill>
                        <w14:solidFill>
                          <w14:schemeClr w14:val="tx1"/>
                        </w14:solidFill>
                      </w14:textFill>
                    </w:rPr>
                    <w:t>2</w:t>
                  </w:r>
                </w:p>
              </w:tc>
              <w:tc>
                <w:tcPr>
                  <w:tcW w:w="4016" w:type="dxa"/>
                  <w:noWrap w:val="0"/>
                  <w:vAlign w:val="center"/>
                </w:tcPr>
                <w:p>
                  <w:pPr>
                    <w:pStyle w:val="110"/>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24小时平均</w:t>
                  </w:r>
                </w:p>
              </w:tc>
              <w:tc>
                <w:tcPr>
                  <w:tcW w:w="2300" w:type="dxa"/>
                  <w:noWrap w:val="0"/>
                  <w:vAlign w:val="center"/>
                </w:tcPr>
                <w:p>
                  <w:pPr>
                    <w:pStyle w:val="110"/>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0.2</w:t>
                  </w:r>
                  <w:r>
                    <w:rPr>
                      <w:rFonts w:ascii="Times New Roman" w:hAnsi="Times New Roman"/>
                      <w:color w:val="000000" w:themeColor="text1"/>
                      <w:highlight w:val="none"/>
                      <w14:textFill>
                        <w14:solidFill>
                          <w14:schemeClr w14:val="tx1"/>
                        </w14:solidFill>
                      </w14:textFill>
                    </w:rPr>
                    <w:c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 w:hRule="atLeast"/>
                <w:jc w:val="center"/>
              </w:trPr>
              <w:tc>
                <w:tcPr>
                  <w:tcW w:w="1928" w:type="dxa"/>
                  <w:vMerge w:val="continue"/>
                  <w:noWrap w:val="0"/>
                  <w:vAlign w:val="center"/>
                </w:tcPr>
                <w:p>
                  <w:pPr>
                    <w:pStyle w:val="110"/>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p>
              </w:tc>
              <w:tc>
                <w:tcPr>
                  <w:tcW w:w="4016" w:type="dxa"/>
                  <w:noWrap w:val="0"/>
                  <w:vAlign w:val="center"/>
                </w:tcPr>
                <w:p>
                  <w:pPr>
                    <w:pStyle w:val="110"/>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1小时平均</w:t>
                  </w:r>
                </w:p>
              </w:tc>
              <w:tc>
                <w:tcPr>
                  <w:tcW w:w="2300" w:type="dxa"/>
                  <w:noWrap w:val="0"/>
                  <w:vAlign w:val="center"/>
                </w:tcPr>
                <w:p>
                  <w:pPr>
                    <w:pStyle w:val="110"/>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 w:hRule="atLeast"/>
                <w:jc w:val="center"/>
              </w:trPr>
              <w:tc>
                <w:tcPr>
                  <w:tcW w:w="1928" w:type="dxa"/>
                  <w:vMerge w:val="restart"/>
                  <w:noWrap w:val="0"/>
                  <w:vAlign w:val="center"/>
                </w:tcPr>
                <w:p>
                  <w:pPr>
                    <w:pStyle w:val="110"/>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CO</w:t>
                  </w:r>
                </w:p>
              </w:tc>
              <w:tc>
                <w:tcPr>
                  <w:tcW w:w="4016" w:type="dxa"/>
                  <w:noWrap w:val="0"/>
                  <w:vAlign w:val="center"/>
                </w:tcPr>
                <w:p>
                  <w:pPr>
                    <w:pStyle w:val="110"/>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24小时平均</w:t>
                  </w:r>
                </w:p>
              </w:tc>
              <w:tc>
                <w:tcPr>
                  <w:tcW w:w="2300" w:type="dxa"/>
                  <w:noWrap w:val="0"/>
                  <w:vAlign w:val="center"/>
                </w:tcPr>
                <w:p>
                  <w:pPr>
                    <w:pStyle w:val="110"/>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 w:hRule="atLeast"/>
                <w:jc w:val="center"/>
              </w:trPr>
              <w:tc>
                <w:tcPr>
                  <w:tcW w:w="1928" w:type="dxa"/>
                  <w:vMerge w:val="continue"/>
                  <w:noWrap w:val="0"/>
                  <w:vAlign w:val="center"/>
                </w:tcPr>
                <w:p>
                  <w:pPr>
                    <w:pStyle w:val="110"/>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p>
              </w:tc>
              <w:tc>
                <w:tcPr>
                  <w:tcW w:w="4016" w:type="dxa"/>
                  <w:noWrap w:val="0"/>
                  <w:vAlign w:val="center"/>
                </w:tcPr>
                <w:p>
                  <w:pPr>
                    <w:pStyle w:val="110"/>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1小时平均</w:t>
                  </w:r>
                </w:p>
              </w:tc>
              <w:tc>
                <w:tcPr>
                  <w:tcW w:w="2300" w:type="dxa"/>
                  <w:noWrap w:val="0"/>
                  <w:vAlign w:val="center"/>
                </w:tcPr>
                <w:p>
                  <w:pPr>
                    <w:pStyle w:val="110"/>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 w:hRule="atLeast"/>
                <w:jc w:val="center"/>
              </w:trPr>
              <w:tc>
                <w:tcPr>
                  <w:tcW w:w="1928" w:type="dxa"/>
                  <w:vMerge w:val="restart"/>
                  <w:noWrap w:val="0"/>
                  <w:vAlign w:val="center"/>
                </w:tcPr>
                <w:p>
                  <w:pPr>
                    <w:pStyle w:val="110"/>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O</w:t>
                  </w:r>
                  <w:r>
                    <w:rPr>
                      <w:rFonts w:ascii="Times New Roman" w:hAnsi="Times New Roman"/>
                      <w:color w:val="000000" w:themeColor="text1"/>
                      <w:highlight w:val="none"/>
                      <w:vertAlign w:val="subscript"/>
                      <w14:textFill>
                        <w14:solidFill>
                          <w14:schemeClr w14:val="tx1"/>
                        </w14:solidFill>
                      </w14:textFill>
                    </w:rPr>
                    <w:t>3</w:t>
                  </w:r>
                </w:p>
              </w:tc>
              <w:tc>
                <w:tcPr>
                  <w:tcW w:w="4016" w:type="dxa"/>
                  <w:noWrap w:val="0"/>
                  <w:vAlign w:val="center"/>
                </w:tcPr>
                <w:p>
                  <w:pPr>
                    <w:pStyle w:val="110"/>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日最大8小时平均</w:t>
                  </w:r>
                </w:p>
              </w:tc>
              <w:tc>
                <w:tcPr>
                  <w:tcW w:w="2300" w:type="dxa"/>
                  <w:noWrap w:val="0"/>
                  <w:vAlign w:val="center"/>
                </w:tcPr>
                <w:p>
                  <w:pPr>
                    <w:pStyle w:val="110"/>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 w:hRule="atLeast"/>
                <w:jc w:val="center"/>
              </w:trPr>
              <w:tc>
                <w:tcPr>
                  <w:tcW w:w="1928" w:type="dxa"/>
                  <w:vMerge w:val="continue"/>
                  <w:noWrap w:val="0"/>
                  <w:vAlign w:val="center"/>
                </w:tcPr>
                <w:p>
                  <w:pPr>
                    <w:pStyle w:val="110"/>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p>
              </w:tc>
              <w:tc>
                <w:tcPr>
                  <w:tcW w:w="4016" w:type="dxa"/>
                  <w:noWrap w:val="0"/>
                  <w:vAlign w:val="center"/>
                </w:tcPr>
                <w:p>
                  <w:pPr>
                    <w:pStyle w:val="110"/>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1小时平均</w:t>
                  </w:r>
                </w:p>
              </w:tc>
              <w:tc>
                <w:tcPr>
                  <w:tcW w:w="2300" w:type="dxa"/>
                  <w:noWrap w:val="0"/>
                  <w:vAlign w:val="center"/>
                </w:tcPr>
                <w:p>
                  <w:pPr>
                    <w:pStyle w:val="110"/>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 w:hRule="atLeast"/>
                <w:jc w:val="center"/>
              </w:trPr>
              <w:tc>
                <w:tcPr>
                  <w:tcW w:w="1928" w:type="dxa"/>
                  <w:noWrap w:val="0"/>
                  <w:vAlign w:val="center"/>
                </w:tcPr>
                <w:p>
                  <w:pPr>
                    <w:pStyle w:val="110"/>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PM</w:t>
                  </w:r>
                  <w:r>
                    <w:rPr>
                      <w:rFonts w:ascii="Times New Roman" w:hAnsi="Times New Roman"/>
                      <w:color w:val="000000" w:themeColor="text1"/>
                      <w:highlight w:val="none"/>
                      <w:vertAlign w:val="subscript"/>
                      <w14:textFill>
                        <w14:solidFill>
                          <w14:schemeClr w14:val="tx1"/>
                        </w14:solidFill>
                      </w14:textFill>
                    </w:rPr>
                    <w:t>10</w:t>
                  </w:r>
                </w:p>
              </w:tc>
              <w:tc>
                <w:tcPr>
                  <w:tcW w:w="4016" w:type="dxa"/>
                  <w:noWrap w:val="0"/>
                  <w:vAlign w:val="center"/>
                </w:tcPr>
                <w:p>
                  <w:pPr>
                    <w:pStyle w:val="110"/>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24小时平均</w:t>
                  </w:r>
                </w:p>
              </w:tc>
              <w:tc>
                <w:tcPr>
                  <w:tcW w:w="2300" w:type="dxa"/>
                  <w:noWrap w:val="0"/>
                  <w:vAlign w:val="center"/>
                </w:tcPr>
                <w:p>
                  <w:pPr>
                    <w:pStyle w:val="110"/>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 w:hRule="atLeast"/>
                <w:jc w:val="center"/>
              </w:trPr>
              <w:tc>
                <w:tcPr>
                  <w:tcW w:w="1928" w:type="dxa"/>
                  <w:noWrap w:val="0"/>
                  <w:vAlign w:val="center"/>
                </w:tcPr>
                <w:p>
                  <w:pPr>
                    <w:pStyle w:val="110"/>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PM</w:t>
                  </w:r>
                  <w:r>
                    <w:rPr>
                      <w:rFonts w:ascii="Times New Roman" w:hAnsi="Times New Roman"/>
                      <w:color w:val="000000" w:themeColor="text1"/>
                      <w:highlight w:val="none"/>
                      <w:vertAlign w:val="subscript"/>
                      <w14:textFill>
                        <w14:solidFill>
                          <w14:schemeClr w14:val="tx1"/>
                        </w14:solidFill>
                      </w14:textFill>
                    </w:rPr>
                    <w:t>2.5</w:t>
                  </w:r>
                </w:p>
              </w:tc>
              <w:tc>
                <w:tcPr>
                  <w:tcW w:w="4016" w:type="dxa"/>
                  <w:noWrap w:val="0"/>
                  <w:vAlign w:val="center"/>
                </w:tcPr>
                <w:p>
                  <w:pPr>
                    <w:pStyle w:val="110"/>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24小时平均</w:t>
                  </w:r>
                </w:p>
              </w:tc>
              <w:tc>
                <w:tcPr>
                  <w:tcW w:w="2300" w:type="dxa"/>
                  <w:noWrap w:val="0"/>
                  <w:vAlign w:val="center"/>
                </w:tcPr>
                <w:p>
                  <w:pPr>
                    <w:pStyle w:val="110"/>
                    <w:keepNext w:val="0"/>
                    <w:keepLines w:val="0"/>
                    <w:suppressLineNumbers w:val="0"/>
                    <w:snapToGrid w:val="0"/>
                    <w:spacing w:before="0" w:beforeAutospacing="0" w:after="0" w:afterAutospacing="0"/>
                    <w:ind w:left="0" w:right="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0.75</w:t>
                  </w:r>
                </w:p>
              </w:tc>
            </w:tr>
          </w:tbl>
          <w:p>
            <w:pPr>
              <w:pStyle w:val="19"/>
              <w:keepNext w:val="0"/>
              <w:keepLines w:val="0"/>
              <w:widowControl w:val="0"/>
              <w:suppressLineNumbers w:val="0"/>
              <w:spacing w:before="0" w:beforeAutospacing="0" w:after="0" w:afterAutospacing="0" w:line="480" w:lineRule="exact"/>
              <w:ind w:left="0" w:leftChars="0" w:right="0" w:firstLine="482" w:firstLineChars="200"/>
              <w:jc w:val="both"/>
              <w:rPr>
                <w:rFonts w:hint="default"/>
                <w:b/>
                <w:bCs/>
                <w:color w:val="000000" w:themeColor="text1"/>
                <w:szCs w:val="24"/>
                <w:highlight w:val="none"/>
                <w:lang w:val="en-US" w:eastAsia="zh-CN"/>
                <w14:textFill>
                  <w14:solidFill>
                    <w14:schemeClr w14:val="tx1"/>
                  </w14:solidFill>
                </w14:textFill>
              </w:rPr>
            </w:pPr>
            <w:r>
              <w:rPr>
                <w:rFonts w:hint="eastAsia" w:ascii="Times New Roman" w:hAnsi="Times New Roman" w:cs="宋体"/>
                <w:b/>
                <w:bCs/>
                <w:color w:val="000000" w:themeColor="text1"/>
                <w:kern w:val="0"/>
                <w:sz w:val="24"/>
                <w:szCs w:val="24"/>
                <w:highlight w:val="none"/>
                <w:lang w:val="en-US" w:eastAsia="zh-CN" w:bidi="ar"/>
                <w14:textFill>
                  <w14:solidFill>
                    <w14:schemeClr w14:val="tx1"/>
                  </w14:solidFill>
                </w14:textFill>
              </w:rPr>
              <w:t>2、地表水环境</w:t>
            </w:r>
          </w:p>
          <w:p>
            <w:pPr>
              <w:pStyle w:val="19"/>
              <w:keepNext w:val="0"/>
              <w:keepLines w:val="0"/>
              <w:widowControl w:val="0"/>
              <w:suppressLineNumbers w:val="0"/>
              <w:spacing w:before="0" w:beforeAutospacing="0" w:after="0" w:afterAutospacing="0" w:line="480" w:lineRule="exact"/>
              <w:ind w:left="0" w:leftChars="0" w:right="0" w:firstLine="480" w:firstLineChars="200"/>
              <w:jc w:val="both"/>
              <w:rPr>
                <w:color w:val="000000" w:themeColor="text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kern w:val="0"/>
                <w:sz w:val="24"/>
                <w:szCs w:val="21"/>
                <w:highlight w:val="none"/>
                <w:lang w:val="en-US" w:eastAsia="zh-CN" w:bidi="ar"/>
                <w14:textFill>
                  <w14:solidFill>
                    <w14:schemeClr w14:val="tx1"/>
                  </w14:solidFill>
                </w14:textFill>
              </w:rPr>
              <w:t>项目地表水执行《地表水环境质量标准》(GB3838-2002)Ⅲ类水域水质标准，具体标准值详见下表3-</w:t>
            </w:r>
            <w:r>
              <w:rPr>
                <w:rFonts w:hint="eastAsia" w:ascii="Times New Roman" w:hAnsi="Times New Roman" w:cs="宋体"/>
                <w:color w:val="000000" w:themeColor="text1"/>
                <w:kern w:val="0"/>
                <w:sz w:val="24"/>
                <w:szCs w:val="21"/>
                <w:highlight w:val="none"/>
                <w:lang w:val="en-US" w:eastAsia="zh-CN" w:bidi="ar"/>
                <w14:textFill>
                  <w14:solidFill>
                    <w14:schemeClr w14:val="tx1"/>
                  </w14:solidFill>
                </w14:textFill>
              </w:rPr>
              <w:t>9。</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表3-9  地表水环境质量标准值表（单位：mg/L）</w:t>
            </w:r>
          </w:p>
          <w:tbl>
            <w:tblPr>
              <w:tblStyle w:val="2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512"/>
              <w:gridCol w:w="1239"/>
              <w:gridCol w:w="1521"/>
              <w:gridCol w:w="1323"/>
              <w:gridCol w:w="1323"/>
              <w:gridCol w:w="13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512"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b/>
                      <w:bCs/>
                      <w:color w:val="000000" w:themeColor="text1"/>
                      <w:kern w:val="0"/>
                      <w:highlight w:val="none"/>
                      <w14:textFill>
                        <w14:solidFill>
                          <w14:schemeClr w14:val="tx1"/>
                        </w14:solidFill>
                      </w14:textFill>
                    </w:rPr>
                  </w:pPr>
                  <w:r>
                    <w:rPr>
                      <w:rFonts w:ascii="Times New Roman" w:hAnsi="Times New Roman"/>
                      <w:color w:val="000000" w:themeColor="text1"/>
                      <w:kern w:val="0"/>
                      <w:highlight w:val="none"/>
                      <w14:textFill>
                        <w14:solidFill>
                          <w14:schemeClr w14:val="tx1"/>
                        </w14:solidFill>
                      </w14:textFill>
                    </w:rPr>
                    <w:t>项目</w:t>
                  </w:r>
                </w:p>
              </w:tc>
              <w:tc>
                <w:tcPr>
                  <w:tcW w:w="123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000000" w:themeColor="text1"/>
                      <w:spacing w:val="-20"/>
                      <w:kern w:val="0"/>
                      <w:highlight w:val="none"/>
                      <w:lang w:val="en-US" w:eastAsia="zh-CN"/>
                      <w14:textFill>
                        <w14:solidFill>
                          <w14:schemeClr w14:val="tx1"/>
                        </w14:solidFill>
                      </w14:textFill>
                    </w:rPr>
                  </w:pPr>
                  <w:r>
                    <w:rPr>
                      <w:rFonts w:ascii="Times New Roman" w:hAnsi="Times New Roman"/>
                      <w:color w:val="000000" w:themeColor="text1"/>
                      <w:spacing w:val="-20"/>
                      <w:kern w:val="0"/>
                      <w:highlight w:val="none"/>
                      <w14:textFill>
                        <w14:solidFill>
                          <w14:schemeClr w14:val="tx1"/>
                        </w14:solidFill>
                      </w14:textFill>
                    </w:rPr>
                    <w:t>pH</w:t>
                  </w:r>
                  <w:r>
                    <w:rPr>
                      <w:rFonts w:hint="eastAsia" w:ascii="Times New Roman" w:hAnsi="Times New Roman"/>
                      <w:color w:val="000000" w:themeColor="text1"/>
                      <w:spacing w:val="-20"/>
                      <w:kern w:val="0"/>
                      <w:highlight w:val="none"/>
                      <w:lang w:eastAsia="zh-CN"/>
                      <w14:textFill>
                        <w14:solidFill>
                          <w14:schemeClr w14:val="tx1"/>
                        </w14:solidFill>
                      </w14:textFill>
                    </w:rPr>
                    <w:t>（</w:t>
                  </w:r>
                  <w:r>
                    <w:rPr>
                      <w:rFonts w:hint="eastAsia" w:ascii="Times New Roman" w:hAnsi="Times New Roman"/>
                      <w:color w:val="000000" w:themeColor="text1"/>
                      <w:spacing w:val="-20"/>
                      <w:kern w:val="0"/>
                      <w:highlight w:val="none"/>
                      <w:lang w:val="en-US" w:eastAsia="zh-CN"/>
                      <w14:textFill>
                        <w14:solidFill>
                          <w14:schemeClr w14:val="tx1"/>
                        </w14:solidFill>
                      </w14:textFill>
                    </w:rPr>
                    <w:t>无量纲）</w:t>
                  </w:r>
                </w:p>
              </w:tc>
              <w:tc>
                <w:tcPr>
                  <w:tcW w:w="1521"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b/>
                      <w:bCs/>
                      <w:color w:val="000000" w:themeColor="text1"/>
                      <w:kern w:val="0"/>
                      <w:highlight w:val="none"/>
                      <w14:textFill>
                        <w14:solidFill>
                          <w14:schemeClr w14:val="tx1"/>
                        </w14:solidFill>
                      </w14:textFill>
                    </w:rPr>
                  </w:pPr>
                  <w:r>
                    <w:rPr>
                      <w:rFonts w:ascii="Times New Roman" w:hAnsi="Times New Roman"/>
                      <w:color w:val="000000" w:themeColor="text1"/>
                      <w:kern w:val="0"/>
                      <w:highlight w:val="none"/>
                      <w14:textFill>
                        <w14:solidFill>
                          <w14:schemeClr w14:val="tx1"/>
                        </w14:solidFill>
                      </w14:textFill>
                    </w:rPr>
                    <w:t>COD</w:t>
                  </w:r>
                  <w:r>
                    <w:rPr>
                      <w:rFonts w:ascii="Times New Roman" w:hAnsi="Times New Roman"/>
                      <w:color w:val="000000" w:themeColor="text1"/>
                      <w:kern w:val="0"/>
                      <w:highlight w:val="none"/>
                      <w:vertAlign w:val="subscript"/>
                      <w14:textFill>
                        <w14:solidFill>
                          <w14:schemeClr w14:val="tx1"/>
                        </w14:solidFill>
                      </w14:textFill>
                    </w:rPr>
                    <w:t>Cr</w:t>
                  </w:r>
                </w:p>
              </w:tc>
              <w:tc>
                <w:tcPr>
                  <w:tcW w:w="1323"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b/>
                      <w:bCs/>
                      <w:color w:val="000000" w:themeColor="text1"/>
                      <w:kern w:val="0"/>
                      <w:highlight w:val="none"/>
                      <w14:textFill>
                        <w14:solidFill>
                          <w14:schemeClr w14:val="tx1"/>
                        </w14:solidFill>
                      </w14:textFill>
                    </w:rPr>
                  </w:pPr>
                  <w:r>
                    <w:rPr>
                      <w:rFonts w:ascii="Times New Roman" w:hAnsi="Times New Roman"/>
                      <w:color w:val="000000" w:themeColor="text1"/>
                      <w:kern w:val="0"/>
                      <w:highlight w:val="none"/>
                      <w14:textFill>
                        <w14:solidFill>
                          <w14:schemeClr w14:val="tx1"/>
                        </w14:solidFill>
                      </w14:textFill>
                    </w:rPr>
                    <w:t>BOD</w:t>
                  </w:r>
                  <w:r>
                    <w:rPr>
                      <w:rFonts w:ascii="Times New Roman" w:hAnsi="Times New Roman"/>
                      <w:color w:val="000000" w:themeColor="text1"/>
                      <w:kern w:val="0"/>
                      <w:highlight w:val="none"/>
                      <w:vertAlign w:val="subscript"/>
                      <w14:textFill>
                        <w14:solidFill>
                          <w14:schemeClr w14:val="tx1"/>
                        </w14:solidFill>
                      </w14:textFill>
                    </w:rPr>
                    <w:t>5</w:t>
                  </w:r>
                </w:p>
              </w:tc>
              <w:tc>
                <w:tcPr>
                  <w:tcW w:w="1323"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000000" w:themeColor="text1"/>
                      <w:spacing w:val="-20"/>
                      <w:kern w:val="0"/>
                      <w:highlight w:val="none"/>
                      <w14:textFill>
                        <w14:solidFill>
                          <w14:schemeClr w14:val="tx1"/>
                        </w14:solidFill>
                      </w14:textFill>
                    </w:rPr>
                  </w:pPr>
                  <w:r>
                    <w:rPr>
                      <w:rFonts w:ascii="Times New Roman" w:hAnsi="Times New Roman"/>
                      <w:color w:val="000000" w:themeColor="text1"/>
                      <w:spacing w:val="-20"/>
                      <w:kern w:val="0"/>
                      <w:highlight w:val="none"/>
                      <w14:textFill>
                        <w14:solidFill>
                          <w14:schemeClr w14:val="tx1"/>
                        </w14:solidFill>
                      </w14:textFill>
                    </w:rPr>
                    <w:t>石油类</w:t>
                  </w:r>
                </w:p>
              </w:tc>
              <w:tc>
                <w:tcPr>
                  <w:tcW w:w="1320"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000000" w:themeColor="text1"/>
                      <w:spacing w:val="-20"/>
                      <w:kern w:val="0"/>
                      <w:highlight w:val="none"/>
                      <w14:textFill>
                        <w14:solidFill>
                          <w14:schemeClr w14:val="tx1"/>
                        </w14:solidFill>
                      </w14:textFill>
                    </w:rPr>
                  </w:pPr>
                  <w:r>
                    <w:rPr>
                      <w:rFonts w:ascii="Times New Roman" w:hAnsi="Times New Roman"/>
                      <w:color w:val="000000" w:themeColor="text1"/>
                      <w:spacing w:val="-20"/>
                      <w:kern w:val="0"/>
                      <w:highlight w:val="none"/>
                      <w14:textFill>
                        <w14:solidFill>
                          <w14:schemeClr w14:val="tx1"/>
                        </w14:solidFill>
                      </w14:textFill>
                    </w:rPr>
                    <w:t>NH</w:t>
                  </w:r>
                  <w:r>
                    <w:rPr>
                      <w:rFonts w:ascii="Times New Roman" w:hAnsi="Times New Roman"/>
                      <w:color w:val="000000" w:themeColor="text1"/>
                      <w:spacing w:val="-20"/>
                      <w:kern w:val="0"/>
                      <w:highlight w:val="none"/>
                      <w:vertAlign w:val="subscript"/>
                      <w14:textFill>
                        <w14:solidFill>
                          <w14:schemeClr w14:val="tx1"/>
                        </w14:solidFill>
                      </w14:textFill>
                    </w:rPr>
                    <w:t>3</w:t>
                  </w:r>
                  <w:r>
                    <w:rPr>
                      <w:rFonts w:ascii="Times New Roman" w:hAnsi="Times New Roman"/>
                      <w:color w:val="000000" w:themeColor="text1"/>
                      <w:spacing w:val="-20"/>
                      <w:kern w:val="0"/>
                      <w:highlight w:val="none"/>
                      <w14:textFill>
                        <w14:solidFill>
                          <w14:schemeClr w14:val="tx1"/>
                        </w14:solidFill>
                      </w14:textFill>
                    </w:rPr>
                    <w:t>-N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4" w:hRule="atLeast"/>
                <w:jc w:val="center"/>
              </w:trPr>
              <w:tc>
                <w:tcPr>
                  <w:tcW w:w="1512"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b/>
                      <w:bCs/>
                      <w:color w:val="000000" w:themeColor="text1"/>
                      <w:kern w:val="0"/>
                      <w:highlight w:val="none"/>
                      <w14:textFill>
                        <w14:solidFill>
                          <w14:schemeClr w14:val="tx1"/>
                        </w14:solidFill>
                      </w14:textFill>
                    </w:rPr>
                  </w:pPr>
                  <w:r>
                    <w:rPr>
                      <w:rFonts w:ascii="Times New Roman" w:hAnsi="Times New Roman"/>
                      <w:color w:val="000000" w:themeColor="text1"/>
                      <w:kern w:val="0"/>
                      <w:highlight w:val="none"/>
                      <w14:textFill>
                        <w14:solidFill>
                          <w14:schemeClr w14:val="tx1"/>
                        </w14:solidFill>
                      </w14:textFill>
                    </w:rPr>
                    <w:t>标准值</w:t>
                  </w:r>
                </w:p>
              </w:tc>
              <w:tc>
                <w:tcPr>
                  <w:tcW w:w="1239"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b/>
                      <w:bCs/>
                      <w:color w:val="000000" w:themeColor="text1"/>
                      <w:kern w:val="0"/>
                      <w:highlight w:val="none"/>
                      <w14:textFill>
                        <w14:solidFill>
                          <w14:schemeClr w14:val="tx1"/>
                        </w14:solidFill>
                      </w14:textFill>
                    </w:rPr>
                  </w:pPr>
                  <w:r>
                    <w:rPr>
                      <w:rFonts w:ascii="Times New Roman" w:hAnsi="Times New Roman"/>
                      <w:color w:val="000000" w:themeColor="text1"/>
                      <w:kern w:val="0"/>
                      <w:highlight w:val="none"/>
                      <w14:textFill>
                        <w14:solidFill>
                          <w14:schemeClr w14:val="tx1"/>
                        </w14:solidFill>
                      </w14:textFill>
                    </w:rPr>
                    <w:t>6～9</w:t>
                  </w:r>
                </w:p>
              </w:tc>
              <w:tc>
                <w:tcPr>
                  <w:tcW w:w="1521"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b/>
                      <w:bCs/>
                      <w:color w:val="000000" w:themeColor="text1"/>
                      <w:kern w:val="0"/>
                      <w:highlight w:val="none"/>
                      <w14:textFill>
                        <w14:solidFill>
                          <w14:schemeClr w14:val="tx1"/>
                        </w14:solidFill>
                      </w14:textFill>
                    </w:rPr>
                  </w:pPr>
                  <w:r>
                    <w:rPr>
                      <w:rFonts w:ascii="Times New Roman" w:hAnsi="Times New Roman"/>
                      <w:color w:val="000000" w:themeColor="text1"/>
                      <w:kern w:val="0"/>
                      <w:highlight w:val="none"/>
                      <w14:textFill>
                        <w14:solidFill>
                          <w14:schemeClr w14:val="tx1"/>
                        </w14:solidFill>
                      </w14:textFill>
                    </w:rPr>
                    <w:t>≤20</w:t>
                  </w:r>
                </w:p>
              </w:tc>
              <w:tc>
                <w:tcPr>
                  <w:tcW w:w="1323"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b/>
                      <w:bCs/>
                      <w:color w:val="000000" w:themeColor="text1"/>
                      <w:kern w:val="0"/>
                      <w:highlight w:val="none"/>
                      <w14:textFill>
                        <w14:solidFill>
                          <w14:schemeClr w14:val="tx1"/>
                        </w14:solidFill>
                      </w14:textFill>
                    </w:rPr>
                  </w:pPr>
                  <w:r>
                    <w:rPr>
                      <w:rFonts w:ascii="Times New Roman" w:hAnsi="Times New Roman"/>
                      <w:color w:val="000000" w:themeColor="text1"/>
                      <w:kern w:val="0"/>
                      <w:highlight w:val="none"/>
                      <w14:textFill>
                        <w14:solidFill>
                          <w14:schemeClr w14:val="tx1"/>
                        </w14:solidFill>
                      </w14:textFill>
                    </w:rPr>
                    <w:t>≤4</w:t>
                  </w:r>
                </w:p>
              </w:tc>
              <w:tc>
                <w:tcPr>
                  <w:tcW w:w="1323"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b/>
                      <w:bCs/>
                      <w:color w:val="000000" w:themeColor="text1"/>
                      <w:kern w:val="0"/>
                      <w:highlight w:val="none"/>
                      <w14:textFill>
                        <w14:solidFill>
                          <w14:schemeClr w14:val="tx1"/>
                        </w14:solidFill>
                      </w14:textFill>
                    </w:rPr>
                  </w:pPr>
                  <w:r>
                    <w:rPr>
                      <w:rFonts w:ascii="Times New Roman" w:hAnsi="Times New Roman"/>
                      <w:color w:val="000000" w:themeColor="text1"/>
                      <w:kern w:val="0"/>
                      <w:highlight w:val="none"/>
                      <w14:textFill>
                        <w14:solidFill>
                          <w14:schemeClr w14:val="tx1"/>
                        </w14:solidFill>
                      </w14:textFill>
                    </w:rPr>
                    <w:t>≤0.05</w:t>
                  </w:r>
                </w:p>
              </w:tc>
              <w:tc>
                <w:tcPr>
                  <w:tcW w:w="1320"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b/>
                      <w:bCs/>
                      <w:color w:val="000000" w:themeColor="text1"/>
                      <w:kern w:val="0"/>
                      <w:highlight w:val="none"/>
                      <w14:textFill>
                        <w14:solidFill>
                          <w14:schemeClr w14:val="tx1"/>
                        </w14:solidFill>
                      </w14:textFill>
                    </w:rPr>
                  </w:pPr>
                  <w:r>
                    <w:rPr>
                      <w:rFonts w:ascii="Times New Roman" w:hAnsi="Times New Roman"/>
                      <w:color w:val="000000" w:themeColor="text1"/>
                      <w:kern w:val="0"/>
                      <w:highlight w:val="none"/>
                      <w14:textFill>
                        <w14:solidFill>
                          <w14:schemeClr w14:val="tx1"/>
                        </w14:solidFill>
                      </w14:textFill>
                    </w:rPr>
                    <w:t>≤1.0</w:t>
                  </w:r>
                </w:p>
              </w:tc>
            </w:tr>
          </w:tbl>
          <w:p>
            <w:pPr>
              <w:pStyle w:val="19"/>
              <w:keepNext w:val="0"/>
              <w:keepLines w:val="0"/>
              <w:widowControl w:val="0"/>
              <w:suppressLineNumbers w:val="0"/>
              <w:spacing w:before="0" w:beforeAutospacing="0" w:after="0" w:afterAutospacing="0" w:line="480" w:lineRule="exact"/>
              <w:ind w:left="0" w:leftChars="0" w:right="0" w:firstLine="482" w:firstLineChars="200"/>
              <w:jc w:val="both"/>
              <w:rPr>
                <w:rFonts w:hint="eastAsia" w:ascii="Times New Roman" w:hAnsi="Times New Roman" w:cs="宋体"/>
                <w:b/>
                <w:bCs/>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cs="宋体"/>
                <w:b/>
                <w:bCs/>
                <w:color w:val="000000" w:themeColor="text1"/>
                <w:kern w:val="0"/>
                <w:sz w:val="24"/>
                <w:szCs w:val="24"/>
                <w:highlight w:val="none"/>
                <w:lang w:val="en-US" w:eastAsia="zh-CN" w:bidi="ar"/>
                <w14:textFill>
                  <w14:solidFill>
                    <w14:schemeClr w14:val="tx1"/>
                  </w14:solidFill>
                </w14:textFill>
              </w:rPr>
              <w:t>3、声环境</w:t>
            </w:r>
          </w:p>
          <w:p>
            <w:pPr>
              <w:pStyle w:val="19"/>
              <w:keepNext w:val="0"/>
              <w:keepLines w:val="0"/>
              <w:widowControl w:val="0"/>
              <w:suppressLineNumbers w:val="0"/>
              <w:spacing w:before="0" w:beforeAutospacing="0" w:after="0" w:afterAutospacing="0" w:line="480" w:lineRule="exact"/>
              <w:ind w:left="0" w:leftChars="0" w:right="0" w:firstLine="480" w:firstLineChars="200"/>
              <w:jc w:val="both"/>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color w:val="000000" w:themeColor="text1"/>
                <w:sz w:val="24"/>
                <w:highlight w:val="none"/>
                <w14:textFill>
                  <w14:solidFill>
                    <w14:schemeClr w14:val="tx1"/>
                  </w14:solidFill>
                </w14:textFill>
              </w:rPr>
              <w:t>区域环境噪声执行《声环境质量标准》（GB3096-2008）2类、4a类标准</w:t>
            </w:r>
            <w:r>
              <w:rPr>
                <w:rFonts w:hint="eastAsia" w:ascii="Times New Roman" w:hAnsi="Times New Roman"/>
                <w:color w:val="000000" w:themeColor="text1"/>
                <w:sz w:val="24"/>
                <w:highlight w:val="none"/>
                <w:lang w:eastAsia="zh-CN"/>
                <w14:textFill>
                  <w14:solidFill>
                    <w14:schemeClr w14:val="tx1"/>
                  </w14:solidFill>
                </w14:textFill>
              </w:rPr>
              <w:t>，详见下表3-</w:t>
            </w:r>
            <w:r>
              <w:rPr>
                <w:rFonts w:hint="eastAsia" w:ascii="Times New Roman" w:hAnsi="Times New Roman"/>
                <w:color w:val="000000" w:themeColor="text1"/>
                <w:sz w:val="24"/>
                <w:highlight w:val="none"/>
                <w:lang w:val="en-US" w:eastAsia="zh-CN"/>
                <w14:textFill>
                  <w14:solidFill>
                    <w14:schemeClr w14:val="tx1"/>
                  </w14:solidFill>
                </w14:textFill>
              </w:rPr>
              <w:t>10</w:t>
            </w:r>
            <w:r>
              <w:rPr>
                <w:rFonts w:ascii="Times New Roman" w:hAnsi="Times New Roman"/>
                <w:color w:val="000000" w:themeColor="text1"/>
                <w:sz w:val="24"/>
                <w:highlight w:val="none"/>
                <w14:textFill>
                  <w14:solidFill>
                    <w14:schemeClr w14:val="tx1"/>
                  </w14:solidFill>
                </w14:textFill>
              </w:rPr>
              <w:t>。</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表3-10  声环境质量标准值（单位：dB(A)）</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1"/>
              <w:gridCol w:w="3338"/>
              <w:gridCol w:w="2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1639" w:type="pct"/>
                  <w:vMerge w:val="restart"/>
                  <w:noWrap w:val="0"/>
                  <w:vAlign w:val="center"/>
                </w:tcPr>
                <w:p>
                  <w:pPr>
                    <w:keepNext w:val="0"/>
                    <w:keepLines w:val="0"/>
                    <w:suppressLineNumbers w:val="0"/>
                    <w:spacing w:before="31" w:beforeLines="10" w:beforeAutospacing="0" w:after="31" w:afterLines="10" w:afterAutospacing="0"/>
                    <w:ind w:left="0" w:right="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声功能区</w:t>
                  </w:r>
                </w:p>
              </w:tc>
              <w:tc>
                <w:tcPr>
                  <w:tcW w:w="3360" w:type="pct"/>
                  <w:gridSpan w:val="2"/>
                  <w:noWrap w:val="0"/>
                  <w:vAlign w:val="center"/>
                </w:tcPr>
                <w:p>
                  <w:pPr>
                    <w:keepNext w:val="0"/>
                    <w:keepLines w:val="0"/>
                    <w:suppressLineNumbers w:val="0"/>
                    <w:spacing w:before="31" w:beforeLines="10" w:beforeAutospacing="0" w:after="31" w:afterLines="10" w:afterAutospacing="0"/>
                    <w:ind w:left="0" w:right="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标准值</w:t>
                  </w:r>
                </w:p>
                <w:p>
                  <w:pPr>
                    <w:keepNext w:val="0"/>
                    <w:keepLines w:val="0"/>
                    <w:suppressLineNumbers w:val="0"/>
                    <w:spacing w:before="31" w:beforeLines="10" w:beforeAutospacing="0" w:after="31" w:afterLines="10" w:afterAutospacing="0"/>
                    <w:ind w:left="0" w:right="0"/>
                    <w:jc w:val="center"/>
                    <w:rPr>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exact"/>
                <w:jc w:val="center"/>
              </w:trPr>
              <w:tc>
                <w:tcPr>
                  <w:tcW w:w="1639" w:type="pct"/>
                  <w:vMerge w:val="continue"/>
                  <w:noWrap w:val="0"/>
                  <w:vAlign w:val="center"/>
                </w:tcPr>
                <w:p>
                  <w:pPr>
                    <w:keepNext w:val="0"/>
                    <w:keepLines w:val="0"/>
                    <w:suppressLineNumbers w:val="0"/>
                    <w:spacing w:before="31" w:beforeLines="10" w:beforeAutospacing="0" w:after="31" w:afterLines="10" w:afterAutospacing="0"/>
                    <w:ind w:left="0" w:right="0"/>
                    <w:jc w:val="center"/>
                    <w:rPr>
                      <w:color w:val="000000" w:themeColor="text1"/>
                      <w:szCs w:val="21"/>
                      <w:highlight w:val="none"/>
                      <w14:textFill>
                        <w14:solidFill>
                          <w14:schemeClr w14:val="tx1"/>
                        </w14:solidFill>
                      </w14:textFill>
                    </w:rPr>
                  </w:pPr>
                </w:p>
              </w:tc>
              <w:tc>
                <w:tcPr>
                  <w:tcW w:w="2011" w:type="pct"/>
                  <w:noWrap w:val="0"/>
                  <w:vAlign w:val="center"/>
                </w:tcPr>
                <w:p>
                  <w:pPr>
                    <w:keepNext w:val="0"/>
                    <w:keepLines w:val="0"/>
                    <w:suppressLineNumbers w:val="0"/>
                    <w:spacing w:before="31" w:beforeLines="10" w:beforeAutospacing="0" w:after="31" w:afterLines="10" w:afterAutospacing="0"/>
                    <w:ind w:left="0" w:right="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昼间</w:t>
                  </w:r>
                </w:p>
              </w:tc>
              <w:tc>
                <w:tcPr>
                  <w:tcW w:w="1348" w:type="pct"/>
                  <w:noWrap w:val="0"/>
                  <w:vAlign w:val="center"/>
                </w:tcPr>
                <w:p>
                  <w:pPr>
                    <w:keepNext w:val="0"/>
                    <w:keepLines w:val="0"/>
                    <w:suppressLineNumbers w:val="0"/>
                    <w:spacing w:before="31" w:beforeLines="10" w:beforeAutospacing="0" w:after="31" w:afterLines="10" w:afterAutospacing="0"/>
                    <w:ind w:left="0" w:right="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39" w:type="pct"/>
                  <w:noWrap w:val="0"/>
                  <w:vAlign w:val="center"/>
                </w:tcPr>
                <w:p>
                  <w:pPr>
                    <w:keepNext w:val="0"/>
                    <w:keepLines w:val="0"/>
                    <w:suppressLineNumbers w:val="0"/>
                    <w:spacing w:before="31" w:beforeLines="10" w:beforeAutospacing="0" w:after="31" w:afterLines="10" w:afterAutospacing="0"/>
                    <w:ind w:left="0" w:right="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2类</w:t>
                  </w:r>
                </w:p>
              </w:tc>
              <w:tc>
                <w:tcPr>
                  <w:tcW w:w="2011" w:type="pct"/>
                  <w:noWrap w:val="0"/>
                  <w:vAlign w:val="center"/>
                </w:tcPr>
                <w:p>
                  <w:pPr>
                    <w:keepNext w:val="0"/>
                    <w:keepLines w:val="0"/>
                    <w:suppressLineNumbers w:val="0"/>
                    <w:spacing w:before="31" w:beforeLines="10" w:beforeAutospacing="0" w:after="31" w:afterLines="10" w:afterAutospacing="0"/>
                    <w:ind w:left="0" w:right="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60</w:t>
                  </w:r>
                </w:p>
              </w:tc>
              <w:tc>
                <w:tcPr>
                  <w:tcW w:w="1348" w:type="pct"/>
                  <w:noWrap w:val="0"/>
                  <w:vAlign w:val="center"/>
                </w:tcPr>
                <w:p>
                  <w:pPr>
                    <w:keepNext w:val="0"/>
                    <w:keepLines w:val="0"/>
                    <w:suppressLineNumbers w:val="0"/>
                    <w:spacing w:before="31" w:beforeLines="10" w:beforeAutospacing="0" w:after="31" w:afterLines="10" w:afterAutospacing="0"/>
                    <w:ind w:left="0" w:right="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39" w:type="pct"/>
                  <w:noWrap w:val="0"/>
                  <w:vAlign w:val="center"/>
                </w:tcPr>
                <w:p>
                  <w:pPr>
                    <w:keepNext w:val="0"/>
                    <w:keepLines w:val="0"/>
                    <w:suppressLineNumbers w:val="0"/>
                    <w:spacing w:before="31" w:beforeLines="10" w:beforeAutospacing="0" w:after="31" w:afterLines="10" w:afterAutospacing="0"/>
                    <w:ind w:left="0" w:right="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4a类</w:t>
                  </w:r>
                </w:p>
              </w:tc>
              <w:tc>
                <w:tcPr>
                  <w:tcW w:w="2011" w:type="pct"/>
                  <w:noWrap w:val="0"/>
                  <w:vAlign w:val="center"/>
                </w:tcPr>
                <w:p>
                  <w:pPr>
                    <w:keepNext w:val="0"/>
                    <w:keepLines w:val="0"/>
                    <w:suppressLineNumbers w:val="0"/>
                    <w:spacing w:before="31" w:beforeLines="10" w:beforeAutospacing="0" w:after="31" w:afterLines="10" w:afterAutospacing="0"/>
                    <w:ind w:left="0" w:right="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70</w:t>
                  </w:r>
                </w:p>
              </w:tc>
              <w:tc>
                <w:tcPr>
                  <w:tcW w:w="1348" w:type="pct"/>
                  <w:noWrap w:val="0"/>
                  <w:vAlign w:val="center"/>
                </w:tcPr>
                <w:p>
                  <w:pPr>
                    <w:keepNext w:val="0"/>
                    <w:keepLines w:val="0"/>
                    <w:suppressLineNumbers w:val="0"/>
                    <w:spacing w:before="31" w:beforeLines="10" w:beforeAutospacing="0" w:after="31" w:afterLines="10" w:afterAutospacing="0"/>
                    <w:ind w:left="0" w:right="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55</w:t>
                  </w:r>
                </w:p>
              </w:tc>
            </w:tr>
          </w:tbl>
          <w:p>
            <w:pPr>
              <w:pStyle w:val="19"/>
              <w:keepNext w:val="0"/>
              <w:keepLines w:val="0"/>
              <w:widowControl w:val="0"/>
              <w:suppressLineNumbers w:val="0"/>
              <w:spacing w:before="0" w:beforeAutospacing="0" w:after="0" w:afterAutospacing="0" w:line="480" w:lineRule="exact"/>
              <w:ind w:left="0" w:leftChars="0" w:right="0" w:firstLine="480" w:firstLineChars="200"/>
              <w:jc w:val="both"/>
              <w:rPr>
                <w:rFonts w:hint="eastAsia" w:ascii="Times New Roman" w:hAnsi="Times New Roman" w:cs="宋体"/>
                <w:b/>
                <w:bCs/>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color w:val="000000" w:themeColor="text1"/>
                <w:sz w:val="24"/>
                <w:highlight w:val="none"/>
                <w:lang w:val="en-US" w:eastAsia="zh-CN"/>
                <w14:textFill>
                  <w14:solidFill>
                    <w14:schemeClr w14:val="tx1"/>
                  </w14:solidFill>
                </w14:textFill>
              </w:rPr>
              <w:t>4</w:t>
            </w:r>
            <w:r>
              <w:rPr>
                <w:rFonts w:hint="eastAsia" w:ascii="Times New Roman" w:hAnsi="Times New Roman"/>
                <w:color w:val="000000" w:themeColor="text1"/>
                <w:sz w:val="24"/>
                <w:highlight w:val="none"/>
                <w:lang w:val="en-US" w:eastAsia="zh-CN"/>
                <w14:textFill>
                  <w14:solidFill>
                    <w14:schemeClr w14:val="tx1"/>
                  </w14:solidFill>
                </w14:textFill>
              </w:rPr>
              <w:t>、生态环境：以不影响区域动植物生境和不破坏生态系统完整性、稳定性为标准。</w:t>
            </w:r>
          </w:p>
          <w:p>
            <w:pPr>
              <w:pStyle w:val="19"/>
              <w:keepNext w:val="0"/>
              <w:keepLines w:val="0"/>
              <w:widowControl w:val="0"/>
              <w:suppressLineNumbers w:val="0"/>
              <w:spacing w:before="0" w:beforeAutospacing="0" w:after="0" w:afterAutospacing="0" w:line="480" w:lineRule="exact"/>
              <w:ind w:left="0" w:right="0"/>
              <w:jc w:val="both"/>
              <w:rPr>
                <w:b/>
                <w:bCs/>
                <w:color w:val="000000" w:themeColor="text1"/>
                <w:szCs w:val="24"/>
                <w:highlight w:val="none"/>
                <w:lang w:val="en-US" w:eastAsia="zh-CN"/>
                <w14:textFill>
                  <w14:solidFill>
                    <w14:schemeClr w14:val="tx1"/>
                  </w14:solidFill>
                </w14:textFill>
              </w:rPr>
            </w:pPr>
            <w:r>
              <w:rPr>
                <w:rFonts w:hint="eastAsia" w:ascii="Times New Roman" w:hAnsi="Times New Roman" w:cs="宋体"/>
                <w:b/>
                <w:bCs/>
                <w:color w:val="000000" w:themeColor="text1"/>
                <w:kern w:val="0"/>
                <w:sz w:val="24"/>
                <w:szCs w:val="24"/>
                <w:highlight w:val="none"/>
                <w:lang w:val="en-US" w:eastAsia="zh-CN" w:bidi="ar"/>
                <w14:textFill>
                  <w14:solidFill>
                    <w14:schemeClr w14:val="tx1"/>
                  </w14:solidFill>
                </w14:textFill>
              </w:rPr>
              <w:t>（二）污染物排放控制标准</w:t>
            </w:r>
          </w:p>
          <w:p>
            <w:pPr>
              <w:pStyle w:val="19"/>
              <w:keepNext w:val="0"/>
              <w:keepLines w:val="0"/>
              <w:widowControl w:val="0"/>
              <w:suppressLineNumbers w:val="0"/>
              <w:spacing w:before="0" w:beforeAutospacing="0" w:after="0" w:afterAutospacing="0" w:line="480" w:lineRule="exact"/>
              <w:ind w:left="0" w:leftChars="0" w:right="0" w:firstLine="482" w:firstLineChars="200"/>
              <w:jc w:val="both"/>
              <w:rPr>
                <w:rFonts w:hint="default"/>
                <w:b/>
                <w:bCs/>
                <w:color w:val="000000" w:themeColor="text1"/>
                <w:szCs w:val="24"/>
                <w:highlight w:val="none"/>
                <w:lang w:val="en-US" w:eastAsia="zh-CN"/>
                <w14:textFill>
                  <w14:solidFill>
                    <w14:schemeClr w14:val="tx1"/>
                  </w14:solidFill>
                </w14:textFill>
              </w:rPr>
            </w:pPr>
            <w:r>
              <w:rPr>
                <w:rFonts w:hint="eastAsia" w:ascii="Times New Roman" w:hAnsi="Times New Roman" w:cs="宋体"/>
                <w:b/>
                <w:bCs/>
                <w:color w:val="000000" w:themeColor="text1"/>
                <w:kern w:val="0"/>
                <w:sz w:val="24"/>
                <w:szCs w:val="24"/>
                <w:highlight w:val="none"/>
                <w:lang w:val="en-US" w:eastAsia="zh-CN" w:bidi="ar"/>
                <w14:textFill>
                  <w14:solidFill>
                    <w14:schemeClr w14:val="tx1"/>
                  </w14:solidFill>
                </w14:textFill>
              </w:rPr>
              <w:t>1、废气</w:t>
            </w:r>
          </w:p>
          <w:p>
            <w:pPr>
              <w:pStyle w:val="19"/>
              <w:keepNext w:val="0"/>
              <w:keepLines w:val="0"/>
              <w:widowControl w:val="0"/>
              <w:suppressLineNumbers w:val="0"/>
              <w:spacing w:before="0" w:beforeAutospacing="0" w:after="0" w:afterAutospacing="0" w:line="480" w:lineRule="exact"/>
              <w:ind w:left="0" w:leftChars="0" w:right="0" w:firstLine="480" w:firstLineChars="200"/>
              <w:jc w:val="both"/>
              <w:rPr>
                <w:color w:val="000000" w:themeColor="text1"/>
                <w:szCs w:val="24"/>
                <w:highlight w:val="none"/>
                <w:lang w:val="zh-CN" w:eastAsia="zh-CN"/>
                <w14:textFill>
                  <w14:solidFill>
                    <w14:schemeClr w14:val="tx1"/>
                  </w14:solidFill>
                </w14:textFill>
              </w:rPr>
            </w:pPr>
            <w:r>
              <w:rPr>
                <w:rFonts w:hint="eastAsia" w:ascii="Times New Roman" w:hAnsi="Times New Roman" w:cs="宋体"/>
                <w:color w:val="000000" w:themeColor="text1"/>
                <w:kern w:val="0"/>
                <w:sz w:val="24"/>
                <w:szCs w:val="24"/>
                <w:highlight w:val="none"/>
                <w:lang w:val="en-US" w:eastAsia="zh-CN" w:bidi="ar"/>
                <w14:textFill>
                  <w14:solidFill>
                    <w14:schemeClr w14:val="tx1"/>
                  </w14:solidFill>
                </w14:textFill>
              </w:rPr>
              <w:t>施工期废气</w:t>
            </w:r>
            <w:r>
              <w:rPr>
                <w:rFonts w:hint="eastAsia" w:ascii="Times New Roman" w:hAnsi="Times New Roman" w:eastAsia="宋体" w:cs="宋体"/>
                <w:color w:val="000000" w:themeColor="text1"/>
                <w:kern w:val="0"/>
                <w:sz w:val="24"/>
                <w:szCs w:val="24"/>
                <w:highlight w:val="none"/>
                <w:lang w:val="zh-CN" w:eastAsia="zh-CN" w:bidi="ar"/>
                <w14:textFill>
                  <w14:solidFill>
                    <w14:schemeClr w14:val="tx1"/>
                  </w14:solidFill>
                </w14:textFill>
              </w:rPr>
              <w:t>执行《四川省施工场地扬尘排放标准》（</w:t>
            </w:r>
            <w:r>
              <w:rPr>
                <w:rFonts w:hint="default" w:ascii="Times New Roman" w:hAnsi="Times New Roman" w:eastAsia="宋体" w:cs="Times New Roman"/>
                <w:color w:val="000000" w:themeColor="text1"/>
                <w:kern w:val="0"/>
                <w:sz w:val="24"/>
                <w:szCs w:val="24"/>
                <w:highlight w:val="none"/>
                <w:lang w:val="zh-CN" w:eastAsia="zh-CN" w:bidi="ar"/>
                <w14:textFill>
                  <w14:solidFill>
                    <w14:schemeClr w14:val="tx1"/>
                  </w14:solidFill>
                </w14:textFill>
              </w:rPr>
              <w:t>DB51/2682-2020</w:t>
            </w:r>
            <w:r>
              <w:rPr>
                <w:rFonts w:hint="eastAsia" w:ascii="Times New Roman" w:hAnsi="Times New Roman" w:eastAsia="宋体" w:cs="宋体"/>
                <w:color w:val="000000" w:themeColor="text1"/>
                <w:kern w:val="0"/>
                <w:sz w:val="24"/>
                <w:szCs w:val="24"/>
                <w:highlight w:val="none"/>
                <w:lang w:val="zh-CN" w:eastAsia="zh-CN" w:bidi="ar"/>
                <w14:textFill>
                  <w14:solidFill>
                    <w14:schemeClr w14:val="tx1"/>
                  </w14:solidFill>
                </w14:textFill>
              </w:rPr>
              <w:t>），具体标准限值见下表：</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zh-CN" w:eastAsia="zh-CN" w:bidi="ar"/>
                <w14:textFill>
                  <w14:solidFill>
                    <w14:schemeClr w14:val="tx1"/>
                  </w14:solidFill>
                </w14:textFill>
              </w:rPr>
              <w:t>表</w:t>
            </w: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3-11  项目施工扬尘排放浓度限值</w:t>
            </w:r>
          </w:p>
          <w:tbl>
            <w:tblPr>
              <w:tblStyle w:val="24"/>
              <w:tblW w:w="83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98"/>
              <w:gridCol w:w="1983"/>
              <w:gridCol w:w="1061"/>
              <w:gridCol w:w="1185"/>
              <w:gridCol w:w="968"/>
              <w:gridCol w:w="2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7" w:hRule="atLeast"/>
                <w:tblHeader/>
                <w:jc w:val="center"/>
              </w:trPr>
              <w:tc>
                <w:tcPr>
                  <w:tcW w:w="8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b/>
                      <w:bCs/>
                      <w:color w:val="000000" w:themeColor="text1"/>
                      <w:szCs w:val="21"/>
                      <w:highlight w:val="none"/>
                      <w:lang w:val="en-US"/>
                      <w14:textFill>
                        <w14:solidFill>
                          <w14:schemeClr w14:val="tx1"/>
                        </w14:solidFill>
                      </w14:textFill>
                    </w:rPr>
                  </w:pPr>
                  <w:r>
                    <w:rPr>
                      <w:rFonts w:hint="eastAsia" w:ascii="Times New Roman" w:hAnsi="Times New Roman" w:eastAsia="宋体" w:cs="宋体"/>
                      <w:b/>
                      <w:bCs/>
                      <w:color w:val="000000" w:themeColor="text1"/>
                      <w:kern w:val="2"/>
                      <w:sz w:val="21"/>
                      <w:szCs w:val="21"/>
                      <w:highlight w:val="none"/>
                      <w:lang w:val="en-US" w:eastAsia="zh-CN" w:bidi="ar"/>
                      <w14:textFill>
                        <w14:solidFill>
                          <w14:schemeClr w14:val="tx1"/>
                        </w14:solidFill>
                      </w14:textFill>
                    </w:rPr>
                    <w:t>监测项目</w:t>
                  </w:r>
                </w:p>
              </w:tc>
              <w:tc>
                <w:tcPr>
                  <w:tcW w:w="22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b/>
                      <w:bCs/>
                      <w:color w:val="000000" w:themeColor="text1"/>
                      <w:szCs w:val="21"/>
                      <w:highlight w:val="none"/>
                      <w:lang w:val="en-US"/>
                      <w14:textFill>
                        <w14:solidFill>
                          <w14:schemeClr w14:val="tx1"/>
                        </w14:solidFill>
                      </w14:textFill>
                    </w:rPr>
                  </w:pPr>
                  <w:r>
                    <w:rPr>
                      <w:rFonts w:hint="eastAsia" w:ascii="Times New Roman" w:hAnsi="Times New Roman" w:eastAsia="宋体" w:cs="宋体"/>
                      <w:b/>
                      <w:bCs/>
                      <w:color w:val="000000" w:themeColor="text1"/>
                      <w:kern w:val="2"/>
                      <w:sz w:val="21"/>
                      <w:szCs w:val="21"/>
                      <w:highlight w:val="none"/>
                      <w:lang w:val="en-US" w:eastAsia="zh-CN" w:bidi="ar"/>
                      <w14:textFill>
                        <w14:solidFill>
                          <w14:schemeClr w14:val="tx1"/>
                        </w14:solidFill>
                      </w14:textFill>
                    </w:rPr>
                    <w:t>区域</w:t>
                  </w:r>
                </w:p>
              </w:tc>
              <w:tc>
                <w:tcPr>
                  <w:tcW w:w="11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b/>
                      <w:bCs/>
                      <w:color w:val="000000" w:themeColor="text1"/>
                      <w:szCs w:val="21"/>
                      <w:highlight w:val="none"/>
                      <w:lang w:val="en-US"/>
                      <w14:textFill>
                        <w14:solidFill>
                          <w14:schemeClr w14:val="tx1"/>
                        </w14:solidFill>
                      </w14:textFill>
                    </w:rPr>
                  </w:pPr>
                  <w:r>
                    <w:rPr>
                      <w:rFonts w:hint="eastAsia" w:ascii="Times New Roman" w:hAnsi="Times New Roman" w:eastAsia="宋体" w:cs="宋体"/>
                      <w:b/>
                      <w:bCs/>
                      <w:color w:val="000000" w:themeColor="text1"/>
                      <w:kern w:val="2"/>
                      <w:sz w:val="21"/>
                      <w:szCs w:val="21"/>
                      <w:highlight w:val="none"/>
                      <w:lang w:val="en-US" w:eastAsia="zh-CN" w:bidi="ar"/>
                      <w14:textFill>
                        <w14:solidFill>
                          <w14:schemeClr w14:val="tx1"/>
                        </w14:solidFill>
                      </w14:textFill>
                    </w:rPr>
                    <w:t>施工阶段</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b/>
                      <w:bCs/>
                      <w:color w:val="000000" w:themeColor="text1"/>
                      <w:szCs w:val="21"/>
                      <w:highlight w:val="none"/>
                      <w:lang w:val="en-US"/>
                      <w14:textFill>
                        <w14:solidFill>
                          <w14:schemeClr w14:val="tx1"/>
                        </w14:solidFill>
                      </w14:textFill>
                    </w:rPr>
                  </w:pPr>
                  <w:r>
                    <w:rPr>
                      <w:rFonts w:hint="eastAsia" w:ascii="Times New Roman" w:hAnsi="Times New Roman" w:eastAsia="宋体" w:cs="宋体"/>
                      <w:b/>
                      <w:bCs/>
                      <w:color w:val="000000" w:themeColor="text1"/>
                      <w:kern w:val="2"/>
                      <w:sz w:val="21"/>
                      <w:szCs w:val="21"/>
                      <w:highlight w:val="none"/>
                      <w:lang w:val="en-US" w:eastAsia="zh-CN" w:bidi="ar"/>
                      <w14:textFill>
                        <w14:solidFill>
                          <w14:schemeClr w14:val="tx1"/>
                        </w14:solidFill>
                      </w14:textFill>
                    </w:rPr>
                    <w:t>监测点排放限值（μ</w:t>
                  </w:r>
                  <w:r>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g/</w:t>
                  </w:r>
                  <w:r>
                    <w:rPr>
                      <w:rFonts w:hint="eastAsia" w:cs="Times New Roman"/>
                      <w:b/>
                      <w:bCs/>
                      <w:color w:val="000000" w:themeColor="text1"/>
                      <w:kern w:val="2"/>
                      <w:sz w:val="21"/>
                      <w:szCs w:val="21"/>
                      <w:highlight w:val="none"/>
                      <w:lang w:val="en-US" w:eastAsia="zh-CN" w:bidi="ar"/>
                      <w14:textFill>
                        <w14:solidFill>
                          <w14:schemeClr w14:val="tx1"/>
                        </w14:solidFill>
                      </w14:textFill>
                    </w:rPr>
                    <w:t>m³</w:t>
                  </w:r>
                  <w:r>
                    <w:rPr>
                      <w:rFonts w:hint="eastAsia" w:ascii="Times New Roman" w:hAnsi="Times New Roman" w:eastAsia="宋体" w:cs="宋体"/>
                      <w:b/>
                      <w:bCs/>
                      <w:color w:val="000000" w:themeColor="text1"/>
                      <w:kern w:val="2"/>
                      <w:sz w:val="21"/>
                      <w:szCs w:val="21"/>
                      <w:highlight w:val="none"/>
                      <w:lang w:val="en-US" w:eastAsia="zh-CN" w:bidi="ar"/>
                      <w14:textFill>
                        <w14:solidFill>
                          <w14:schemeClr w14:val="tx1"/>
                        </w14:solidFill>
                      </w14:textFill>
                    </w:rPr>
                    <w:t>）</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b/>
                      <w:bCs/>
                      <w:color w:val="000000" w:themeColor="text1"/>
                      <w:szCs w:val="21"/>
                      <w:highlight w:val="none"/>
                      <w:lang w:val="en-US"/>
                      <w14:textFill>
                        <w14:solidFill>
                          <w14:schemeClr w14:val="tx1"/>
                        </w14:solidFill>
                      </w14:textFill>
                    </w:rPr>
                  </w:pPr>
                  <w:r>
                    <w:rPr>
                      <w:rFonts w:hint="eastAsia" w:ascii="Times New Roman" w:hAnsi="Times New Roman" w:eastAsia="宋体" w:cs="宋体"/>
                      <w:b/>
                      <w:bCs/>
                      <w:color w:val="000000" w:themeColor="text1"/>
                      <w:kern w:val="2"/>
                      <w:sz w:val="21"/>
                      <w:szCs w:val="21"/>
                      <w:highlight w:val="none"/>
                      <w:lang w:val="en-US" w:eastAsia="zh-CN" w:bidi="ar"/>
                      <w14:textFill>
                        <w14:solidFill>
                          <w14:schemeClr w14:val="tx1"/>
                        </w14:solidFill>
                      </w14:textFill>
                    </w:rPr>
                    <w:t>监测时间</w:t>
                  </w:r>
                </w:p>
              </w:tc>
              <w:tc>
                <w:tcPr>
                  <w:tcW w:w="17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b/>
                      <w:bCs/>
                      <w:color w:val="000000" w:themeColor="text1"/>
                      <w:szCs w:val="21"/>
                      <w:highlight w:val="none"/>
                      <w:lang w:val="en-US"/>
                      <w14:textFill>
                        <w14:solidFill>
                          <w14:schemeClr w14:val="tx1"/>
                        </w14:solidFill>
                      </w14:textFill>
                    </w:rPr>
                  </w:pPr>
                  <w:r>
                    <w:rPr>
                      <w:rFonts w:hint="eastAsia" w:ascii="Times New Roman" w:hAnsi="Times New Roman" w:eastAsia="宋体" w:cs="宋体"/>
                      <w:b/>
                      <w:bCs/>
                      <w:color w:val="000000" w:themeColor="text1"/>
                      <w:kern w:val="2"/>
                      <w:sz w:val="21"/>
                      <w:szCs w:val="21"/>
                      <w:highlight w:val="none"/>
                      <w:lang w:val="en-US" w:eastAsia="zh-CN" w:bidi="ar"/>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8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color w:val="000000" w:themeColor="text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总悬浮颗粒物（</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TSP</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w:t>
                  </w:r>
                </w:p>
              </w:tc>
              <w:tc>
                <w:tcPr>
                  <w:tcW w:w="222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color w:val="000000" w:themeColor="text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成都市、自贡市、泸州市、德阳市、绵阳市、广元市、遂宁市、内江市、乐山市、南充市、宜宾市、广安市、达州市、巴中市、雅安市、眉山市、资阳市</w:t>
                  </w:r>
                </w:p>
              </w:tc>
              <w:tc>
                <w:tcPr>
                  <w:tcW w:w="11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color w:val="000000" w:themeColor="text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拆除工程</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土方开挖</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土方回填阶段</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600</w:t>
                  </w:r>
                </w:p>
              </w:tc>
              <w:tc>
                <w:tcPr>
                  <w:tcW w:w="106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color w:val="000000" w:themeColor="text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自监测起持续</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15</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分钟</w:t>
                  </w:r>
                </w:p>
              </w:tc>
              <w:tc>
                <w:tcPr>
                  <w:tcW w:w="17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color w:val="000000" w:themeColor="text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zh-CN" w:eastAsia="zh-CN" w:bidi="ar"/>
                      <w14:textFill>
                        <w14:solidFill>
                          <w14:schemeClr w14:val="tx1"/>
                        </w14:solidFill>
                      </w14:textFill>
                    </w:rPr>
                    <w:t>《四川省施工场地扬尘排放标准》（</w:t>
                  </w:r>
                  <w:r>
                    <w:rPr>
                      <w:rFonts w:hint="default" w:ascii="Times New Roman" w:hAnsi="Times New Roman" w:eastAsia="宋体" w:cs="Times New Roman"/>
                      <w:color w:val="000000" w:themeColor="text1"/>
                      <w:kern w:val="2"/>
                      <w:sz w:val="21"/>
                      <w:szCs w:val="21"/>
                      <w:highlight w:val="none"/>
                      <w:lang w:val="zh-CN" w:eastAsia="zh-CN" w:bidi="ar"/>
                      <w14:textFill>
                        <w14:solidFill>
                          <w14:schemeClr w14:val="tx1"/>
                        </w14:solidFill>
                      </w14:textFill>
                    </w:rPr>
                    <w:t>DB51/2682-2020</w:t>
                  </w:r>
                  <w:r>
                    <w:rPr>
                      <w:rFonts w:hint="eastAsia" w:ascii="Times New Roman" w:hAnsi="Times New Roman" w:eastAsia="宋体" w:cs="宋体"/>
                      <w:color w:val="000000" w:themeColor="text1"/>
                      <w:kern w:val="2"/>
                      <w:sz w:val="21"/>
                      <w:szCs w:val="21"/>
                      <w:highlight w:val="none"/>
                      <w:lang w:val="zh-CN"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6" w:hRule="atLeast"/>
                <w:jc w:val="center"/>
              </w:trPr>
              <w:tc>
                <w:tcPr>
                  <w:tcW w:w="8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000000" w:themeColor="text1"/>
                      <w:kern w:val="2"/>
                      <w:sz w:val="21"/>
                      <w:szCs w:val="22"/>
                      <w:highlight w:val="none"/>
                      <w14:textFill>
                        <w14:solidFill>
                          <w14:schemeClr w14:val="tx1"/>
                        </w14:solidFill>
                      </w14:textFill>
                    </w:rPr>
                  </w:pPr>
                </w:p>
              </w:tc>
              <w:tc>
                <w:tcPr>
                  <w:tcW w:w="222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000000" w:themeColor="text1"/>
                      <w:kern w:val="2"/>
                      <w:sz w:val="21"/>
                      <w:szCs w:val="22"/>
                      <w:highlight w:val="none"/>
                      <w14:textFill>
                        <w14:solidFill>
                          <w14:schemeClr w14:val="tx1"/>
                        </w14:solidFill>
                      </w14:textFill>
                    </w:rPr>
                  </w:pPr>
                </w:p>
              </w:tc>
              <w:tc>
                <w:tcPr>
                  <w:tcW w:w="11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color w:val="000000" w:themeColor="text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其他工程阶段</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250</w:t>
                  </w:r>
                </w:p>
              </w:tc>
              <w:tc>
                <w:tcPr>
                  <w:tcW w:w="106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000000" w:themeColor="text1"/>
                      <w:kern w:val="2"/>
                      <w:sz w:val="21"/>
                      <w:szCs w:val="22"/>
                      <w:highlight w:val="none"/>
                      <w14:textFill>
                        <w14:solidFill>
                          <w14:schemeClr w14:val="tx1"/>
                        </w14:solidFill>
                      </w14:textFill>
                    </w:rPr>
                  </w:pPr>
                </w:p>
              </w:tc>
              <w:tc>
                <w:tcPr>
                  <w:tcW w:w="17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000000" w:themeColor="text1"/>
                      <w:kern w:val="2"/>
                      <w:sz w:val="21"/>
                      <w:szCs w:val="22"/>
                      <w:highlight w:val="none"/>
                      <w14:textFill>
                        <w14:solidFill>
                          <w14:schemeClr w14:val="tx1"/>
                        </w14:solidFill>
                      </w14:textFill>
                    </w:rPr>
                  </w:pPr>
                </w:p>
              </w:tc>
            </w:tr>
          </w:tbl>
          <w:p>
            <w:pPr>
              <w:pStyle w:val="19"/>
              <w:keepNext w:val="0"/>
              <w:keepLines w:val="0"/>
              <w:widowControl w:val="0"/>
              <w:suppressLineNumbers w:val="0"/>
              <w:spacing w:before="0" w:beforeAutospacing="0" w:after="0" w:afterAutospacing="0" w:line="480" w:lineRule="exact"/>
              <w:ind w:left="0" w:leftChars="0" w:right="0" w:firstLine="480" w:firstLineChars="200"/>
              <w:jc w:val="both"/>
              <w:rPr>
                <w:rFonts w:hint="eastAsia" w:ascii="Times New Roman" w:hAnsi="Times New Roman" w:cs="宋体"/>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cs="宋体"/>
                <w:color w:val="000000" w:themeColor="text1"/>
                <w:kern w:val="0"/>
                <w:sz w:val="24"/>
                <w:szCs w:val="24"/>
                <w:highlight w:val="none"/>
                <w:lang w:val="en-US" w:eastAsia="zh-CN" w:bidi="ar"/>
                <w14:textFill>
                  <w14:solidFill>
                    <w14:schemeClr w14:val="tx1"/>
                  </w14:solidFill>
                </w14:textFill>
              </w:rPr>
              <w:t>营运期废气执行《大气污染物综合排放标准》（GB16297-1996）的二级标准，具体数值见表3-12。</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表3-12  《大气污染物综合排放标准》二级标准（单位：mg/m3）</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81"/>
              <w:gridCol w:w="4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3481"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000000" w:themeColor="text1"/>
                      <w:kern w:val="0"/>
                      <w:highlight w:val="none"/>
                      <w:u w:val="none" w:color="000000"/>
                      <w14:textFill>
                        <w14:solidFill>
                          <w14:schemeClr w14:val="tx1"/>
                        </w14:solidFill>
                      </w14:textFill>
                    </w:rPr>
                  </w:pPr>
                  <w:r>
                    <w:rPr>
                      <w:rFonts w:ascii="Times New Roman" w:hAnsi="Times New Roman"/>
                      <w:color w:val="000000" w:themeColor="text1"/>
                      <w:kern w:val="0"/>
                      <w:highlight w:val="none"/>
                      <w14:textFill>
                        <w14:solidFill>
                          <w14:schemeClr w14:val="tx1"/>
                        </w14:solidFill>
                      </w14:textFill>
                    </w:rPr>
                    <w:t>污染物</w:t>
                  </w:r>
                </w:p>
              </w:tc>
              <w:tc>
                <w:tcPr>
                  <w:tcW w:w="4763"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000000" w:themeColor="text1"/>
                      <w:kern w:val="0"/>
                      <w:highlight w:val="none"/>
                      <w:u w:val="none" w:color="000000"/>
                      <w14:textFill>
                        <w14:solidFill>
                          <w14:schemeClr w14:val="tx1"/>
                        </w14:solidFill>
                      </w14:textFill>
                    </w:rPr>
                  </w:pPr>
                  <w:r>
                    <w:rPr>
                      <w:rFonts w:ascii="Times New Roman" w:hAnsi="Times New Roman"/>
                      <w:color w:val="000000" w:themeColor="text1"/>
                      <w:kern w:val="0"/>
                      <w:highlight w:val="none"/>
                      <w14:textFill>
                        <w14:solidFill>
                          <w14:schemeClr w14:val="tx1"/>
                        </w14:solidFill>
                      </w14:textFill>
                    </w:rPr>
                    <w:t>无组织排放监控浓度限值（mg/m</w:t>
                  </w:r>
                  <w:r>
                    <w:rPr>
                      <w:rFonts w:ascii="Times New Roman" w:hAnsi="Times New Roman"/>
                      <w:color w:val="000000" w:themeColor="text1"/>
                      <w:kern w:val="0"/>
                      <w:highlight w:val="none"/>
                      <w:vertAlign w:val="superscript"/>
                      <w14:textFill>
                        <w14:solidFill>
                          <w14:schemeClr w14:val="tx1"/>
                        </w14:solidFill>
                      </w14:textFill>
                    </w:rPr>
                    <w:t>3</w:t>
                  </w:r>
                  <w:r>
                    <w:rPr>
                      <w:rFonts w:ascii="Times New Roman" w:hAnsi="Times New Roman"/>
                      <w:color w:val="000000" w:themeColor="text1"/>
                      <w:kern w:val="0"/>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3481"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000000" w:themeColor="text1"/>
                      <w:kern w:val="0"/>
                      <w:highlight w:val="none"/>
                      <w:u w:val="none" w:color="000000"/>
                      <w14:textFill>
                        <w14:solidFill>
                          <w14:schemeClr w14:val="tx1"/>
                        </w14:solidFill>
                      </w14:textFill>
                    </w:rPr>
                  </w:pPr>
                  <w:r>
                    <w:rPr>
                      <w:rFonts w:ascii="Times New Roman" w:hAnsi="Times New Roman"/>
                      <w:color w:val="000000" w:themeColor="text1"/>
                      <w:kern w:val="0"/>
                      <w:highlight w:val="none"/>
                      <w14:textFill>
                        <w14:solidFill>
                          <w14:schemeClr w14:val="tx1"/>
                        </w14:solidFill>
                      </w14:textFill>
                    </w:rPr>
                    <w:t>颗粒物</w:t>
                  </w:r>
                </w:p>
              </w:tc>
              <w:tc>
                <w:tcPr>
                  <w:tcW w:w="4763"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000000" w:themeColor="text1"/>
                      <w:kern w:val="0"/>
                      <w:highlight w:val="none"/>
                      <w:u w:val="none" w:color="000000"/>
                      <w14:textFill>
                        <w14:solidFill>
                          <w14:schemeClr w14:val="tx1"/>
                        </w14:solidFill>
                      </w14:textFill>
                    </w:rPr>
                  </w:pPr>
                  <w:r>
                    <w:rPr>
                      <w:rFonts w:ascii="Times New Roman" w:hAnsi="Times New Roman"/>
                      <w:color w:val="000000" w:themeColor="text1"/>
                      <w:kern w:val="0"/>
                      <w:highlight w:val="non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3481"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000000" w:themeColor="text1"/>
                      <w:kern w:val="0"/>
                      <w:highlight w:val="none"/>
                      <w14:textFill>
                        <w14:solidFill>
                          <w14:schemeClr w14:val="tx1"/>
                        </w14:solidFill>
                      </w14:textFill>
                    </w:rPr>
                  </w:pPr>
                  <w:r>
                    <w:rPr>
                      <w:rFonts w:ascii="Times New Roman" w:hAnsi="Times New Roman"/>
                      <w:color w:val="000000" w:themeColor="text1"/>
                      <w:kern w:val="0"/>
                      <w:highlight w:val="none"/>
                      <w14:textFill>
                        <w14:solidFill>
                          <w14:schemeClr w14:val="tx1"/>
                        </w14:solidFill>
                      </w14:textFill>
                    </w:rPr>
                    <w:t>SO</w:t>
                  </w:r>
                  <w:r>
                    <w:rPr>
                      <w:rFonts w:ascii="Times New Roman" w:hAnsi="Times New Roman"/>
                      <w:color w:val="000000" w:themeColor="text1"/>
                      <w:kern w:val="0"/>
                      <w:highlight w:val="none"/>
                      <w:vertAlign w:val="subscript"/>
                      <w14:textFill>
                        <w14:solidFill>
                          <w14:schemeClr w14:val="tx1"/>
                        </w14:solidFill>
                      </w14:textFill>
                    </w:rPr>
                    <w:t>2</w:t>
                  </w:r>
                </w:p>
              </w:tc>
              <w:tc>
                <w:tcPr>
                  <w:tcW w:w="4763"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000000" w:themeColor="text1"/>
                      <w:kern w:val="0"/>
                      <w:highlight w:val="none"/>
                      <w14:textFill>
                        <w14:solidFill>
                          <w14:schemeClr w14:val="tx1"/>
                        </w14:solidFill>
                      </w14:textFill>
                    </w:rPr>
                  </w:pPr>
                  <w:r>
                    <w:rPr>
                      <w:rFonts w:ascii="Times New Roman" w:hAnsi="Times New Roman"/>
                      <w:color w:val="000000" w:themeColor="text1"/>
                      <w:kern w:val="0"/>
                      <w:highlight w:val="none"/>
                      <w14:textFill>
                        <w14:solidFill>
                          <w14:schemeClr w14:val="tx1"/>
                        </w14:solidFill>
                      </w14:textFill>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3481"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000000" w:themeColor="text1"/>
                      <w:kern w:val="0"/>
                      <w:highlight w:val="none"/>
                      <w14:textFill>
                        <w14:solidFill>
                          <w14:schemeClr w14:val="tx1"/>
                        </w14:solidFill>
                      </w14:textFill>
                    </w:rPr>
                  </w:pPr>
                  <w:r>
                    <w:rPr>
                      <w:rFonts w:ascii="Times New Roman" w:hAnsi="Times New Roman"/>
                      <w:color w:val="000000" w:themeColor="text1"/>
                      <w:kern w:val="0"/>
                      <w:highlight w:val="none"/>
                      <w14:textFill>
                        <w14:solidFill>
                          <w14:schemeClr w14:val="tx1"/>
                        </w14:solidFill>
                      </w14:textFill>
                    </w:rPr>
                    <w:t>NO</w:t>
                  </w:r>
                  <w:r>
                    <w:rPr>
                      <w:rFonts w:ascii="Times New Roman" w:hAnsi="Times New Roman"/>
                      <w:color w:val="000000" w:themeColor="text1"/>
                      <w:kern w:val="0"/>
                      <w:highlight w:val="none"/>
                      <w:vertAlign w:val="subscript"/>
                      <w14:textFill>
                        <w14:solidFill>
                          <w14:schemeClr w14:val="tx1"/>
                        </w14:solidFill>
                      </w14:textFill>
                    </w:rPr>
                    <w:t>x</w:t>
                  </w:r>
                </w:p>
              </w:tc>
              <w:tc>
                <w:tcPr>
                  <w:tcW w:w="4763"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000000" w:themeColor="text1"/>
                      <w:kern w:val="0"/>
                      <w:highlight w:val="none"/>
                      <w14:textFill>
                        <w14:solidFill>
                          <w14:schemeClr w14:val="tx1"/>
                        </w14:solidFill>
                      </w14:textFill>
                    </w:rPr>
                  </w:pPr>
                  <w:r>
                    <w:rPr>
                      <w:rFonts w:ascii="Times New Roman" w:hAnsi="Times New Roman"/>
                      <w:color w:val="000000" w:themeColor="text1"/>
                      <w:kern w:val="0"/>
                      <w:highlight w:val="none"/>
                      <w14:textFill>
                        <w14:solidFill>
                          <w14:schemeClr w14:val="tx1"/>
                        </w14:solidFill>
                      </w14:textFill>
                    </w:rPr>
                    <w:t>0.12</w:t>
                  </w:r>
                </w:p>
              </w:tc>
            </w:tr>
          </w:tbl>
          <w:p>
            <w:pPr>
              <w:pStyle w:val="19"/>
              <w:keepNext w:val="0"/>
              <w:keepLines w:val="0"/>
              <w:widowControl w:val="0"/>
              <w:suppressLineNumbers w:val="0"/>
              <w:spacing w:before="0" w:beforeAutospacing="0" w:after="0" w:afterAutospacing="0" w:line="480" w:lineRule="exact"/>
              <w:ind w:left="0" w:leftChars="0" w:right="0" w:firstLine="482" w:firstLineChars="200"/>
              <w:jc w:val="both"/>
              <w:rPr>
                <w:b/>
                <w:bCs/>
                <w:color w:val="000000" w:themeColor="text1"/>
                <w:szCs w:val="24"/>
                <w:highlight w:val="none"/>
                <w:lang w:val="zh-CN" w:eastAsia="zh-CN"/>
                <w14:textFill>
                  <w14:solidFill>
                    <w14:schemeClr w14:val="tx1"/>
                  </w14:solidFill>
                </w14:textFill>
              </w:rPr>
            </w:pPr>
            <w:r>
              <w:rPr>
                <w:rFonts w:hint="eastAsia" w:ascii="Times New Roman" w:hAnsi="Times New Roman" w:cs="宋体"/>
                <w:b/>
                <w:bCs/>
                <w:color w:val="000000" w:themeColor="text1"/>
                <w:kern w:val="0"/>
                <w:sz w:val="24"/>
                <w:szCs w:val="24"/>
                <w:highlight w:val="none"/>
                <w:lang w:val="en-US" w:eastAsia="zh-CN" w:bidi="ar"/>
                <w14:textFill>
                  <w14:solidFill>
                    <w14:schemeClr w14:val="tx1"/>
                  </w14:solidFill>
                </w14:textFill>
              </w:rPr>
              <w:t>2、废水</w:t>
            </w:r>
          </w:p>
          <w:p>
            <w:pPr>
              <w:pStyle w:val="19"/>
              <w:keepNext w:val="0"/>
              <w:keepLines w:val="0"/>
              <w:widowControl w:val="0"/>
              <w:suppressLineNumbers w:val="0"/>
              <w:spacing w:before="0" w:beforeAutospacing="0" w:after="0" w:afterAutospacing="0" w:line="480" w:lineRule="exact"/>
              <w:ind w:left="0" w:leftChars="0" w:right="0" w:firstLine="480" w:firstLineChars="200"/>
              <w:jc w:val="both"/>
              <w:rPr>
                <w:rFonts w:hint="eastAsia" w:ascii="Times New Roman" w:hAnsi="Times New Roman" w:cs="宋体"/>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cs="宋体"/>
                <w:color w:val="000000" w:themeColor="text1"/>
                <w:kern w:val="0"/>
                <w:sz w:val="24"/>
                <w:szCs w:val="24"/>
                <w:highlight w:val="none"/>
                <w:lang w:val="en-US" w:eastAsia="zh-CN" w:bidi="ar"/>
                <w14:textFill>
                  <w14:solidFill>
                    <w14:schemeClr w14:val="tx1"/>
                  </w14:solidFill>
                </w14:textFill>
              </w:rPr>
              <w:t>本项目营运期不产生废水。</w:t>
            </w:r>
          </w:p>
          <w:p>
            <w:pPr>
              <w:pStyle w:val="19"/>
              <w:keepNext w:val="0"/>
              <w:keepLines w:val="0"/>
              <w:widowControl w:val="0"/>
              <w:suppressLineNumbers w:val="0"/>
              <w:spacing w:before="0" w:beforeAutospacing="0" w:after="0" w:afterAutospacing="0" w:line="480" w:lineRule="exact"/>
              <w:ind w:left="0" w:leftChars="0" w:right="0" w:firstLine="480" w:firstLineChars="200"/>
              <w:jc w:val="both"/>
              <w:rPr>
                <w:color w:val="000000" w:themeColor="text1"/>
                <w:szCs w:val="24"/>
                <w:highlight w:val="none"/>
                <w:lang w:val="en-US" w:eastAsia="zh-CN"/>
                <w14:textFill>
                  <w14:solidFill>
                    <w14:schemeClr w14:val="tx1"/>
                  </w14:solidFill>
                </w14:textFill>
              </w:rPr>
            </w:pPr>
            <w:r>
              <w:rPr>
                <w:rFonts w:hint="eastAsia" w:ascii="Times New Roman" w:hAnsi="Times New Roman" w:cs="宋体"/>
                <w:color w:val="000000" w:themeColor="text1"/>
                <w:kern w:val="0"/>
                <w:sz w:val="24"/>
                <w:szCs w:val="24"/>
                <w:highlight w:val="none"/>
                <w:lang w:val="en-US" w:eastAsia="zh-CN" w:bidi="ar"/>
                <w14:textFill>
                  <w14:solidFill>
                    <w14:schemeClr w14:val="tx1"/>
                  </w14:solidFill>
                </w14:textFill>
              </w:rPr>
              <w:t>施工期生活污水排放执行《污水综合排放标准》（GB8978-1996）中三级标准（施工废水循环使用不排放），NH</w:t>
            </w:r>
            <w:r>
              <w:rPr>
                <w:rFonts w:hint="eastAsia" w:ascii="Times New Roman" w:hAnsi="Times New Roman" w:cs="宋体"/>
                <w:color w:val="000000" w:themeColor="text1"/>
                <w:kern w:val="0"/>
                <w:sz w:val="24"/>
                <w:szCs w:val="24"/>
                <w:highlight w:val="none"/>
                <w:vertAlign w:val="subscript"/>
                <w:lang w:val="en-US" w:eastAsia="zh-CN" w:bidi="ar"/>
                <w14:textFill>
                  <w14:solidFill>
                    <w14:schemeClr w14:val="tx1"/>
                  </w14:solidFill>
                </w14:textFill>
              </w:rPr>
              <w:t>3</w:t>
            </w:r>
            <w:r>
              <w:rPr>
                <w:rFonts w:hint="eastAsia" w:ascii="Times New Roman" w:hAnsi="Times New Roman" w:cs="宋体"/>
                <w:color w:val="000000" w:themeColor="text1"/>
                <w:kern w:val="0"/>
                <w:sz w:val="24"/>
                <w:szCs w:val="24"/>
                <w:highlight w:val="none"/>
                <w:lang w:val="en-US" w:eastAsia="zh-CN" w:bidi="ar"/>
                <w14:textFill>
                  <w14:solidFill>
                    <w14:schemeClr w14:val="tx1"/>
                  </w14:solidFill>
                </w14:textFill>
              </w:rPr>
              <w:t>-N、总磷执行《污水排入城镇下水道水质标准》（GB/T31962-2015）</w:t>
            </w: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表3-13  《污水综合排放标准》（单位：mg/L）</w:t>
            </w:r>
          </w:p>
          <w:tbl>
            <w:tblPr>
              <w:tblStyle w:val="24"/>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0"/>
              <w:gridCol w:w="924"/>
              <w:gridCol w:w="804"/>
              <w:gridCol w:w="888"/>
              <w:gridCol w:w="780"/>
              <w:gridCol w:w="864"/>
              <w:gridCol w:w="1188"/>
              <w:gridCol w:w="1032"/>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980" w:type="dxa"/>
                  <w:noWrap w:val="0"/>
                  <w:vAlign w:val="center"/>
                </w:tcPr>
                <w:p>
                  <w:pPr>
                    <w:keepNext w:val="0"/>
                    <w:keepLines w:val="0"/>
                    <w:suppressLineNumbers w:val="0"/>
                    <w:spacing w:before="0" w:beforeAutospacing="0" w:after="0" w:afterAutospacing="0"/>
                    <w:ind w:left="0" w:right="0"/>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级别</w:t>
                  </w:r>
                </w:p>
              </w:tc>
              <w:tc>
                <w:tcPr>
                  <w:tcW w:w="924" w:type="dxa"/>
                  <w:noWrap w:val="0"/>
                  <w:vAlign w:val="center"/>
                </w:tcPr>
                <w:p>
                  <w:pPr>
                    <w:keepNext w:val="0"/>
                    <w:keepLines w:val="0"/>
                    <w:suppressLineNumbers w:val="0"/>
                    <w:spacing w:before="0" w:beforeAutospacing="0" w:after="0" w:afterAutospacing="0"/>
                    <w:ind w:left="0" w:right="0"/>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PH</w:t>
                  </w:r>
                </w:p>
              </w:tc>
              <w:tc>
                <w:tcPr>
                  <w:tcW w:w="804" w:type="dxa"/>
                  <w:noWrap w:val="0"/>
                  <w:vAlign w:val="center"/>
                </w:tcPr>
                <w:p>
                  <w:pPr>
                    <w:keepNext w:val="0"/>
                    <w:keepLines w:val="0"/>
                    <w:suppressLineNumbers w:val="0"/>
                    <w:spacing w:before="0" w:beforeAutospacing="0" w:after="0" w:afterAutospacing="0"/>
                    <w:ind w:left="0" w:right="0"/>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COD</w:t>
                  </w:r>
                </w:p>
              </w:tc>
              <w:tc>
                <w:tcPr>
                  <w:tcW w:w="888" w:type="dxa"/>
                  <w:noWrap w:val="0"/>
                  <w:vAlign w:val="center"/>
                </w:tcPr>
                <w:p>
                  <w:pPr>
                    <w:keepNext w:val="0"/>
                    <w:keepLines w:val="0"/>
                    <w:suppressLineNumbers w:val="0"/>
                    <w:spacing w:before="0" w:beforeAutospacing="0" w:after="0" w:afterAutospacing="0"/>
                    <w:ind w:left="0" w:right="0"/>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BOD</w:t>
                  </w:r>
                  <w:r>
                    <w:rPr>
                      <w:rFonts w:ascii="Times New Roman" w:hAnsi="Times New Roman"/>
                      <w:color w:val="000000" w:themeColor="text1"/>
                      <w:szCs w:val="21"/>
                      <w:highlight w:val="none"/>
                      <w:vertAlign w:val="subscript"/>
                      <w14:textFill>
                        <w14:solidFill>
                          <w14:schemeClr w14:val="tx1"/>
                        </w14:solidFill>
                      </w14:textFill>
                    </w:rPr>
                    <w:t>5</w:t>
                  </w:r>
                </w:p>
              </w:tc>
              <w:tc>
                <w:tcPr>
                  <w:tcW w:w="780" w:type="dxa"/>
                  <w:noWrap w:val="0"/>
                  <w:vAlign w:val="center"/>
                </w:tcPr>
                <w:p>
                  <w:pPr>
                    <w:keepNext w:val="0"/>
                    <w:keepLines w:val="0"/>
                    <w:suppressLineNumbers w:val="0"/>
                    <w:spacing w:before="0" w:beforeAutospacing="0" w:after="0" w:afterAutospacing="0"/>
                    <w:ind w:left="0" w:right="0"/>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SS</w:t>
                  </w:r>
                </w:p>
              </w:tc>
              <w:tc>
                <w:tcPr>
                  <w:tcW w:w="864" w:type="dxa"/>
                  <w:noWrap w:val="0"/>
                  <w:vAlign w:val="center"/>
                </w:tcPr>
                <w:p>
                  <w:pPr>
                    <w:keepNext w:val="0"/>
                    <w:keepLines w:val="0"/>
                    <w:suppressLineNumbers w:val="0"/>
                    <w:spacing w:before="0" w:beforeAutospacing="0" w:after="0" w:afterAutospacing="0"/>
                    <w:ind w:left="0" w:right="0"/>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氨氮</w:t>
                  </w:r>
                </w:p>
              </w:tc>
              <w:tc>
                <w:tcPr>
                  <w:tcW w:w="1188" w:type="dxa"/>
                  <w:noWrap w:val="0"/>
                  <w:vAlign w:val="center"/>
                </w:tcPr>
                <w:p>
                  <w:pPr>
                    <w:keepNext w:val="0"/>
                    <w:keepLines w:val="0"/>
                    <w:suppressLineNumbers w:val="0"/>
                    <w:spacing w:before="0" w:beforeAutospacing="0" w:after="0" w:afterAutospacing="0"/>
                    <w:ind w:left="0" w:right="0"/>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动植物油</w:t>
                  </w:r>
                </w:p>
              </w:tc>
              <w:tc>
                <w:tcPr>
                  <w:tcW w:w="103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石油类</w:t>
                  </w:r>
                </w:p>
              </w:tc>
              <w:tc>
                <w:tcPr>
                  <w:tcW w:w="83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980" w:type="dxa"/>
                  <w:noWrap w:val="0"/>
                  <w:vAlign w:val="center"/>
                </w:tcPr>
                <w:p>
                  <w:pPr>
                    <w:keepNext w:val="0"/>
                    <w:keepLines w:val="0"/>
                    <w:suppressLineNumbers w:val="0"/>
                    <w:spacing w:before="0" w:beforeAutospacing="0" w:after="0" w:afterAutospacing="0"/>
                    <w:ind w:left="0" w:right="0"/>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一级</w:t>
                  </w:r>
                </w:p>
              </w:tc>
              <w:tc>
                <w:tcPr>
                  <w:tcW w:w="924" w:type="dxa"/>
                  <w:noWrap w:val="0"/>
                  <w:vAlign w:val="center"/>
                </w:tcPr>
                <w:p>
                  <w:pPr>
                    <w:keepNext w:val="0"/>
                    <w:keepLines w:val="0"/>
                    <w:suppressLineNumbers w:val="0"/>
                    <w:spacing w:before="0" w:beforeAutospacing="0" w:after="0" w:afterAutospacing="0"/>
                    <w:ind w:left="0" w:right="0"/>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6～9</w:t>
                  </w:r>
                </w:p>
              </w:tc>
              <w:tc>
                <w:tcPr>
                  <w:tcW w:w="80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500</w:t>
                  </w:r>
                </w:p>
              </w:tc>
              <w:tc>
                <w:tcPr>
                  <w:tcW w:w="888"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30</w:t>
                  </w:r>
                  <w:r>
                    <w:rPr>
                      <w:rFonts w:hint="eastAsia" w:ascii="Times New Roman" w:hAnsi="Times New Roman"/>
                      <w:color w:val="000000" w:themeColor="text1"/>
                      <w:szCs w:val="21"/>
                      <w:highlight w:val="none"/>
                      <w:lang w:val="en-US" w:eastAsia="zh-CN"/>
                      <w14:textFill>
                        <w14:solidFill>
                          <w14:schemeClr w14:val="tx1"/>
                        </w14:solidFill>
                      </w14:textFill>
                    </w:rPr>
                    <w:t>0</w:t>
                  </w:r>
                </w:p>
              </w:tc>
              <w:tc>
                <w:tcPr>
                  <w:tcW w:w="78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400</w:t>
                  </w:r>
                </w:p>
              </w:tc>
              <w:tc>
                <w:tcPr>
                  <w:tcW w:w="86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45</w:t>
                  </w:r>
                </w:p>
              </w:tc>
              <w:tc>
                <w:tcPr>
                  <w:tcW w:w="1188" w:type="dxa"/>
                  <w:noWrap w:val="0"/>
                  <w:vAlign w:val="center"/>
                </w:tcPr>
                <w:p>
                  <w:pPr>
                    <w:keepNext w:val="0"/>
                    <w:keepLines w:val="0"/>
                    <w:suppressLineNumbers w:val="0"/>
                    <w:spacing w:before="0" w:beforeAutospacing="0" w:after="0" w:afterAutospacing="0"/>
                    <w:ind w:left="0" w:right="0"/>
                    <w:jc w:val="center"/>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100</w:t>
                  </w:r>
                  <w:r>
                    <w:rPr>
                      <w:rFonts w:ascii="Times New Roman" w:hAnsi="Times New Roman"/>
                      <w:color w:val="000000" w:themeColor="text1"/>
                      <w:szCs w:val="21"/>
                      <w:highlight w:val="none"/>
                      <w14:textFill>
                        <w14:solidFill>
                          <w14:schemeClr w14:val="tx1"/>
                        </w14:solidFill>
                      </w14:textFill>
                    </w:rPr>
                    <w:cr/>
                  </w:r>
                </w:p>
              </w:tc>
              <w:tc>
                <w:tcPr>
                  <w:tcW w:w="103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20</w:t>
                  </w:r>
                </w:p>
              </w:tc>
              <w:tc>
                <w:tcPr>
                  <w:tcW w:w="83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8</w:t>
                  </w:r>
                </w:p>
              </w:tc>
            </w:tr>
          </w:tbl>
          <w:p>
            <w:pPr>
              <w:pStyle w:val="19"/>
              <w:keepNext w:val="0"/>
              <w:keepLines w:val="0"/>
              <w:widowControl w:val="0"/>
              <w:suppressLineNumbers w:val="0"/>
              <w:spacing w:before="0" w:beforeAutospacing="0" w:after="0" w:afterAutospacing="0" w:line="480" w:lineRule="exact"/>
              <w:ind w:left="0" w:leftChars="0" w:right="0" w:firstLine="482" w:firstLineChars="200"/>
              <w:jc w:val="both"/>
              <w:rPr>
                <w:color w:val="000000" w:themeColor="text1"/>
                <w:szCs w:val="24"/>
                <w:highlight w:val="none"/>
                <w:lang w:val="zh-CN" w:eastAsia="zh-CN"/>
                <w14:textFill>
                  <w14:solidFill>
                    <w14:schemeClr w14:val="tx1"/>
                  </w14:solidFill>
                </w14:textFill>
              </w:rPr>
            </w:pPr>
            <w:r>
              <w:rPr>
                <w:rFonts w:hint="eastAsia" w:ascii="Times New Roman" w:hAnsi="Times New Roman" w:cs="宋体"/>
                <w:b/>
                <w:bCs/>
                <w:color w:val="000000" w:themeColor="text1"/>
                <w:kern w:val="0"/>
                <w:sz w:val="24"/>
                <w:szCs w:val="24"/>
                <w:highlight w:val="none"/>
                <w:lang w:val="en-US" w:eastAsia="zh-CN" w:bidi="ar"/>
                <w14:textFill>
                  <w14:solidFill>
                    <w14:schemeClr w14:val="tx1"/>
                  </w14:solidFill>
                </w14:textFill>
              </w:rPr>
              <w:t>3、</w:t>
            </w:r>
            <w:r>
              <w:rPr>
                <w:rFonts w:hint="eastAsia" w:ascii="Times New Roman" w:hAnsi="Times New Roman" w:eastAsia="宋体" w:cs="宋体"/>
                <w:b/>
                <w:bCs/>
                <w:color w:val="000000" w:themeColor="text1"/>
                <w:kern w:val="0"/>
                <w:sz w:val="24"/>
                <w:szCs w:val="24"/>
                <w:highlight w:val="none"/>
                <w:lang w:val="zh-CN" w:eastAsia="zh-CN" w:bidi="ar"/>
                <w14:textFill>
                  <w14:solidFill>
                    <w14:schemeClr w14:val="tx1"/>
                  </w14:solidFill>
                </w14:textFill>
              </w:rPr>
              <w:t>施工期</w:t>
            </w:r>
          </w:p>
          <w:p>
            <w:pPr>
              <w:pStyle w:val="19"/>
              <w:keepNext w:val="0"/>
              <w:keepLines w:val="0"/>
              <w:widowControl w:val="0"/>
              <w:suppressLineNumbers w:val="0"/>
              <w:spacing w:before="0" w:beforeAutospacing="0" w:after="0" w:afterAutospacing="0" w:line="480" w:lineRule="exact"/>
              <w:ind w:left="0" w:leftChars="0" w:right="0" w:firstLine="480" w:firstLineChars="200"/>
              <w:jc w:val="both"/>
              <w:rPr>
                <w:color w:val="000000" w:themeColor="text1"/>
                <w:szCs w:val="24"/>
                <w:highlight w:val="none"/>
                <w:lang w:val="en-US" w:eastAsia="zh-CN"/>
                <w14:textFill>
                  <w14:solidFill>
                    <w14:schemeClr w14:val="tx1"/>
                  </w14:solidFill>
                </w14:textFill>
              </w:rPr>
            </w:pPr>
            <w:r>
              <w:rPr>
                <w:rFonts w:hint="eastAsia" w:ascii="Times New Roman" w:hAnsi="Times New Roman" w:cs="宋体"/>
                <w:color w:val="000000" w:themeColor="text1"/>
                <w:kern w:val="0"/>
                <w:sz w:val="24"/>
                <w:szCs w:val="24"/>
                <w:highlight w:val="none"/>
                <w:lang w:val="en-US" w:eastAsia="zh-CN" w:bidi="ar"/>
                <w14:textFill>
                  <w14:solidFill>
                    <w14:schemeClr w14:val="tx1"/>
                  </w14:solidFill>
                </w14:textFill>
              </w:rPr>
              <w:t>施工期噪声</w:t>
            </w:r>
            <w:r>
              <w:rPr>
                <w:rFonts w:hint="eastAsia" w:ascii="Times New Roman" w:hAnsi="Times New Roman" w:eastAsia="宋体" w:cs="宋体"/>
                <w:color w:val="000000" w:themeColor="text1"/>
                <w:kern w:val="0"/>
                <w:sz w:val="24"/>
                <w:szCs w:val="24"/>
                <w:highlight w:val="none"/>
                <w:lang w:val="zh-CN" w:eastAsia="zh-CN" w:bidi="ar"/>
                <w14:textFill>
                  <w14:solidFill>
                    <w14:schemeClr w14:val="tx1"/>
                  </w14:solidFill>
                </w14:textFill>
              </w:rPr>
              <w:t>执行《建筑施工场界环境噪声排放标准》（</w:t>
            </w:r>
            <w:r>
              <w:rPr>
                <w:rFonts w:hint="default" w:ascii="Times New Roman" w:hAnsi="Times New Roman" w:eastAsia="宋体" w:cs="Times New Roman"/>
                <w:color w:val="000000" w:themeColor="text1"/>
                <w:kern w:val="0"/>
                <w:sz w:val="24"/>
                <w:szCs w:val="24"/>
                <w:highlight w:val="none"/>
                <w:lang w:val="zh-CN" w:eastAsia="zh-CN" w:bidi="ar"/>
                <w14:textFill>
                  <w14:solidFill>
                    <w14:schemeClr w14:val="tx1"/>
                  </w14:solidFill>
                </w14:textFill>
              </w:rPr>
              <w:t>GB12523-2011</w:t>
            </w:r>
            <w:r>
              <w:rPr>
                <w:rFonts w:hint="eastAsia" w:ascii="Times New Roman" w:hAnsi="Times New Roman" w:eastAsia="宋体" w:cs="宋体"/>
                <w:color w:val="000000" w:themeColor="text1"/>
                <w:kern w:val="0"/>
                <w:sz w:val="24"/>
                <w:szCs w:val="24"/>
                <w:highlight w:val="none"/>
                <w:lang w:val="zh-CN" w:eastAsia="zh-CN" w:bidi="ar"/>
                <w14:textFill>
                  <w14:solidFill>
                    <w14:schemeClr w14:val="tx1"/>
                  </w14:solidFill>
                </w14:textFill>
              </w:rPr>
              <w:t>）中相应标准，</w:t>
            </w: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标准限值见下表：</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表3-14  项目施工期噪声排放标准限值（单位：</w:t>
            </w:r>
            <w:r>
              <w:rPr>
                <w:rFonts w:hint="default" w:ascii="黑体" w:hAnsi="黑体" w:eastAsia="黑体" w:cs="黑体"/>
                <w:color w:val="000000" w:themeColor="text1"/>
                <w:kern w:val="0"/>
                <w:sz w:val="24"/>
                <w:szCs w:val="24"/>
                <w:highlight w:val="none"/>
                <w:lang w:val="en-US" w:eastAsia="zh-CN" w:bidi="ar"/>
                <w14:textFill>
                  <w14:solidFill>
                    <w14:schemeClr w14:val="tx1"/>
                  </w14:solidFill>
                </w14:textFill>
              </w:rPr>
              <w:t>dB[A]</w:t>
            </w: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48"/>
              <w:gridCol w:w="5153"/>
              <w:gridCol w:w="1489"/>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7" w:hRule="atLeast"/>
                <w:tblHeader/>
                <w:jc w:val="center"/>
              </w:trPr>
              <w:tc>
                <w:tcPr>
                  <w:tcW w:w="571"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b/>
                      <w:bCs/>
                      <w:color w:val="000000" w:themeColor="text1"/>
                      <w:szCs w:val="21"/>
                      <w:highlight w:val="none"/>
                      <w:lang w:val="en-US"/>
                      <w14:textFill>
                        <w14:solidFill>
                          <w14:schemeClr w14:val="tx1"/>
                        </w14:solidFill>
                      </w14:textFill>
                    </w:rPr>
                  </w:pPr>
                  <w:r>
                    <w:rPr>
                      <w:rFonts w:hint="eastAsia" w:ascii="Times New Roman" w:hAnsi="Times New Roman" w:eastAsia="宋体" w:cs="宋体"/>
                      <w:b/>
                      <w:bCs/>
                      <w:color w:val="000000" w:themeColor="text1"/>
                      <w:kern w:val="2"/>
                      <w:sz w:val="21"/>
                      <w:szCs w:val="21"/>
                      <w:highlight w:val="none"/>
                      <w:lang w:val="en-US" w:eastAsia="zh-CN" w:bidi="ar"/>
                      <w14:textFill>
                        <w14:solidFill>
                          <w14:schemeClr w14:val="tx1"/>
                        </w14:solidFill>
                      </w14:textFill>
                    </w:rPr>
                    <w:t>时期</w:t>
                  </w:r>
                </w:p>
              </w:tc>
              <w:tc>
                <w:tcPr>
                  <w:tcW w:w="3104"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b/>
                      <w:bCs/>
                      <w:color w:val="000000" w:themeColor="text1"/>
                      <w:szCs w:val="21"/>
                      <w:highlight w:val="none"/>
                      <w:lang w:val="en-US"/>
                      <w14:textFill>
                        <w14:solidFill>
                          <w14:schemeClr w14:val="tx1"/>
                        </w14:solidFill>
                      </w14:textFill>
                    </w:rPr>
                  </w:pPr>
                  <w:r>
                    <w:rPr>
                      <w:rFonts w:hint="eastAsia" w:ascii="Times New Roman" w:hAnsi="Times New Roman" w:eastAsia="宋体" w:cs="宋体"/>
                      <w:b/>
                      <w:bCs/>
                      <w:color w:val="000000" w:themeColor="text1"/>
                      <w:kern w:val="2"/>
                      <w:sz w:val="21"/>
                      <w:szCs w:val="21"/>
                      <w:highlight w:val="none"/>
                      <w:lang w:val="en-US" w:eastAsia="zh-CN" w:bidi="ar"/>
                      <w14:textFill>
                        <w14:solidFill>
                          <w14:schemeClr w14:val="tx1"/>
                        </w14:solidFill>
                      </w14:textFill>
                    </w:rPr>
                    <w:t>执行标准</w:t>
                  </w:r>
                </w:p>
              </w:tc>
              <w:tc>
                <w:tcPr>
                  <w:tcW w:w="897"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b/>
                      <w:bCs/>
                      <w:color w:val="000000" w:themeColor="text1"/>
                      <w:szCs w:val="21"/>
                      <w:highlight w:val="none"/>
                      <w:lang w:val="en-US"/>
                      <w14:textFill>
                        <w14:solidFill>
                          <w14:schemeClr w14:val="tx1"/>
                        </w14:solidFill>
                      </w14:textFill>
                    </w:rPr>
                  </w:pPr>
                  <w:r>
                    <w:rPr>
                      <w:rFonts w:hint="eastAsia" w:ascii="Times New Roman" w:hAnsi="Times New Roman" w:eastAsia="宋体" w:cs="宋体"/>
                      <w:b/>
                      <w:bCs/>
                      <w:color w:val="000000" w:themeColor="text1"/>
                      <w:kern w:val="2"/>
                      <w:sz w:val="21"/>
                      <w:szCs w:val="21"/>
                      <w:highlight w:val="none"/>
                      <w:lang w:val="en-US" w:eastAsia="zh-CN" w:bidi="ar"/>
                      <w14:textFill>
                        <w14:solidFill>
                          <w14:schemeClr w14:val="tx1"/>
                        </w14:solidFill>
                      </w14:textFill>
                    </w:rPr>
                    <w:t>昼间</w:t>
                  </w:r>
                </w:p>
              </w:tc>
              <w:tc>
                <w:tcPr>
                  <w:tcW w:w="426"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b/>
                      <w:bCs/>
                      <w:color w:val="000000" w:themeColor="text1"/>
                      <w:szCs w:val="21"/>
                      <w:highlight w:val="none"/>
                      <w:lang w:val="en-US"/>
                      <w14:textFill>
                        <w14:solidFill>
                          <w14:schemeClr w14:val="tx1"/>
                        </w14:solidFill>
                      </w14:textFill>
                    </w:rPr>
                  </w:pPr>
                  <w:r>
                    <w:rPr>
                      <w:rFonts w:hint="eastAsia" w:ascii="Times New Roman" w:hAnsi="Times New Roman" w:eastAsia="宋体" w:cs="宋体"/>
                      <w:b/>
                      <w:bCs/>
                      <w:color w:val="000000" w:themeColor="text1"/>
                      <w:kern w:val="2"/>
                      <w:sz w:val="21"/>
                      <w:szCs w:val="21"/>
                      <w:highlight w:val="none"/>
                      <w:lang w:val="en-US" w:eastAsia="zh-CN" w:bidi="ar"/>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571"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color w:val="000000" w:themeColor="text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施工期</w:t>
                  </w:r>
                </w:p>
              </w:tc>
              <w:tc>
                <w:tcPr>
                  <w:tcW w:w="3104"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color w:val="000000" w:themeColor="text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《建筑施工场界环境噪声排放标准》（</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GB12523-2011</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w:t>
                  </w:r>
                </w:p>
              </w:tc>
              <w:tc>
                <w:tcPr>
                  <w:tcW w:w="897"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70</w:t>
                  </w:r>
                </w:p>
              </w:tc>
              <w:tc>
                <w:tcPr>
                  <w:tcW w:w="426"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55</w:t>
                  </w:r>
                </w:p>
              </w:tc>
            </w:tr>
          </w:tbl>
          <w:p>
            <w:pPr>
              <w:pStyle w:val="19"/>
              <w:keepNext w:val="0"/>
              <w:keepLines w:val="0"/>
              <w:widowControl w:val="0"/>
              <w:suppressLineNumbers w:val="0"/>
              <w:spacing w:before="0" w:beforeAutospacing="0" w:after="0" w:afterAutospacing="0" w:line="480" w:lineRule="exact"/>
              <w:ind w:left="0" w:leftChars="0" w:right="0" w:firstLine="480" w:firstLineChars="200"/>
              <w:jc w:val="both"/>
              <w:rPr>
                <w:rFonts w:hint="eastAsia" w:ascii="Times New Roman" w:hAnsi="Times New Roman" w:cs="宋体"/>
                <w:b w:val="0"/>
                <w:bCs w:val="0"/>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cs="宋体"/>
                <w:b w:val="0"/>
                <w:bCs w:val="0"/>
                <w:color w:val="000000" w:themeColor="text1"/>
                <w:kern w:val="0"/>
                <w:sz w:val="24"/>
                <w:szCs w:val="24"/>
                <w:highlight w:val="none"/>
                <w:lang w:val="en-US" w:eastAsia="zh-CN" w:bidi="ar"/>
                <w14:textFill>
                  <w14:solidFill>
                    <w14:schemeClr w14:val="tx1"/>
                  </w14:solidFill>
                </w14:textFill>
              </w:rPr>
              <w:t>运营期噪声执行《声环境质量标准》（GB3096-2008）中2类和4a类标准。</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表3-15  项目施工期噪声排放标准限值（单位：</w:t>
            </w:r>
            <w:r>
              <w:rPr>
                <w:rFonts w:hint="default" w:ascii="黑体" w:hAnsi="黑体" w:eastAsia="黑体" w:cs="黑体"/>
                <w:color w:val="000000" w:themeColor="text1"/>
                <w:kern w:val="0"/>
                <w:sz w:val="24"/>
                <w:szCs w:val="24"/>
                <w:highlight w:val="none"/>
                <w:lang w:val="en-US" w:eastAsia="zh-CN" w:bidi="ar"/>
                <w14:textFill>
                  <w14:solidFill>
                    <w14:schemeClr w14:val="tx1"/>
                  </w14:solidFill>
                </w14:textFill>
              </w:rPr>
              <w:t>dB[A]</w:t>
            </w: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82"/>
              <w:gridCol w:w="2268"/>
              <w:gridCol w:w="2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2" w:type="dxa"/>
                </w:tcPr>
                <w:p>
                  <w:pPr>
                    <w:keepNext w:val="0"/>
                    <w:keepLines w:val="0"/>
                    <w:widowControl w:val="0"/>
                    <w:suppressLineNumbers w:val="0"/>
                    <w:spacing w:before="0" w:beforeAutospacing="0" w:after="0" w:afterAutospacing="0"/>
                    <w:ind w:left="0" w:right="0"/>
                    <w:jc w:val="left"/>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声环境功能区划分范围</w:t>
                  </w:r>
                </w:p>
              </w:tc>
              <w:tc>
                <w:tcPr>
                  <w:tcW w:w="2268" w:type="dxa"/>
                </w:tcPr>
                <w:p>
                  <w:pPr>
                    <w:keepNext w:val="0"/>
                    <w:keepLines w:val="0"/>
                    <w:widowControl w:val="0"/>
                    <w:suppressLineNumbers w:val="0"/>
                    <w:spacing w:before="0" w:beforeAutospacing="0" w:after="0" w:afterAutospacing="0"/>
                    <w:ind w:left="0" w:right="0"/>
                    <w:jc w:val="left"/>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声环境功能区类别</w:t>
                  </w:r>
                </w:p>
              </w:tc>
              <w:tc>
                <w:tcPr>
                  <w:tcW w:w="2051" w:type="dxa"/>
                </w:tcPr>
                <w:p>
                  <w:pPr>
                    <w:keepNext w:val="0"/>
                    <w:keepLines w:val="0"/>
                    <w:widowControl w:val="0"/>
                    <w:suppressLineNumbers w:val="0"/>
                    <w:spacing w:before="0" w:beforeAutospacing="0" w:after="0" w:afterAutospacing="0"/>
                    <w:ind w:left="0" w:right="0"/>
                    <w:jc w:val="left"/>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2" w:type="dxa"/>
                </w:tcPr>
                <w:p>
                  <w:pPr>
                    <w:keepNext w:val="0"/>
                    <w:keepLines w:val="0"/>
                    <w:widowControl w:val="0"/>
                    <w:suppressLineNumbers w:val="0"/>
                    <w:spacing w:before="0" w:beforeAutospacing="0" w:after="0" w:afterAutospacing="0"/>
                    <w:ind w:left="0" w:right="0"/>
                    <w:jc w:val="left"/>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道路边界线外</w:t>
                  </w:r>
                  <w:r>
                    <w:rPr>
                      <w:rFonts w:hint="default" w:ascii="Times New Roman" w:hAnsi="Times New Roman" w:eastAsia="宋体" w:cs="宋体"/>
                      <w:color w:val="000000" w:themeColor="text1"/>
                      <w:kern w:val="2"/>
                      <w:sz w:val="21"/>
                      <w:szCs w:val="21"/>
                      <w:highlight w:val="none"/>
                      <w:lang w:val="en-US" w:eastAsia="zh-CN" w:bidi="ar"/>
                      <w14:textFill>
                        <w14:solidFill>
                          <w14:schemeClr w14:val="tx1"/>
                        </w14:solidFill>
                      </w14:textFill>
                    </w:rPr>
                    <w:t>35m</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范围内的区域，当临街建筑高于三层部分楼房（含三层）时，临街建筑面向拟建道路一层至拟道路边界线的区域</w:t>
                  </w:r>
                </w:p>
              </w:tc>
              <w:tc>
                <w:tcPr>
                  <w:tcW w:w="2268" w:type="dxa"/>
                </w:tcPr>
                <w:p>
                  <w:pPr>
                    <w:keepNext w:val="0"/>
                    <w:keepLines w:val="0"/>
                    <w:widowControl w:val="0"/>
                    <w:suppressLineNumbers w:val="0"/>
                    <w:spacing w:before="0" w:beforeAutospacing="0" w:after="0" w:afterAutospacing="0"/>
                    <w:ind w:left="0" w:right="0"/>
                    <w:jc w:val="left"/>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4a类</w:t>
                  </w:r>
                </w:p>
              </w:tc>
              <w:tc>
                <w:tcPr>
                  <w:tcW w:w="2051" w:type="dxa"/>
                  <w:vMerge w:val="restart"/>
                </w:tcPr>
                <w:p>
                  <w:pPr>
                    <w:keepNext w:val="0"/>
                    <w:keepLines w:val="0"/>
                    <w:widowControl w:val="0"/>
                    <w:suppressLineNumbers w:val="0"/>
                    <w:spacing w:before="0" w:beforeAutospacing="0" w:after="0" w:afterAutospacing="0"/>
                    <w:ind w:left="0" w:right="0"/>
                    <w:jc w:val="left"/>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《声环境质量标准》</w:t>
                  </w:r>
                </w:p>
                <w:p>
                  <w:pPr>
                    <w:keepNext w:val="0"/>
                    <w:keepLines w:val="0"/>
                    <w:widowControl w:val="0"/>
                    <w:suppressLineNumbers w:val="0"/>
                    <w:spacing w:before="0" w:beforeAutospacing="0" w:after="0" w:afterAutospacing="0"/>
                    <w:ind w:left="0" w:right="0"/>
                    <w:jc w:val="left"/>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w:t>
                  </w:r>
                  <w:r>
                    <w:rPr>
                      <w:rFonts w:hint="default" w:ascii="Times New Roman" w:hAnsi="Times New Roman" w:eastAsia="宋体" w:cs="宋体"/>
                      <w:color w:val="000000" w:themeColor="text1"/>
                      <w:kern w:val="2"/>
                      <w:sz w:val="21"/>
                      <w:szCs w:val="21"/>
                      <w:highlight w:val="none"/>
                      <w:lang w:val="en-US" w:eastAsia="zh-CN" w:bidi="ar"/>
                      <w14:textFill>
                        <w14:solidFill>
                          <w14:schemeClr w14:val="tx1"/>
                        </w14:solidFill>
                      </w14:textFill>
                    </w:rPr>
                    <w:t>GB3096-2008</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w:t>
                  </w:r>
                </w:p>
                <w:p>
                  <w:pPr>
                    <w:keepNext w:val="0"/>
                    <w:keepLines w:val="0"/>
                    <w:widowControl w:val="0"/>
                    <w:suppressLineNumbers w:val="0"/>
                    <w:spacing w:before="0" w:beforeAutospacing="0" w:after="0" w:afterAutospacing="0"/>
                    <w:ind w:left="0" w:right="0"/>
                    <w:jc w:val="left"/>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2" w:type="dxa"/>
                </w:tcPr>
                <w:p>
                  <w:pPr>
                    <w:keepNext w:val="0"/>
                    <w:keepLines w:val="0"/>
                    <w:widowControl w:val="0"/>
                    <w:suppressLineNumbers w:val="0"/>
                    <w:spacing w:before="0" w:beforeAutospacing="0" w:after="0" w:afterAutospacing="0"/>
                    <w:ind w:left="0" w:right="0"/>
                    <w:jc w:val="left"/>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道路边界线外</w:t>
                  </w:r>
                  <w:r>
                    <w:rPr>
                      <w:rFonts w:hint="default" w:ascii="Times New Roman" w:hAnsi="Times New Roman" w:eastAsia="宋体" w:cs="宋体"/>
                      <w:color w:val="000000" w:themeColor="text1"/>
                      <w:kern w:val="2"/>
                      <w:sz w:val="21"/>
                      <w:szCs w:val="21"/>
                      <w:highlight w:val="none"/>
                      <w:lang w:val="en-US" w:eastAsia="zh-CN" w:bidi="ar"/>
                      <w14:textFill>
                        <w14:solidFill>
                          <w14:schemeClr w14:val="tx1"/>
                        </w14:solidFill>
                      </w14:textFill>
                    </w:rPr>
                    <w:t>35m</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以外区，当临路建筑高于三层时，临路建筑物第二排（含）起以外的区域；道路沿线两侧学校、卫生院</w:t>
                  </w:r>
                </w:p>
              </w:tc>
              <w:tc>
                <w:tcPr>
                  <w:tcW w:w="2268" w:type="dxa"/>
                </w:tcPr>
                <w:p>
                  <w:pPr>
                    <w:keepNext w:val="0"/>
                    <w:keepLines w:val="0"/>
                    <w:widowControl w:val="0"/>
                    <w:suppressLineNumbers w:val="0"/>
                    <w:spacing w:before="0" w:beforeAutospacing="0" w:after="0" w:afterAutospacing="0"/>
                    <w:ind w:left="0" w:right="0"/>
                    <w:jc w:val="left"/>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宋体"/>
                      <w:color w:val="000000" w:themeColor="text1"/>
                      <w:kern w:val="2"/>
                      <w:sz w:val="21"/>
                      <w:szCs w:val="21"/>
                      <w:highlight w:val="none"/>
                      <w:lang w:val="en-US" w:eastAsia="zh-CN" w:bidi="ar"/>
                      <w14:textFill>
                        <w14:solidFill>
                          <w14:schemeClr w14:val="tx1"/>
                        </w14:solidFill>
                      </w14:textFill>
                    </w:rPr>
                    <w:t>2</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类</w:t>
                  </w:r>
                </w:p>
                <w:p>
                  <w:pPr>
                    <w:keepNext w:val="0"/>
                    <w:keepLines w:val="0"/>
                    <w:widowControl w:val="0"/>
                    <w:suppressLineNumbers w:val="0"/>
                    <w:spacing w:before="0" w:beforeAutospacing="0" w:after="0" w:afterAutospacing="0"/>
                    <w:ind w:left="0" w:right="0"/>
                    <w:jc w:val="left"/>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pPr>
                </w:p>
              </w:tc>
              <w:tc>
                <w:tcPr>
                  <w:tcW w:w="2051" w:type="dxa"/>
                  <w:vMerge w:val="continue"/>
                </w:tcPr>
                <w:p>
                  <w:pPr>
                    <w:pStyle w:val="19"/>
                    <w:keepNext w:val="0"/>
                    <w:keepLines w:val="0"/>
                    <w:widowControl w:val="0"/>
                    <w:suppressLineNumbers w:val="0"/>
                    <w:spacing w:before="0" w:beforeAutospacing="0" w:after="0" w:afterAutospacing="0" w:line="480" w:lineRule="exact"/>
                    <w:ind w:left="0" w:right="0"/>
                    <w:jc w:val="center"/>
                    <w:rPr>
                      <w:rFonts w:hint="eastAsia" w:ascii="Times New Roman" w:hAnsi="Times New Roman" w:cs="宋体"/>
                      <w:b/>
                      <w:bCs/>
                      <w:color w:val="000000" w:themeColor="text1"/>
                      <w:kern w:val="0"/>
                      <w:sz w:val="24"/>
                      <w:szCs w:val="24"/>
                      <w:highlight w:val="none"/>
                      <w:vertAlign w:val="baseline"/>
                      <w:lang w:val="en-US" w:eastAsia="zh-CN" w:bidi="ar"/>
                      <w14:textFill>
                        <w14:solidFill>
                          <w14:schemeClr w14:val="tx1"/>
                        </w14:solidFill>
                      </w14:textFill>
                    </w:rPr>
                  </w:pPr>
                </w:p>
              </w:tc>
            </w:tr>
          </w:tbl>
          <w:p>
            <w:pPr>
              <w:pStyle w:val="19"/>
              <w:keepNext w:val="0"/>
              <w:keepLines w:val="0"/>
              <w:widowControl w:val="0"/>
              <w:suppressLineNumbers w:val="0"/>
              <w:spacing w:before="0" w:beforeAutospacing="0" w:after="0" w:afterAutospacing="0" w:line="480" w:lineRule="exact"/>
              <w:ind w:left="0" w:leftChars="0" w:right="0" w:firstLine="482" w:firstLineChars="200"/>
              <w:jc w:val="both"/>
              <w:rPr>
                <w:color w:val="000000" w:themeColor="text1"/>
                <w:szCs w:val="24"/>
                <w:highlight w:val="none"/>
                <w:lang w:val="zh-CN" w:eastAsia="zh-CN"/>
                <w14:textFill>
                  <w14:solidFill>
                    <w14:schemeClr w14:val="tx1"/>
                  </w14:solidFill>
                </w14:textFill>
              </w:rPr>
            </w:pPr>
            <w:r>
              <w:rPr>
                <w:rFonts w:hint="eastAsia" w:ascii="Times New Roman" w:hAnsi="Times New Roman" w:cs="宋体"/>
                <w:b/>
                <w:bCs/>
                <w:color w:val="000000" w:themeColor="text1"/>
                <w:kern w:val="0"/>
                <w:sz w:val="24"/>
                <w:szCs w:val="24"/>
                <w:highlight w:val="none"/>
                <w:lang w:val="en-US" w:eastAsia="zh-CN" w:bidi="ar"/>
                <w14:textFill>
                  <w14:solidFill>
                    <w14:schemeClr w14:val="tx1"/>
                  </w14:solidFill>
                </w14:textFill>
              </w:rPr>
              <w:t>4、</w:t>
            </w:r>
            <w:r>
              <w:rPr>
                <w:rFonts w:hint="eastAsia" w:ascii="Times New Roman" w:hAnsi="Times New Roman" w:eastAsia="宋体" w:cs="宋体"/>
                <w:b/>
                <w:bCs/>
                <w:color w:val="000000" w:themeColor="text1"/>
                <w:kern w:val="0"/>
                <w:sz w:val="24"/>
                <w:szCs w:val="24"/>
                <w:highlight w:val="none"/>
                <w:lang w:val="zh-CN" w:eastAsia="zh-CN" w:bidi="ar"/>
                <w14:textFill>
                  <w14:solidFill>
                    <w14:schemeClr w14:val="tx1"/>
                  </w14:solidFill>
                </w14:textFill>
              </w:rPr>
              <w:t>营运期</w:t>
            </w:r>
          </w:p>
          <w:p>
            <w:pPr>
              <w:pStyle w:val="19"/>
              <w:keepNext w:val="0"/>
              <w:keepLines w:val="0"/>
              <w:widowControl w:val="0"/>
              <w:suppressLineNumbers w:val="0"/>
              <w:spacing w:before="0" w:beforeAutospacing="0" w:after="0" w:afterAutospacing="0" w:line="480" w:lineRule="exact"/>
              <w:ind w:left="0" w:leftChars="0" w:right="0" w:firstLine="480" w:firstLineChars="200"/>
              <w:jc w:val="both"/>
              <w:rPr>
                <w:rFonts w:hint="default"/>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宋体"/>
                <w:b w:val="0"/>
                <w:bCs w:val="0"/>
                <w:color w:val="000000" w:themeColor="text1"/>
                <w:kern w:val="0"/>
                <w:sz w:val="24"/>
                <w:szCs w:val="24"/>
                <w:highlight w:val="none"/>
                <w:lang w:val="en-US" w:eastAsia="zh-CN" w:bidi="ar"/>
                <w14:textFill>
                  <w14:solidFill>
                    <w14:schemeClr w14:val="tx1"/>
                  </w14:solidFill>
                </w14:textFill>
              </w:rPr>
              <w:t>施工期</w:t>
            </w:r>
            <w:r>
              <w:rPr>
                <w:rFonts w:hint="eastAsia" w:ascii="Times New Roman" w:hAnsi="Times New Roman" w:cs="宋体"/>
                <w:b w:val="0"/>
                <w:bCs w:val="0"/>
                <w:color w:val="000000" w:themeColor="text1"/>
                <w:kern w:val="0"/>
                <w:sz w:val="24"/>
                <w:szCs w:val="24"/>
                <w:highlight w:val="none"/>
                <w:lang w:val="en-US" w:eastAsia="zh-CN" w:bidi="ar"/>
                <w14:textFill>
                  <w14:solidFill>
                    <w14:schemeClr w14:val="tx1"/>
                  </w14:solidFill>
                </w14:textFill>
              </w:rPr>
              <w:t>和</w:t>
            </w:r>
            <w:r>
              <w:rPr>
                <w:rFonts w:hint="eastAsia" w:ascii="Times New Roman" w:hAnsi="Times New Roman" w:eastAsia="宋体" w:cs="宋体"/>
                <w:b w:val="0"/>
                <w:bCs w:val="0"/>
                <w:color w:val="000000" w:themeColor="text1"/>
                <w:kern w:val="0"/>
                <w:sz w:val="24"/>
                <w:szCs w:val="24"/>
                <w:highlight w:val="none"/>
                <w:lang w:val="en-US" w:eastAsia="zh-CN" w:bidi="ar"/>
                <w14:textFill>
                  <w14:solidFill>
                    <w14:schemeClr w14:val="tx1"/>
                  </w14:solidFill>
                </w14:textFill>
              </w:rPr>
              <w:t>营运期</w:t>
            </w:r>
            <w:r>
              <w:rPr>
                <w:rFonts w:hint="eastAsia" w:ascii="Times New Roman" w:hAnsi="Times New Roman" w:cs="宋体"/>
                <w:b w:val="0"/>
                <w:bCs w:val="0"/>
                <w:color w:val="000000" w:themeColor="text1"/>
                <w:kern w:val="0"/>
                <w:sz w:val="24"/>
                <w:szCs w:val="24"/>
                <w:highlight w:val="none"/>
                <w:lang w:val="en-US" w:eastAsia="zh-CN" w:bidi="ar"/>
                <w14:textFill>
                  <w14:solidFill>
                    <w14:schemeClr w14:val="tx1"/>
                  </w14:solidFill>
                </w14:textFill>
              </w:rPr>
              <w:t>固废均执行以下标准：</w:t>
            </w:r>
          </w:p>
          <w:p>
            <w:pPr>
              <w:pStyle w:val="19"/>
              <w:keepNext w:val="0"/>
              <w:keepLines w:val="0"/>
              <w:widowControl w:val="0"/>
              <w:suppressLineNumbers w:val="0"/>
              <w:spacing w:before="0" w:beforeAutospacing="0" w:after="0" w:afterAutospacing="0" w:line="480" w:lineRule="exact"/>
              <w:ind w:left="0" w:leftChars="0" w:right="0" w:firstLine="480" w:firstLineChars="200"/>
              <w:jc w:val="both"/>
              <w:rPr>
                <w:rFonts w:hint="eastAsia"/>
                <w:color w:val="000000" w:themeColor="text1"/>
                <w:highlight w:val="none"/>
                <w:lang w:eastAsia="zh-CN"/>
                <w14:textFill>
                  <w14:solidFill>
                    <w14:schemeClr w14:val="tx1"/>
                  </w14:solidFill>
                </w14:textFill>
              </w:rPr>
            </w:pPr>
            <w:r>
              <w:rPr>
                <w:rFonts w:hint="eastAsia" w:ascii="Times New Roman" w:hAnsi="Times New Roman" w:eastAsia="宋体" w:cs="宋体"/>
                <w:color w:val="000000" w:themeColor="text1"/>
                <w:kern w:val="0"/>
                <w:sz w:val="24"/>
                <w:szCs w:val="24"/>
                <w:highlight w:val="none"/>
                <w:lang w:val="zh-CN" w:eastAsia="zh-CN" w:bidi="ar"/>
                <w14:textFill>
                  <w14:solidFill>
                    <w14:schemeClr w14:val="tx1"/>
                  </w14:solidFill>
                </w14:textFill>
              </w:rPr>
              <w:t>一般工业固体废物执行《一般工业固体废物贮存和填埋污染控制标准》（</w:t>
            </w:r>
            <w:r>
              <w:rPr>
                <w:rFonts w:hint="default" w:ascii="Times New Roman" w:hAnsi="Times New Roman" w:eastAsia="宋体" w:cs="宋体"/>
                <w:color w:val="000000" w:themeColor="text1"/>
                <w:kern w:val="0"/>
                <w:sz w:val="24"/>
                <w:szCs w:val="24"/>
                <w:highlight w:val="none"/>
                <w:lang w:val="zh-CN" w:eastAsia="zh-CN" w:bidi="ar"/>
                <w14:textFill>
                  <w14:solidFill>
                    <w14:schemeClr w14:val="tx1"/>
                  </w14:solidFill>
                </w14:textFill>
              </w:rPr>
              <w:t>GB18599-2020</w:t>
            </w:r>
            <w:r>
              <w:rPr>
                <w:rFonts w:hint="eastAsia" w:ascii="Times New Roman" w:hAnsi="Times New Roman" w:eastAsia="宋体" w:cs="宋体"/>
                <w:color w:val="000000" w:themeColor="text1"/>
                <w:kern w:val="0"/>
                <w:sz w:val="24"/>
                <w:szCs w:val="24"/>
                <w:highlight w:val="none"/>
                <w:lang w:val="zh-CN" w:eastAsia="zh-CN" w:bidi="ar"/>
                <w14:textFill>
                  <w14:solidFill>
                    <w14:schemeClr w14:val="tx1"/>
                  </w14:solidFill>
                </w14:textFill>
              </w:rPr>
              <w:t>）中相关标准；危险废物执行</w:t>
            </w:r>
            <w:r>
              <w:rPr>
                <w:rFonts w:hint="eastAsia" w:ascii="Times New Roman" w:hAnsi="Times New Roman" w:cs="宋体"/>
                <w:color w:val="000000" w:themeColor="text1"/>
                <w:kern w:val="0"/>
                <w:sz w:val="24"/>
                <w:szCs w:val="24"/>
                <w:highlight w:val="none"/>
                <w:lang w:val="zh-CN" w:eastAsia="zh-CN" w:bidi="ar"/>
                <w14:textFill>
                  <w14:solidFill>
                    <w14:schemeClr w14:val="tx1"/>
                  </w14:solidFill>
                </w14:textFill>
              </w:rPr>
              <w:t>《</w:t>
            </w:r>
            <w:r>
              <w:rPr>
                <w:rFonts w:hint="eastAsia" w:ascii="Times New Roman" w:hAnsi="Times New Roman" w:eastAsia="宋体" w:cs="宋体"/>
                <w:color w:val="000000" w:themeColor="text1"/>
                <w:kern w:val="0"/>
                <w:sz w:val="24"/>
                <w:szCs w:val="24"/>
                <w:highlight w:val="none"/>
                <w:lang w:val="zh-CN" w:eastAsia="zh-CN" w:bidi="ar"/>
                <w14:textFill>
                  <w14:solidFill>
                    <w14:schemeClr w14:val="tx1"/>
                  </w14:solidFill>
                </w14:textFill>
              </w:rPr>
              <w:t>危险废物贮存污染控制标准</w:t>
            </w:r>
            <w:r>
              <w:rPr>
                <w:rFonts w:hint="eastAsia" w:ascii="Times New Roman" w:hAnsi="Times New Roman" w:cs="宋体"/>
                <w:color w:val="000000" w:themeColor="text1"/>
                <w:kern w:val="0"/>
                <w:sz w:val="24"/>
                <w:szCs w:val="24"/>
                <w:highlight w:val="none"/>
                <w:lang w:val="zh-CN" w:eastAsia="zh-CN" w:bidi="ar"/>
                <w14:textFill>
                  <w14:solidFill>
                    <w14:schemeClr w14:val="tx1"/>
                  </w14:solidFill>
                </w14:textFill>
              </w:rPr>
              <w:t>》</w:t>
            </w:r>
            <w:r>
              <w:rPr>
                <w:rFonts w:hint="eastAsia" w:ascii="Times New Roman" w:hAnsi="Times New Roman" w:eastAsia="宋体" w:cs="宋体"/>
                <w:color w:val="000000" w:themeColor="text1"/>
                <w:kern w:val="0"/>
                <w:sz w:val="24"/>
                <w:szCs w:val="24"/>
                <w:highlight w:val="none"/>
                <w:lang w:val="zh-CN" w:eastAsia="zh-CN" w:bidi="ar"/>
                <w14:textFill>
                  <w14:solidFill>
                    <w14:schemeClr w14:val="tx1"/>
                  </w14:solidFill>
                </w14:textFill>
              </w:rPr>
              <w:t>（GB18597—2023</w:t>
            </w:r>
            <w:r>
              <w:rPr>
                <w:rFonts w:hint="eastAsia" w:ascii="Times New Roman" w:hAnsi="Times New Roman" w:cs="宋体"/>
                <w:color w:val="000000" w:themeColor="text1"/>
                <w:kern w:val="0"/>
                <w:sz w:val="24"/>
                <w:szCs w:val="24"/>
                <w:highlight w:val="none"/>
                <w:lang w:val="zh-CN" w:eastAsia="zh-CN" w:bidi="ar"/>
                <w14:textFill>
                  <w14:solidFill>
                    <w14:schemeClr w14:val="tx1"/>
                  </w14:solidFill>
                </w14:textFill>
              </w:rPr>
              <w:t>）</w:t>
            </w:r>
            <w:r>
              <w:rPr>
                <w:rFonts w:hint="eastAsia" w:ascii="Times New Roman" w:hAnsi="Times New Roman" w:eastAsia="宋体" w:cs="宋体"/>
                <w:color w:val="000000" w:themeColor="text1"/>
                <w:kern w:val="0"/>
                <w:sz w:val="24"/>
                <w:szCs w:val="24"/>
                <w:highlight w:val="none"/>
                <w:lang w:val="zh-CN" w:eastAsia="zh-CN"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738" w:type="dxa"/>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kern w:val="0"/>
                <w:sz w:val="24"/>
                <w:szCs w:val="24"/>
                <w:highlight w:val="none"/>
                <w:lang w:val="en-US" w:eastAsia="zh-CN" w:bidi="ar-SA"/>
                <w14:textFill>
                  <w14:solidFill>
                    <w14:schemeClr w14:val="tx1"/>
                  </w14:solidFill>
                </w14:textFill>
              </w:rPr>
              <w:t>其他</w:t>
            </w:r>
          </w:p>
        </w:tc>
        <w:tc>
          <w:tcPr>
            <w:tcW w:w="8527" w:type="dxa"/>
            <w:vAlign w:val="center"/>
          </w:tcPr>
          <w:p>
            <w:pPr>
              <w:pStyle w:val="19"/>
              <w:keepNext w:val="0"/>
              <w:keepLines w:val="0"/>
              <w:widowControl w:val="0"/>
              <w:suppressLineNumbers w:val="0"/>
              <w:spacing w:before="0" w:beforeAutospacing="0" w:after="0" w:afterAutospacing="0" w:line="480" w:lineRule="exact"/>
              <w:ind w:left="0" w:leftChars="0" w:right="0" w:firstLine="480" w:firstLineChars="200"/>
              <w:jc w:val="both"/>
              <w:rPr>
                <w:rFonts w:hint="eastAsia" w:ascii="Times New Roman" w:hAnsi="Times New Roman" w:eastAsia="宋体" w:cs="宋体"/>
                <w:color w:val="000000" w:themeColor="text1"/>
                <w:kern w:val="0"/>
                <w:sz w:val="24"/>
                <w:szCs w:val="24"/>
                <w:highlight w:val="none"/>
                <w:lang w:val="zh-CN" w:eastAsia="zh-CN" w:bidi="ar"/>
                <w14:textFill>
                  <w14:solidFill>
                    <w14:schemeClr w14:val="tx1"/>
                  </w14:solidFill>
                </w14:textFill>
              </w:rPr>
            </w:pPr>
            <w:r>
              <w:rPr>
                <w:rFonts w:hint="eastAsia" w:ascii="Times New Roman" w:hAnsi="Times New Roman" w:eastAsia="宋体" w:cs="宋体"/>
                <w:color w:val="000000" w:themeColor="text1"/>
                <w:kern w:val="0"/>
                <w:sz w:val="24"/>
                <w:szCs w:val="24"/>
                <w:highlight w:val="none"/>
                <w:lang w:val="zh-CN" w:eastAsia="zh-CN" w:bidi="ar"/>
                <w14:textFill>
                  <w14:solidFill>
                    <w14:schemeClr w14:val="tx1"/>
                  </w14:solidFill>
                </w14:textFill>
              </w:rPr>
              <w:t>本项目为道路建设工程，</w:t>
            </w:r>
            <w:r>
              <w:rPr>
                <w:rFonts w:hint="eastAsia" w:ascii="Times New Roman" w:hAnsi="Times New Roman" w:cs="宋体"/>
                <w:color w:val="000000" w:themeColor="text1"/>
                <w:kern w:val="0"/>
                <w:sz w:val="24"/>
                <w:szCs w:val="24"/>
                <w:highlight w:val="none"/>
                <w:lang w:val="en-US" w:eastAsia="zh-CN" w:bidi="ar"/>
                <w14:textFill>
                  <w14:solidFill>
                    <w14:schemeClr w14:val="tx1"/>
                  </w14:solidFill>
                </w14:textFill>
              </w:rPr>
              <w:t>不</w:t>
            </w:r>
            <w:r>
              <w:rPr>
                <w:rFonts w:hint="eastAsia" w:ascii="Times New Roman" w:hAnsi="Times New Roman" w:eastAsia="宋体" w:cs="宋体"/>
                <w:color w:val="000000" w:themeColor="text1"/>
                <w:kern w:val="0"/>
                <w:sz w:val="24"/>
                <w:szCs w:val="24"/>
                <w:highlight w:val="none"/>
                <w:lang w:val="zh-CN" w:eastAsia="zh-CN" w:bidi="ar"/>
                <w14:textFill>
                  <w14:solidFill>
                    <w14:schemeClr w14:val="tx1"/>
                  </w14:solidFill>
                </w14:textFill>
              </w:rPr>
              <w:t>设置总量控制指标。</w:t>
            </w:r>
          </w:p>
          <w:p>
            <w:pPr>
              <w:pStyle w:val="19"/>
              <w:keepNext w:val="0"/>
              <w:keepLines w:val="0"/>
              <w:widowControl w:val="0"/>
              <w:suppressLineNumbers w:val="0"/>
              <w:spacing w:before="0" w:beforeAutospacing="0" w:after="0" w:afterAutospacing="0" w:line="480" w:lineRule="exact"/>
              <w:ind w:left="0" w:leftChars="0" w:right="0" w:firstLine="480" w:firstLineChars="200"/>
              <w:jc w:val="both"/>
              <w:rPr>
                <w:rFonts w:hint="eastAsia" w:ascii="Times New Roman" w:hAnsi="Times New Roman" w:eastAsia="宋体" w:cs="宋体"/>
                <w:color w:val="000000" w:themeColor="text1"/>
                <w:kern w:val="0"/>
                <w:sz w:val="24"/>
                <w:szCs w:val="24"/>
                <w:highlight w:val="none"/>
                <w:lang w:val="zh-CN" w:eastAsia="zh-CN" w:bidi="ar"/>
                <w14:textFill>
                  <w14:solidFill>
                    <w14:schemeClr w14:val="tx1"/>
                  </w14:solidFill>
                </w14:textFill>
              </w:rPr>
            </w:pPr>
          </w:p>
          <w:p>
            <w:pPr>
              <w:pStyle w:val="19"/>
              <w:keepNext w:val="0"/>
              <w:keepLines w:val="0"/>
              <w:widowControl w:val="0"/>
              <w:suppressLineNumbers w:val="0"/>
              <w:spacing w:before="0" w:beforeAutospacing="0" w:after="0" w:afterAutospacing="0" w:line="480" w:lineRule="exact"/>
              <w:ind w:left="0" w:leftChars="0" w:right="0" w:firstLine="480" w:firstLineChars="200"/>
              <w:jc w:val="both"/>
              <w:rPr>
                <w:rFonts w:hint="eastAsia" w:ascii="Times New Roman" w:hAnsi="Times New Roman" w:eastAsia="宋体" w:cs="宋体"/>
                <w:color w:val="000000" w:themeColor="text1"/>
                <w:kern w:val="0"/>
                <w:sz w:val="24"/>
                <w:szCs w:val="24"/>
                <w:highlight w:val="none"/>
                <w:lang w:val="zh-CN" w:eastAsia="zh-CN" w:bidi="ar"/>
                <w14:textFill>
                  <w14:solidFill>
                    <w14:schemeClr w14:val="tx1"/>
                  </w14:solidFill>
                </w14:textFill>
              </w:rPr>
            </w:pPr>
          </w:p>
          <w:p>
            <w:pPr>
              <w:pStyle w:val="19"/>
              <w:keepNext w:val="0"/>
              <w:keepLines w:val="0"/>
              <w:widowControl w:val="0"/>
              <w:suppressLineNumbers w:val="0"/>
              <w:spacing w:before="0" w:beforeAutospacing="0" w:after="0" w:afterAutospacing="0" w:line="480" w:lineRule="exact"/>
              <w:ind w:left="0" w:leftChars="0" w:right="0" w:firstLine="480" w:firstLineChars="200"/>
              <w:jc w:val="both"/>
              <w:rPr>
                <w:rFonts w:hint="eastAsia" w:ascii="Times New Roman" w:hAnsi="Times New Roman" w:eastAsia="宋体" w:cs="宋体"/>
                <w:color w:val="000000" w:themeColor="text1"/>
                <w:kern w:val="0"/>
                <w:sz w:val="24"/>
                <w:szCs w:val="24"/>
                <w:highlight w:val="none"/>
                <w:lang w:val="zh-CN" w:eastAsia="zh-CN" w:bidi="ar"/>
                <w14:textFill>
                  <w14:solidFill>
                    <w14:schemeClr w14:val="tx1"/>
                  </w14:solidFill>
                </w14:textFill>
              </w:rPr>
            </w:pPr>
          </w:p>
        </w:tc>
      </w:tr>
    </w:tbl>
    <w:p>
      <w:pPr>
        <w:pStyle w:val="19"/>
        <w:jc w:val="center"/>
        <w:outlineLvl w:val="0"/>
        <w:rPr>
          <w:rFonts w:ascii="Times New Roman" w:hAnsi="Times New Roman"/>
          <w:b/>
          <w:bCs/>
          <w:snapToGrid w:val="0"/>
          <w:color w:val="000000" w:themeColor="text1"/>
          <w:sz w:val="30"/>
          <w:szCs w:val="30"/>
          <w:highlight w:val="none"/>
          <w14:textFill>
            <w14:solidFill>
              <w14:schemeClr w14:val="tx1"/>
            </w14:solidFill>
          </w14:textFill>
        </w:rPr>
        <w:sectPr>
          <w:pgSz w:w="11906" w:h="16838"/>
          <w:pgMar w:top="1440" w:right="1800" w:bottom="1440" w:left="1800" w:header="851" w:footer="1077" w:gutter="0"/>
          <w:cols w:space="425" w:num="1"/>
          <w:docGrid w:linePitch="312" w:charSpace="0"/>
        </w:sectPr>
      </w:pPr>
    </w:p>
    <w:p>
      <w:pPr>
        <w:pStyle w:val="19"/>
        <w:jc w:val="center"/>
        <w:outlineLvl w:val="0"/>
        <w:rPr>
          <w:rFonts w:ascii="Times New Roman" w:hAnsi="Times New Roman"/>
          <w:b/>
          <w:bCs/>
          <w:snapToGrid w:val="0"/>
          <w:color w:val="000000" w:themeColor="text1"/>
          <w:sz w:val="30"/>
          <w:szCs w:val="30"/>
          <w:highlight w:val="none"/>
          <w14:textFill>
            <w14:solidFill>
              <w14:schemeClr w14:val="tx1"/>
            </w14:solidFill>
          </w14:textFill>
        </w:rPr>
      </w:pPr>
      <w:r>
        <w:rPr>
          <w:rFonts w:ascii="Times New Roman" w:hAnsi="Times New Roman"/>
          <w:b/>
          <w:bCs/>
          <w:snapToGrid w:val="0"/>
          <w:color w:val="000000" w:themeColor="text1"/>
          <w:sz w:val="30"/>
          <w:szCs w:val="30"/>
          <w:highlight w:val="none"/>
          <w14:textFill>
            <w14:solidFill>
              <w14:schemeClr w14:val="tx1"/>
            </w14:solidFill>
          </w14:textFill>
        </w:rPr>
        <w:t>四、</w:t>
      </w:r>
      <w:r>
        <w:rPr>
          <w:rFonts w:hint="eastAsia" w:ascii="Times New Roman" w:hAnsi="Times New Roman"/>
          <w:b/>
          <w:bCs/>
          <w:snapToGrid w:val="0"/>
          <w:color w:val="000000" w:themeColor="text1"/>
          <w:sz w:val="30"/>
          <w:szCs w:val="30"/>
          <w:highlight w:val="none"/>
          <w14:textFill>
            <w14:solidFill>
              <w14:schemeClr w14:val="tx1"/>
            </w14:solidFill>
          </w14:textFill>
        </w:rPr>
        <w:t>生态环境影响分析</w:t>
      </w:r>
    </w:p>
    <w:tbl>
      <w:tblPr>
        <w:tblStyle w:val="24"/>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83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831" w:hRule="atLeast"/>
          <w:jc w:val="center"/>
        </w:trPr>
        <w:tc>
          <w:tcPr>
            <w:tcW w:w="879" w:type="dxa"/>
            <w:tcMar>
              <w:left w:w="28" w:type="dxa"/>
              <w:right w:w="28" w:type="dxa"/>
            </w:tcMar>
            <w:vAlign w:val="center"/>
          </w:tcPr>
          <w:p>
            <w:pPr>
              <w:pStyle w:val="19"/>
              <w:keepNext w:val="0"/>
              <w:keepLines w:val="0"/>
              <w:suppressLineNumbers w:val="0"/>
              <w:adjustRightInd w:val="0"/>
              <w:snapToGrid w:val="0"/>
              <w:spacing w:before="0" w:beforeAutospacing="0" w:after="0" w:afterAutospacing="0"/>
              <w:ind w:left="0" w:right="0"/>
              <w:jc w:val="center"/>
              <w:rPr>
                <w:rFonts w:ascii="Times New Roman" w:hAnsi="Times New Roman"/>
                <w:bCs/>
                <w:color w:val="000000" w:themeColor="text1"/>
                <w:kern w:val="2"/>
                <w:highlight w:val="none"/>
                <w14:textFill>
                  <w14:solidFill>
                    <w14:schemeClr w14:val="tx1"/>
                  </w14:solidFill>
                </w14:textFill>
              </w:rPr>
            </w:pPr>
            <w:bookmarkStart w:id="4" w:name="_Hlk49796138"/>
            <w:r>
              <w:rPr>
                <w:rFonts w:ascii="Times New Roman" w:hAnsi="Times New Roman"/>
                <w:bCs/>
                <w:color w:val="000000" w:themeColor="text1"/>
                <w:spacing w:val="10"/>
                <w:kern w:val="2"/>
                <w:highlight w:val="none"/>
                <w14:textFill>
                  <w14:solidFill>
                    <w14:schemeClr w14:val="tx1"/>
                  </w14:solidFill>
                </w14:textFill>
              </w:rPr>
              <w:t>施工期生态环境影响分析</w:t>
            </w:r>
            <w:bookmarkEnd w:id="4"/>
          </w:p>
        </w:tc>
        <w:tc>
          <w:tcPr>
            <w:tcW w:w="8363" w:type="dxa"/>
          </w:tcPr>
          <w:p>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val="0"/>
                <w:color w:val="000000" w:themeColor="text1"/>
                <w:sz w:val="24"/>
                <w:highlight w:val="none"/>
                <w14:textFill>
                  <w14:solidFill>
                    <w14:schemeClr w14:val="tx1"/>
                  </w14:solidFill>
                </w14:textFill>
              </w:rPr>
            </w:pPr>
            <w:r>
              <w:rPr>
                <w:rFonts w:hint="eastAsia"/>
                <w:b/>
                <w:bCs w:val="0"/>
                <w:color w:val="000000" w:themeColor="text1"/>
                <w:sz w:val="24"/>
                <w:highlight w:val="none"/>
                <w14:textFill>
                  <w14:solidFill>
                    <w14:schemeClr w14:val="tx1"/>
                  </w14:solidFill>
                </w14:textFill>
              </w:rPr>
              <w:t>1、施工期环境空气影响分析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本项目所需的商品水泥砼和沥青砼由项目周边水泥混凝土和沥青混凝土搅拌站购进，施工现场不设置混凝土拌合站及沥青搅拌站，但根据需要设置水稳拌合站。本项目</w:t>
            </w:r>
            <w:r>
              <w:rPr>
                <w:rFonts w:hint="eastAsia"/>
                <w:bCs/>
                <w:color w:val="000000" w:themeColor="text1"/>
                <w:sz w:val="24"/>
                <w:highlight w:val="none"/>
                <w:lang w:val="en-US" w:eastAsia="zh-CN"/>
                <w14:textFill>
                  <w14:solidFill>
                    <w14:schemeClr w14:val="tx1"/>
                  </w14:solidFill>
                </w14:textFill>
              </w:rPr>
              <w:t>施工期产生的废气主要</w:t>
            </w:r>
            <w:r>
              <w:rPr>
                <w:rFonts w:hint="eastAsia"/>
                <w:bCs/>
                <w:color w:val="000000" w:themeColor="text1"/>
                <w:sz w:val="24"/>
                <w:highlight w:val="none"/>
                <w14:textFill>
                  <w14:solidFill>
                    <w14:schemeClr w14:val="tx1"/>
                  </w14:solidFill>
                </w14:textFill>
              </w:rPr>
              <w:t>为施工扬尘、</w:t>
            </w:r>
            <w:r>
              <w:rPr>
                <w:rFonts w:hint="eastAsia"/>
                <w:bCs/>
                <w:color w:val="000000" w:themeColor="text1"/>
                <w:sz w:val="24"/>
                <w:highlight w:val="none"/>
                <w:lang w:eastAsia="zh-CN"/>
                <w14:textFill>
                  <w14:solidFill>
                    <w14:schemeClr w14:val="tx1"/>
                  </w14:solidFill>
                </w14:textFill>
              </w:rPr>
              <w:t>水稳拌合粉尘</w:t>
            </w:r>
            <w:r>
              <w:rPr>
                <w:rFonts w:hint="eastAsia"/>
                <w:bCs/>
                <w:color w:val="000000" w:themeColor="text1"/>
                <w:sz w:val="24"/>
                <w:highlight w:val="none"/>
                <w14:textFill>
                  <w14:solidFill>
                    <w14:schemeClr w14:val="tx1"/>
                  </w14:solidFill>
                </w14:textFill>
              </w:rPr>
              <w:t>、焊接烟尘、沥青烟气、车辆及施工机械</w:t>
            </w:r>
            <w:r>
              <w:rPr>
                <w:rFonts w:hint="eastAsia"/>
                <w:bCs/>
                <w:color w:val="000000" w:themeColor="text1"/>
                <w:sz w:val="24"/>
                <w:highlight w:val="none"/>
                <w:lang w:eastAsia="zh-CN"/>
                <w14:textFill>
                  <w14:solidFill>
                    <w14:schemeClr w14:val="tx1"/>
                  </w14:solidFill>
                </w14:textFill>
              </w:rPr>
              <w:t>燃油废气、</w:t>
            </w:r>
            <w:r>
              <w:rPr>
                <w:rFonts w:hint="eastAsia"/>
                <w:bCs/>
                <w:color w:val="000000" w:themeColor="text1"/>
                <w:sz w:val="24"/>
                <w:highlight w:val="none"/>
                <w14:textFill>
                  <w14:solidFill>
                    <w14:schemeClr w14:val="tx1"/>
                  </w14:solidFill>
                </w14:textFill>
              </w:rPr>
              <w:t>临时施工场地和临时堆土场</w:t>
            </w:r>
            <w:r>
              <w:rPr>
                <w:rFonts w:hint="eastAsia"/>
                <w:bCs/>
                <w:color w:val="000000" w:themeColor="text1"/>
                <w:sz w:val="24"/>
                <w:highlight w:val="none"/>
                <w:lang w:val="en-US" w:eastAsia="zh-CN"/>
                <w14:textFill>
                  <w14:solidFill>
                    <w14:schemeClr w14:val="tx1"/>
                  </w14:solidFill>
                </w14:textFill>
              </w:rPr>
              <w:t>扬尘</w:t>
            </w:r>
            <w:r>
              <w:rPr>
                <w:rFonts w:hint="eastAsia"/>
                <w:bCs/>
                <w:color w:val="000000" w:themeColor="text1"/>
                <w:sz w:val="24"/>
                <w:highlight w:val="none"/>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1</w:t>
            </w:r>
            <w:r>
              <w:rPr>
                <w:rFonts w:hint="eastAsia"/>
                <w:bCs/>
                <w:color w:val="000000" w:themeColor="text1"/>
                <w:sz w:val="24"/>
                <w:highlight w:val="none"/>
                <w14:textFill>
                  <w14:solidFill>
                    <w14:schemeClr w14:val="tx1"/>
                  </w14:solidFill>
                </w14:textFill>
              </w:rPr>
              <w:t>）施工扬尘污染</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工程施工过程中，影响周围环境空气质量的主要因素是扬尘。工程施工过程产生的扬尘与施工方式、施工机械化程度、施工区的土质、弃土的装卸运输条件及气候条件等多种因素有关。施工过程扬尘的产生源主要有：</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①干燥地表的开挖和钻孔产生的粉尘，一部分悬浮于空气中，一部分随风飘落到附近地面和建筑物表面；</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②开挖土石方在未运走前被晒干和风力作用，变成粉尘扬起带到空气中；</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③开挖土石方在装卸过程中造成部分粉尘扬起和洒落；</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④土石方运输过程，车辆把原先散落地面的尘土再次扬起，同时又带出新的泥土，</w:t>
            </w:r>
            <w:r>
              <w:rPr>
                <w:rFonts w:hint="eastAsia"/>
                <w:bCs/>
                <w:color w:val="000000" w:themeColor="text1"/>
                <w:sz w:val="24"/>
                <w:highlight w:val="none"/>
                <w:lang w:val="en-US" w:eastAsia="zh-CN"/>
                <w14:textFill>
                  <w14:solidFill>
                    <w14:schemeClr w14:val="tx1"/>
                  </w14:solidFill>
                </w14:textFill>
              </w:rPr>
              <w:t>从而产生新的扬尘</w:t>
            </w:r>
            <w:r>
              <w:rPr>
                <w:rFonts w:hint="eastAsia"/>
                <w:bCs/>
                <w:color w:val="000000" w:themeColor="text1"/>
                <w:sz w:val="24"/>
                <w:highlight w:val="none"/>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⑤在施工期间，原植</w:t>
            </w:r>
            <w:bookmarkStart w:id="5" w:name="_GoBack"/>
            <w:bookmarkEnd w:id="5"/>
            <w:r>
              <w:rPr>
                <w:rFonts w:hint="eastAsia"/>
                <w:bCs/>
                <w:color w:val="000000" w:themeColor="text1"/>
                <w:sz w:val="24"/>
                <w:highlight w:val="none"/>
                <w14:textFill>
                  <w14:solidFill>
                    <w14:schemeClr w14:val="tx1"/>
                  </w14:solidFill>
                </w14:textFill>
              </w:rPr>
              <w:t>被被破坏后，地表裸露，水分蒸发，形成干松颗粒，使得地表松散，在风力较大时或回填土方时，均会产生粉尘扬起。</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施工过程扬尘污染的危害性是不容忽视的。施工现场的作业人员和周围居民吸入大量的微小尘埃不但会引起各种呼吸道疾病，而且扬尘夹带大量的病原菌还会传染其他各种疾病，严重地影响施工人员及周围居民的身体健康。扬尘飘落在各种建筑物和树木枝叶上，影响景观。运输车辆引起的二次扬尘影响时间最长，其影响程度也因施工场地内路面破坏，泥土裸露而明显加重。在车速、车重不变的情况下，道路扬尘量的产生完全取决于道路表面积尘量，积尘量越大，二次扬尘越严重。</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若在施工时采取控制措施，包括工地洒水和降低风速（通过挡风栅栏），对施工场地内裸露的地面及临时堆土压实预防扬尘，则可明显减少扬尘量。据估算，采用以上措施并规定在积尘路面减速行驶，清洗车轮和车体，用帆布覆盖易起扬尘的物料等，则工地扬尘可减少80%，可大大减少工地扬尘对周围空气环境的影响。</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根据上述分析可知，本项目施工期扬尘会对其周边敏感点造成一定程度影响。建设单位应加强管理，合理布局施工场地，最大可能减少施工期扬尘的影响，施工过程应采用围蔽措施，最大程度减少扬尘对敏感点造成的影响。</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bCs/>
                <w:color w:val="000000" w:themeColor="text1"/>
                <w:sz w:val="24"/>
                <w:highlight w:val="none"/>
                <w:lang w:eastAsia="zh-CN"/>
                <w14:textFill>
                  <w14:solidFill>
                    <w14:schemeClr w14:val="tx1"/>
                  </w14:solidFill>
                </w14:textFill>
              </w:rPr>
            </w:pP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2）</w:t>
            </w:r>
            <w:r>
              <w:rPr>
                <w:rFonts w:hint="eastAsia"/>
                <w:bCs/>
                <w:color w:val="000000" w:themeColor="text1"/>
                <w:sz w:val="24"/>
                <w:highlight w:val="none"/>
                <w:lang w:eastAsia="zh-CN"/>
                <w14:textFill>
                  <w14:solidFill>
                    <w14:schemeClr w14:val="tx1"/>
                  </w14:solidFill>
                </w14:textFill>
              </w:rPr>
              <w:t>水稳拌合粉尘</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施工拌合为湿式作业，搅拌过程中基本无粉尘溢出，但在投料过程中会产生一定量粉尘，拌合设备设置在施工临时场地内，远离周边农户。在投料过程中通过洒水，同时规范操作人员的投料作业，避开大风天气，可大大降低投料粉尘的产生。</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3</w:t>
            </w:r>
            <w:r>
              <w:rPr>
                <w:rFonts w:hint="eastAsia"/>
                <w:bCs/>
                <w:color w:val="000000" w:themeColor="text1"/>
                <w:sz w:val="24"/>
                <w:highlight w:val="none"/>
                <w14:textFill>
                  <w14:solidFill>
                    <w14:schemeClr w14:val="tx1"/>
                  </w14:solidFill>
                </w14:textFill>
              </w:rPr>
              <w:t>）焊接烟尘</w:t>
            </w:r>
          </w:p>
          <w:p>
            <w:pPr>
              <w:keepNext w:val="0"/>
              <w:keepLines w:val="0"/>
              <w:suppressLineNumbers w:val="0"/>
              <w:adjustRightInd w:val="0"/>
              <w:snapToGrid w:val="0"/>
              <w:spacing w:before="0" w:beforeAutospacing="0" w:after="0" w:afterAutospacing="0" w:line="360" w:lineRule="auto"/>
              <w:ind w:left="0" w:right="0" w:firstLine="480" w:firstLineChars="200"/>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在桥梁施工过程中，桥墩钢筋笼需要在临时施工场地内进行预制，此过程会产生较多的焊接烟尘，在桥梁现场施工过程中，部分金属件、钢筋笼等需要进行零星点焊作业，此过程也会产生焊接烟尘。</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4</w:t>
            </w:r>
            <w:r>
              <w:rPr>
                <w:rFonts w:hint="eastAsia"/>
                <w:bCs/>
                <w:color w:val="000000" w:themeColor="text1"/>
                <w:sz w:val="24"/>
                <w:highlight w:val="none"/>
                <w14:textFill>
                  <w14:solidFill>
                    <w14:schemeClr w14:val="tx1"/>
                  </w14:solidFill>
                </w14:textFill>
              </w:rPr>
              <w:t>）沥青烟气</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项目建设过程中，沥青烟是一个主要的空气污染源，本项目所需的沥青均采用商品沥青，不进行现场熬制和搅拌，因此沥青烟主要产生在运输和摊铺过程</w:t>
            </w:r>
            <w:r>
              <w:rPr>
                <w:rFonts w:hint="eastAsia"/>
                <w:bCs/>
                <w:color w:val="000000" w:themeColor="text1"/>
                <w:sz w:val="24"/>
                <w:highlight w:val="none"/>
                <w:lang w:val="en-US" w:eastAsia="zh-CN"/>
                <w14:textFill>
                  <w14:solidFill>
                    <w14:schemeClr w14:val="tx1"/>
                  </w14:solidFill>
                </w14:textFill>
              </w:rPr>
              <w:t>中</w:t>
            </w:r>
            <w:r>
              <w:rPr>
                <w:rFonts w:hint="eastAsia"/>
                <w:bCs/>
                <w:color w:val="000000" w:themeColor="text1"/>
                <w:sz w:val="24"/>
                <w:highlight w:val="none"/>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本项目不在现场设置沥青拌合站，采用外购成品沥青，</w:t>
            </w:r>
            <w:r>
              <w:rPr>
                <w:rFonts w:hint="eastAsia"/>
                <w:bCs/>
                <w:color w:val="000000" w:themeColor="text1"/>
                <w:sz w:val="24"/>
                <w:highlight w:val="none"/>
                <w:lang w:val="en-US" w:eastAsia="zh-CN"/>
                <w14:textFill>
                  <w14:solidFill>
                    <w14:schemeClr w14:val="tx1"/>
                  </w14:solidFill>
                </w14:textFill>
              </w:rPr>
              <w:t>通过</w:t>
            </w:r>
            <w:r>
              <w:rPr>
                <w:rFonts w:hint="eastAsia"/>
                <w:bCs/>
                <w:color w:val="000000" w:themeColor="text1"/>
                <w:sz w:val="24"/>
                <w:highlight w:val="none"/>
                <w14:textFill>
                  <w14:solidFill>
                    <w14:schemeClr w14:val="tx1"/>
                  </w14:solidFill>
                </w14:textFill>
              </w:rPr>
              <w:t>无热源或高温容器将沥青运至铺浇工地，沥青混合料摊铺温度控制在135～165℃，对施工现场的影响只有沥青冷却固化过程中挥发的少量烟气</w:t>
            </w: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14:textFill>
                  <w14:solidFill>
                    <w14:schemeClr w14:val="tx1"/>
                  </w14:solidFill>
                </w14:textFill>
              </w:rPr>
              <w:t>施工单位在沥青路面铺设过程</w:t>
            </w:r>
            <w:r>
              <w:rPr>
                <w:rFonts w:hint="eastAsia"/>
                <w:bCs/>
                <w:color w:val="000000" w:themeColor="text1"/>
                <w:sz w:val="24"/>
                <w:highlight w:val="none"/>
                <w:lang w:val="en-US" w:eastAsia="zh-CN"/>
                <w14:textFill>
                  <w14:solidFill>
                    <w14:schemeClr w14:val="tx1"/>
                  </w14:solidFill>
                </w14:textFill>
              </w:rPr>
              <w:t>中</w:t>
            </w:r>
            <w:r>
              <w:rPr>
                <w:rFonts w:hint="eastAsia"/>
                <w:bCs/>
                <w:color w:val="000000" w:themeColor="text1"/>
                <w:sz w:val="24"/>
                <w:highlight w:val="none"/>
                <w14:textFill>
                  <w14:solidFill>
                    <w14:schemeClr w14:val="tx1"/>
                  </w14:solidFill>
                </w14:textFill>
              </w:rPr>
              <w:t>应严格控制沥青的温度，</w:t>
            </w:r>
            <w:r>
              <w:rPr>
                <w:rFonts w:hint="eastAsia"/>
                <w:bCs/>
                <w:color w:val="000000" w:themeColor="text1"/>
                <w:sz w:val="24"/>
                <w:highlight w:val="none"/>
                <w:lang w:val="en-US" w:eastAsia="zh-CN"/>
                <w14:textFill>
                  <w14:solidFill>
                    <w14:schemeClr w14:val="tx1"/>
                  </w14:solidFill>
                </w14:textFill>
              </w:rPr>
              <w:t>避免</w:t>
            </w:r>
            <w:r>
              <w:rPr>
                <w:rFonts w:hint="eastAsia"/>
                <w:bCs/>
                <w:color w:val="000000" w:themeColor="text1"/>
                <w:sz w:val="24"/>
                <w:highlight w:val="none"/>
                <w14:textFill>
                  <w14:solidFill>
                    <w14:schemeClr w14:val="tx1"/>
                  </w14:solidFill>
                </w14:textFill>
              </w:rPr>
              <w:t>产生过多有害气体。沥青摊铺工序</w:t>
            </w:r>
            <w:r>
              <w:rPr>
                <w:rFonts w:hint="eastAsia"/>
                <w:bCs/>
                <w:color w:val="000000" w:themeColor="text1"/>
                <w:sz w:val="24"/>
                <w:highlight w:val="none"/>
                <w:lang w:val="en-US" w:eastAsia="zh-CN"/>
                <w14:textFill>
                  <w14:solidFill>
                    <w14:schemeClr w14:val="tx1"/>
                  </w14:solidFill>
                </w14:textFill>
              </w:rPr>
              <w:t>产生的沥青烟量远低于</w:t>
            </w:r>
            <w:r>
              <w:rPr>
                <w:rFonts w:hint="eastAsia"/>
                <w:bCs/>
                <w:color w:val="000000" w:themeColor="text1"/>
                <w:sz w:val="24"/>
                <w:highlight w:val="none"/>
                <w14:textFill>
                  <w14:solidFill>
                    <w14:schemeClr w14:val="tx1"/>
                  </w14:solidFill>
                </w14:textFill>
              </w:rPr>
              <w:t>沥青熔融和搅拌过程</w:t>
            </w:r>
            <w:r>
              <w:rPr>
                <w:rFonts w:hint="eastAsia"/>
                <w:bCs/>
                <w:color w:val="000000" w:themeColor="text1"/>
                <w:sz w:val="24"/>
                <w:highlight w:val="none"/>
                <w:lang w:val="en-US" w:eastAsia="zh-CN"/>
                <w14:textFill>
                  <w14:solidFill>
                    <w14:schemeClr w14:val="tx1"/>
                  </w14:solidFill>
                </w14:textFill>
              </w:rPr>
              <w:t>产生的沥青烟</w:t>
            </w:r>
            <w:r>
              <w:rPr>
                <w:rFonts w:hint="eastAsia"/>
                <w:bCs/>
                <w:color w:val="000000" w:themeColor="text1"/>
                <w:sz w:val="24"/>
                <w:highlight w:val="none"/>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且摊铺现场空间宽阔，空气流动行好，因此沥青烟</w:t>
            </w:r>
            <w:r>
              <w:rPr>
                <w:rFonts w:hint="eastAsia"/>
                <w:bCs/>
                <w:color w:val="000000" w:themeColor="text1"/>
                <w:sz w:val="24"/>
                <w:highlight w:val="none"/>
                <w14:textFill>
                  <w14:solidFill>
                    <w14:schemeClr w14:val="tx1"/>
                  </w14:solidFill>
                </w14:textFill>
              </w:rPr>
              <w:t>对周围环境的影响</w:t>
            </w:r>
            <w:r>
              <w:rPr>
                <w:rFonts w:hint="eastAsia"/>
                <w:bCs/>
                <w:color w:val="000000" w:themeColor="text1"/>
                <w:sz w:val="24"/>
                <w:highlight w:val="none"/>
                <w:lang w:val="en-US" w:eastAsia="zh-CN"/>
                <w14:textFill>
                  <w14:solidFill>
                    <w14:schemeClr w14:val="tx1"/>
                  </w14:solidFill>
                </w14:textFill>
              </w:rPr>
              <w:t>较小</w:t>
            </w:r>
            <w:r>
              <w:rPr>
                <w:rFonts w:hint="eastAsia"/>
                <w:bCs/>
                <w:color w:val="000000" w:themeColor="text1"/>
                <w:sz w:val="24"/>
                <w:highlight w:val="none"/>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5</w:t>
            </w:r>
            <w:r>
              <w:rPr>
                <w:rFonts w:hint="eastAsia"/>
                <w:bCs/>
                <w:color w:val="000000" w:themeColor="text1"/>
                <w:sz w:val="24"/>
                <w:highlight w:val="none"/>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车辆及</w:t>
            </w:r>
            <w:r>
              <w:rPr>
                <w:rFonts w:hint="eastAsia"/>
                <w:bCs/>
                <w:color w:val="000000" w:themeColor="text1"/>
                <w:sz w:val="24"/>
                <w:highlight w:val="none"/>
                <w14:textFill>
                  <w14:solidFill>
                    <w14:schemeClr w14:val="tx1"/>
                  </w14:solidFill>
                </w14:textFill>
              </w:rPr>
              <w:t>施工机械燃油废气</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施工燃油废气主要来自以燃油为动力的运输车辆</w:t>
            </w:r>
            <w:r>
              <w:rPr>
                <w:rFonts w:hint="eastAsia"/>
                <w:bCs/>
                <w:color w:val="000000" w:themeColor="text1"/>
                <w:sz w:val="24"/>
                <w:highlight w:val="none"/>
                <w:lang w:val="en-US" w:eastAsia="zh-CN"/>
                <w14:textFill>
                  <w14:solidFill>
                    <w14:schemeClr w14:val="tx1"/>
                  </w14:solidFill>
                </w14:textFill>
              </w:rPr>
              <w:t>和</w:t>
            </w:r>
            <w:r>
              <w:rPr>
                <w:rFonts w:hint="eastAsia"/>
                <w:bCs/>
                <w:color w:val="000000" w:themeColor="text1"/>
                <w:sz w:val="24"/>
                <w:highlight w:val="none"/>
                <w14:textFill>
                  <w14:solidFill>
                    <w14:schemeClr w14:val="tx1"/>
                  </w14:solidFill>
                </w14:textFill>
              </w:rPr>
              <w:t>施工机械。</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运输车辆</w:t>
            </w:r>
            <w:r>
              <w:rPr>
                <w:rFonts w:hint="eastAsia"/>
                <w:bCs/>
                <w:color w:val="000000" w:themeColor="text1"/>
                <w:sz w:val="24"/>
                <w:highlight w:val="none"/>
                <w:lang w:val="en-US" w:eastAsia="zh-CN"/>
                <w14:textFill>
                  <w14:solidFill>
                    <w14:schemeClr w14:val="tx1"/>
                  </w14:solidFill>
                </w14:textFill>
              </w:rPr>
              <w:t>和</w:t>
            </w:r>
            <w:r>
              <w:rPr>
                <w:rFonts w:hint="eastAsia"/>
                <w:bCs/>
                <w:color w:val="000000" w:themeColor="text1"/>
                <w:sz w:val="24"/>
                <w:highlight w:val="none"/>
                <w14:textFill>
                  <w14:solidFill>
                    <w14:schemeClr w14:val="tx1"/>
                  </w14:solidFill>
                </w14:textFill>
              </w:rPr>
              <w:t>施工机械有载重车、柴油动力机械等燃油机械，排放的污染物主要</w:t>
            </w:r>
            <w:r>
              <w:rPr>
                <w:rFonts w:hint="eastAsia"/>
                <w:bCs/>
                <w:color w:val="000000" w:themeColor="text1"/>
                <w:sz w:val="24"/>
                <w:highlight w:val="none"/>
                <w:lang w:val="en-US" w:eastAsia="zh-CN"/>
                <w14:textFill>
                  <w14:solidFill>
                    <w14:schemeClr w14:val="tx1"/>
                  </w14:solidFill>
                </w14:textFill>
              </w:rPr>
              <w:t>为</w:t>
            </w:r>
            <w:r>
              <w:rPr>
                <w:rFonts w:hint="eastAsia"/>
                <w:bCs/>
                <w:color w:val="000000" w:themeColor="text1"/>
                <w:sz w:val="24"/>
                <w:highlight w:val="none"/>
                <w14:textFill>
                  <w14:solidFill>
                    <w14:schemeClr w14:val="tx1"/>
                  </w14:solidFill>
                </w14:textFill>
              </w:rPr>
              <w:t>CO、SO</w:t>
            </w:r>
            <w:r>
              <w:rPr>
                <w:rFonts w:hint="eastAsia"/>
                <w:bCs/>
                <w:color w:val="000000" w:themeColor="text1"/>
                <w:sz w:val="24"/>
                <w:highlight w:val="none"/>
                <w:vertAlign w:val="subscript"/>
                <w14:textFill>
                  <w14:solidFill>
                    <w14:schemeClr w14:val="tx1"/>
                  </w14:solidFill>
                </w14:textFill>
              </w:rPr>
              <w:t>2</w:t>
            </w:r>
            <w:r>
              <w:rPr>
                <w:rFonts w:hint="eastAsia"/>
                <w:bCs/>
                <w:color w:val="000000" w:themeColor="text1"/>
                <w:sz w:val="24"/>
                <w:highlight w:val="none"/>
                <w14:textFill>
                  <w14:solidFill>
                    <w14:schemeClr w14:val="tx1"/>
                  </w14:solidFill>
                </w14:textFill>
              </w:rPr>
              <w:t>、NO</w:t>
            </w:r>
            <w:r>
              <w:rPr>
                <w:rFonts w:hint="eastAsia"/>
                <w:bCs/>
                <w:color w:val="000000" w:themeColor="text1"/>
                <w:sz w:val="24"/>
                <w:highlight w:val="none"/>
                <w:vertAlign w:val="subscript"/>
                <w14:textFill>
                  <w14:solidFill>
                    <w14:schemeClr w14:val="tx1"/>
                  </w14:solidFill>
                </w14:textFill>
              </w:rPr>
              <w:t>2</w:t>
            </w:r>
            <w:r>
              <w:rPr>
                <w:rFonts w:hint="eastAsia"/>
                <w:bCs/>
                <w:color w:val="000000" w:themeColor="text1"/>
                <w:sz w:val="24"/>
                <w:highlight w:val="none"/>
                <w14:textFill>
                  <w14:solidFill>
                    <w14:schemeClr w14:val="tx1"/>
                  </w14:solidFill>
                </w14:textFill>
              </w:rPr>
              <w:t>、THC等。由于施工机械多为大型机械，单车排放系数较大，但施工机械数量少且较为分散，其污染程度相对较轻。据类比工程监测，在安装尾气净化装置的情况下，距离现场50m处，CO、NO</w:t>
            </w:r>
            <w:r>
              <w:rPr>
                <w:rFonts w:hint="eastAsia"/>
                <w:bCs/>
                <w:color w:val="000000" w:themeColor="text1"/>
                <w:sz w:val="24"/>
                <w:highlight w:val="none"/>
                <w:vertAlign w:val="subscript"/>
                <w14:textFill>
                  <w14:solidFill>
                    <w14:schemeClr w14:val="tx1"/>
                  </w14:solidFill>
                </w14:textFill>
              </w:rPr>
              <w:t>2</w:t>
            </w:r>
            <w:r>
              <w:rPr>
                <w:rFonts w:hint="eastAsia"/>
                <w:bCs/>
                <w:color w:val="000000" w:themeColor="text1"/>
                <w:sz w:val="24"/>
                <w:highlight w:val="none"/>
                <w14:textFill>
                  <w14:solidFill>
                    <w14:schemeClr w14:val="tx1"/>
                  </w14:solidFill>
                </w14:textFill>
              </w:rPr>
              <w:t>1小时平均浓度分别为0.2mg/m</w:t>
            </w:r>
            <w:r>
              <w:rPr>
                <w:rFonts w:hint="eastAsia"/>
                <w:bCs/>
                <w:color w:val="000000" w:themeColor="text1"/>
                <w:sz w:val="24"/>
                <w:highlight w:val="none"/>
                <w:vertAlign w:val="superscript"/>
                <w14:textFill>
                  <w14:solidFill>
                    <w14:schemeClr w14:val="tx1"/>
                  </w14:solidFill>
                </w14:textFill>
              </w:rPr>
              <w:t>3</w:t>
            </w:r>
            <w:r>
              <w:rPr>
                <w:rFonts w:hint="eastAsia"/>
                <w:bCs/>
                <w:color w:val="000000" w:themeColor="text1"/>
                <w:sz w:val="24"/>
                <w:highlight w:val="none"/>
                <w14:textFill>
                  <w14:solidFill>
                    <w14:schemeClr w14:val="tx1"/>
                  </w14:solidFill>
                </w14:textFill>
              </w:rPr>
              <w:t>和0.13mg/m</w:t>
            </w:r>
            <w:r>
              <w:rPr>
                <w:rFonts w:hint="eastAsia"/>
                <w:bCs/>
                <w:color w:val="000000" w:themeColor="text1"/>
                <w:sz w:val="24"/>
                <w:highlight w:val="none"/>
                <w:vertAlign w:val="superscript"/>
                <w14:textFill>
                  <w14:solidFill>
                    <w14:schemeClr w14:val="tx1"/>
                  </w14:solidFill>
                </w14:textFill>
              </w:rPr>
              <w:t>3</w:t>
            </w:r>
            <w:r>
              <w:rPr>
                <w:rFonts w:hint="eastAsia"/>
                <w:bCs/>
                <w:color w:val="000000" w:themeColor="text1"/>
                <w:sz w:val="24"/>
                <w:highlight w:val="none"/>
                <w14:textFill>
                  <w14:solidFill>
                    <w14:schemeClr w14:val="tx1"/>
                  </w14:solidFill>
                </w14:textFill>
              </w:rPr>
              <w:t>，日均浓度分别为0.13mg/m</w:t>
            </w:r>
            <w:r>
              <w:rPr>
                <w:rFonts w:hint="eastAsia"/>
                <w:bCs/>
                <w:color w:val="000000" w:themeColor="text1"/>
                <w:sz w:val="24"/>
                <w:highlight w:val="none"/>
                <w:vertAlign w:val="superscript"/>
                <w14:textFill>
                  <w14:solidFill>
                    <w14:schemeClr w14:val="tx1"/>
                  </w14:solidFill>
                </w14:textFill>
              </w:rPr>
              <w:t>3</w:t>
            </w:r>
            <w:r>
              <w:rPr>
                <w:rFonts w:hint="eastAsia"/>
                <w:bCs/>
                <w:color w:val="000000" w:themeColor="text1"/>
                <w:sz w:val="24"/>
                <w:highlight w:val="none"/>
                <w14:textFill>
                  <w14:solidFill>
                    <w14:schemeClr w14:val="tx1"/>
                  </w14:solidFill>
                </w14:textFill>
              </w:rPr>
              <w:t>和0.062mg/m</w:t>
            </w:r>
            <w:r>
              <w:rPr>
                <w:rFonts w:hint="eastAsia"/>
                <w:bCs/>
                <w:color w:val="000000" w:themeColor="text1"/>
                <w:sz w:val="24"/>
                <w:highlight w:val="none"/>
                <w:vertAlign w:val="superscript"/>
                <w14:textFill>
                  <w14:solidFill>
                    <w14:schemeClr w14:val="tx1"/>
                  </w14:solidFill>
                </w14:textFill>
              </w:rPr>
              <w:t>3</w:t>
            </w:r>
            <w:r>
              <w:rPr>
                <w:rFonts w:hint="eastAsia"/>
                <w:bCs/>
                <w:color w:val="000000" w:themeColor="text1"/>
                <w:sz w:val="24"/>
                <w:highlight w:val="none"/>
                <w14:textFill>
                  <w14:solidFill>
                    <w14:schemeClr w14:val="tx1"/>
                  </w14:solidFill>
                </w14:textFill>
              </w:rPr>
              <w:t>，均能满足《环境空气质量标准》（GB3095-2012）二级标准。</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6</w:t>
            </w:r>
            <w:r>
              <w:rPr>
                <w:rFonts w:hint="eastAsia"/>
                <w:bCs/>
                <w:color w:val="000000" w:themeColor="text1"/>
                <w:sz w:val="24"/>
                <w:highlight w:val="none"/>
                <w14:textFill>
                  <w14:solidFill>
                    <w14:schemeClr w14:val="tx1"/>
                  </w14:solidFill>
                </w14:textFill>
              </w:rPr>
              <w:t>）临时施工场地和临时堆土场</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临时施工场地由于物料堆放及运输车辆往来会产生扬尘</w:t>
            </w: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14:textFill>
                  <w14:solidFill>
                    <w14:schemeClr w14:val="tx1"/>
                  </w14:solidFill>
                </w14:textFill>
              </w:rPr>
              <w:t>临时堆土场</w:t>
            </w:r>
            <w:r>
              <w:rPr>
                <w:rFonts w:hint="eastAsia"/>
                <w:bCs/>
                <w:color w:val="000000" w:themeColor="text1"/>
                <w:sz w:val="24"/>
                <w:highlight w:val="none"/>
                <w:lang w:val="en-US" w:eastAsia="zh-CN"/>
                <w14:textFill>
                  <w14:solidFill>
                    <w14:schemeClr w14:val="tx1"/>
                  </w14:solidFill>
                </w14:textFill>
              </w:rPr>
              <w:t>和临时表土堆场</w:t>
            </w:r>
            <w:r>
              <w:rPr>
                <w:rFonts w:hint="eastAsia"/>
                <w:bCs/>
                <w:color w:val="000000" w:themeColor="text1"/>
                <w:sz w:val="24"/>
                <w:highlight w:val="none"/>
                <w14:textFill>
                  <w14:solidFill>
                    <w14:schemeClr w14:val="tx1"/>
                  </w14:solidFill>
                </w14:textFill>
              </w:rPr>
              <w:t>内</w:t>
            </w:r>
            <w:r>
              <w:rPr>
                <w:rFonts w:hint="eastAsia"/>
                <w:bCs/>
                <w:color w:val="000000" w:themeColor="text1"/>
                <w:sz w:val="24"/>
                <w:highlight w:val="none"/>
                <w:lang w:val="en-US" w:eastAsia="zh-CN"/>
                <w14:textFill>
                  <w14:solidFill>
                    <w14:schemeClr w14:val="tx1"/>
                  </w14:solidFill>
                </w14:textFill>
              </w:rPr>
              <w:t>表层裸露的</w:t>
            </w:r>
            <w:r>
              <w:rPr>
                <w:rFonts w:hint="eastAsia"/>
                <w:bCs/>
                <w:color w:val="000000" w:themeColor="text1"/>
                <w:sz w:val="24"/>
                <w:highlight w:val="none"/>
                <w14:textFill>
                  <w14:solidFill>
                    <w14:schemeClr w14:val="tx1"/>
                  </w14:solidFill>
                </w14:textFill>
              </w:rPr>
              <w:t>土石方若未压实遮盖</w:t>
            </w:r>
            <w:r>
              <w:rPr>
                <w:rFonts w:hint="eastAsia"/>
                <w:bCs/>
                <w:color w:val="000000" w:themeColor="text1"/>
                <w:sz w:val="24"/>
                <w:highlight w:val="none"/>
                <w:lang w:val="en-US" w:eastAsia="zh-CN"/>
                <w14:textFill>
                  <w14:solidFill>
                    <w14:schemeClr w14:val="tx1"/>
                  </w14:solidFill>
                </w14:textFill>
              </w:rPr>
              <w:t>将产生一定扬尘，在</w:t>
            </w:r>
            <w:r>
              <w:rPr>
                <w:rFonts w:hint="eastAsia"/>
                <w:bCs/>
                <w:color w:val="000000" w:themeColor="text1"/>
                <w:sz w:val="24"/>
                <w:highlight w:val="none"/>
                <w14:textFill>
                  <w14:solidFill>
                    <w14:schemeClr w14:val="tx1"/>
                  </w14:solidFill>
                </w14:textFill>
              </w:rPr>
              <w:t>大风</w:t>
            </w:r>
            <w:r>
              <w:rPr>
                <w:rFonts w:hint="eastAsia"/>
                <w:bCs/>
                <w:color w:val="000000" w:themeColor="text1"/>
                <w:sz w:val="24"/>
                <w:highlight w:val="none"/>
                <w:lang w:val="en-US" w:eastAsia="zh-CN"/>
                <w14:textFill>
                  <w14:solidFill>
                    <w14:schemeClr w14:val="tx1"/>
                  </w14:solidFill>
                </w14:textFill>
              </w:rPr>
              <w:t>干燥</w:t>
            </w:r>
            <w:r>
              <w:rPr>
                <w:rFonts w:hint="eastAsia"/>
                <w:bCs/>
                <w:color w:val="000000" w:themeColor="text1"/>
                <w:sz w:val="24"/>
                <w:highlight w:val="none"/>
                <w14:textFill>
                  <w14:solidFill>
                    <w14:schemeClr w14:val="tx1"/>
                  </w14:solidFill>
                </w14:textFill>
              </w:rPr>
              <w:t>天气</w:t>
            </w:r>
            <w:r>
              <w:rPr>
                <w:rFonts w:hint="eastAsia"/>
                <w:bCs/>
                <w:color w:val="000000" w:themeColor="text1"/>
                <w:sz w:val="24"/>
                <w:highlight w:val="none"/>
                <w:lang w:val="en-US" w:eastAsia="zh-CN"/>
                <w14:textFill>
                  <w14:solidFill>
                    <w14:schemeClr w14:val="tx1"/>
                  </w14:solidFill>
                </w14:textFill>
              </w:rPr>
              <w:t>下</w:t>
            </w:r>
            <w:r>
              <w:rPr>
                <w:rFonts w:hint="eastAsia"/>
                <w:bCs/>
                <w:color w:val="000000" w:themeColor="text1"/>
                <w:sz w:val="24"/>
                <w:highlight w:val="none"/>
                <w14:textFill>
                  <w14:solidFill>
                    <w14:schemeClr w14:val="tx1"/>
                  </w14:solidFill>
                </w14:textFill>
              </w:rPr>
              <w:t>扬尘污染</w:t>
            </w:r>
            <w:r>
              <w:rPr>
                <w:rFonts w:hint="eastAsia"/>
                <w:bCs/>
                <w:color w:val="000000" w:themeColor="text1"/>
                <w:sz w:val="24"/>
                <w:highlight w:val="none"/>
                <w:lang w:val="en-US" w:eastAsia="zh-CN"/>
                <w14:textFill>
                  <w14:solidFill>
                    <w14:schemeClr w14:val="tx1"/>
                  </w14:solidFill>
                </w14:textFill>
              </w:rPr>
              <w:t>更为严重</w:t>
            </w:r>
            <w:r>
              <w:rPr>
                <w:rFonts w:hint="eastAsia"/>
                <w:bCs/>
                <w:color w:val="000000" w:themeColor="text1"/>
                <w:sz w:val="24"/>
                <w:highlight w:val="none"/>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val="0"/>
                <w:color w:val="000000" w:themeColor="text1"/>
                <w:sz w:val="24"/>
                <w:highlight w:val="none"/>
                <w14:textFill>
                  <w14:solidFill>
                    <w14:schemeClr w14:val="tx1"/>
                  </w14:solidFill>
                </w14:textFill>
              </w:rPr>
            </w:pPr>
            <w:r>
              <w:rPr>
                <w:rFonts w:hint="eastAsia"/>
                <w:b/>
                <w:bCs w:val="0"/>
                <w:color w:val="000000" w:themeColor="text1"/>
                <w:sz w:val="24"/>
                <w:highlight w:val="none"/>
                <w14:textFill>
                  <w14:solidFill>
                    <w14:schemeClr w14:val="tx1"/>
                  </w14:solidFill>
                </w14:textFill>
              </w:rPr>
              <w:t>2、施工期水环境影响分析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施工过程中的水污染物主要来自施工人员的生活污水、</w:t>
            </w:r>
            <w:r>
              <w:rPr>
                <w:rFonts w:hint="eastAsia"/>
                <w:bCs/>
                <w:color w:val="000000" w:themeColor="text1"/>
                <w:sz w:val="24"/>
                <w:highlight w:val="none"/>
                <w:lang w:val="en-US" w:eastAsia="zh-CN"/>
                <w14:textFill>
                  <w14:solidFill>
                    <w14:schemeClr w14:val="tx1"/>
                  </w14:solidFill>
                </w14:textFill>
              </w:rPr>
              <w:t>施工废水（即</w:t>
            </w:r>
            <w:r>
              <w:rPr>
                <w:rFonts w:hint="eastAsia"/>
                <w:bCs/>
                <w:color w:val="000000" w:themeColor="text1"/>
                <w:sz w:val="24"/>
                <w:highlight w:val="none"/>
                <w14:textFill>
                  <w14:solidFill>
                    <w14:schemeClr w14:val="tx1"/>
                  </w14:solidFill>
                </w14:textFill>
              </w:rPr>
              <w:t>车辆</w:t>
            </w:r>
            <w:r>
              <w:rPr>
                <w:rFonts w:hint="eastAsia"/>
                <w:bCs/>
                <w:color w:val="000000" w:themeColor="text1"/>
                <w:sz w:val="24"/>
                <w:highlight w:val="none"/>
                <w:lang w:val="en-US" w:eastAsia="zh-CN"/>
                <w14:textFill>
                  <w14:solidFill>
                    <w14:schemeClr w14:val="tx1"/>
                  </w14:solidFill>
                </w14:textFill>
              </w:rPr>
              <w:t>及</w:t>
            </w:r>
            <w:r>
              <w:rPr>
                <w:rFonts w:hint="eastAsia"/>
                <w:bCs/>
                <w:color w:val="000000" w:themeColor="text1"/>
                <w:sz w:val="24"/>
                <w:highlight w:val="none"/>
                <w14:textFill>
                  <w14:solidFill>
                    <w14:schemeClr w14:val="tx1"/>
                  </w14:solidFill>
                </w14:textFill>
              </w:rPr>
              <w:t>机械设备产生的冲洗废水</w:t>
            </w: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14:textFill>
                  <w14:solidFill>
                    <w14:schemeClr w14:val="tx1"/>
                  </w14:solidFill>
                </w14:textFill>
              </w:rPr>
              <w:t>、雨季冲刷污水、道路养护水。</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1）</w:t>
            </w:r>
            <w:r>
              <w:rPr>
                <w:rFonts w:hint="eastAsia"/>
                <w:bCs/>
                <w:color w:val="000000" w:themeColor="text1"/>
                <w:sz w:val="24"/>
                <w:highlight w:val="none"/>
                <w14:textFill>
                  <w14:solidFill>
                    <w14:schemeClr w14:val="tx1"/>
                  </w14:solidFill>
                </w14:textFill>
              </w:rPr>
              <w:t>生活污水</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本项目施工现场</w:t>
            </w:r>
            <w:r>
              <w:rPr>
                <w:rFonts w:hint="eastAsia"/>
                <w:bCs/>
                <w:color w:val="000000" w:themeColor="text1"/>
                <w:sz w:val="24"/>
                <w:highlight w:val="none"/>
                <w:lang w:val="en-US" w:eastAsia="zh-CN"/>
                <w14:textFill>
                  <w14:solidFill>
                    <w14:schemeClr w14:val="tx1"/>
                  </w14:solidFill>
                </w14:textFill>
              </w:rPr>
              <w:t>不</w:t>
            </w:r>
            <w:r>
              <w:rPr>
                <w:rFonts w:hint="eastAsia"/>
                <w:bCs/>
                <w:color w:val="000000" w:themeColor="text1"/>
                <w:sz w:val="24"/>
                <w:highlight w:val="none"/>
                <w14:textFill>
                  <w14:solidFill>
                    <w14:schemeClr w14:val="tx1"/>
                  </w14:solidFill>
                </w14:textFill>
              </w:rPr>
              <w:t>设置施工营地，施工人员</w:t>
            </w:r>
            <w:r>
              <w:rPr>
                <w:rFonts w:hint="eastAsia"/>
                <w:bCs/>
                <w:color w:val="000000" w:themeColor="text1"/>
                <w:sz w:val="24"/>
                <w:highlight w:val="none"/>
                <w:lang w:val="en-US" w:eastAsia="zh-CN"/>
                <w14:textFill>
                  <w14:solidFill>
                    <w14:schemeClr w14:val="tx1"/>
                  </w14:solidFill>
                </w14:textFill>
              </w:rPr>
              <w:t>食宿通过</w:t>
            </w:r>
            <w:r>
              <w:rPr>
                <w:rFonts w:hint="eastAsia"/>
                <w:bCs/>
                <w:color w:val="000000" w:themeColor="text1"/>
                <w:sz w:val="24"/>
                <w:highlight w:val="none"/>
                <w14:textFill>
                  <w14:solidFill>
                    <w14:schemeClr w14:val="tx1"/>
                  </w14:solidFill>
                </w14:textFill>
              </w:rPr>
              <w:t>租用附近民房</w:t>
            </w:r>
            <w:r>
              <w:rPr>
                <w:rFonts w:hint="eastAsia"/>
                <w:bCs/>
                <w:color w:val="000000" w:themeColor="text1"/>
                <w:sz w:val="24"/>
                <w:highlight w:val="none"/>
                <w:lang w:val="en-US" w:eastAsia="zh-CN"/>
                <w14:textFill>
                  <w14:solidFill>
                    <w14:schemeClr w14:val="tx1"/>
                  </w14:solidFill>
                </w14:textFill>
              </w:rPr>
              <w:t>解决</w:t>
            </w: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14:textFill>
                  <w14:solidFill>
                    <w14:schemeClr w14:val="tx1"/>
                  </w14:solidFill>
                </w14:textFill>
              </w:rPr>
              <w:t>因此，本项目不存在施工营地生活污水排放，本次环评不对施工人员产生的生活污水进行分析。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bCs/>
                <w:color w:val="000000" w:themeColor="text1"/>
                <w:sz w:val="24"/>
                <w:highlight w:val="none"/>
                <w:lang w:val="en-US" w:eastAsia="zh-CN"/>
                <w14:textFill>
                  <w14:solidFill>
                    <w14:schemeClr w14:val="tx1"/>
                  </w14:solidFill>
                </w14:textFill>
              </w:rPr>
            </w:pP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2）施工废水</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本项目场地</w:t>
            </w:r>
            <w:r>
              <w:rPr>
                <w:rFonts w:hint="eastAsia"/>
                <w:bCs/>
                <w:color w:val="000000" w:themeColor="text1"/>
                <w:sz w:val="24"/>
                <w:highlight w:val="none"/>
                <w:lang w:val="en-US" w:eastAsia="zh-CN"/>
                <w14:textFill>
                  <w14:solidFill>
                    <w14:schemeClr w14:val="tx1"/>
                  </w14:solidFill>
                </w14:textFill>
              </w:rPr>
              <w:t>内</w:t>
            </w:r>
            <w:r>
              <w:rPr>
                <w:rFonts w:hint="eastAsia"/>
                <w:bCs/>
                <w:color w:val="000000" w:themeColor="text1"/>
                <w:sz w:val="24"/>
                <w:highlight w:val="none"/>
                <w14:textFill>
                  <w14:solidFill>
                    <w14:schemeClr w14:val="tx1"/>
                  </w14:solidFill>
                </w14:textFill>
              </w:rPr>
              <w:t>不设机械检修，主要</w:t>
            </w:r>
            <w:r>
              <w:rPr>
                <w:rFonts w:hint="eastAsia"/>
                <w:bCs/>
                <w:color w:val="000000" w:themeColor="text1"/>
                <w:sz w:val="24"/>
                <w:highlight w:val="none"/>
                <w:lang w:val="en-US" w:eastAsia="zh-CN"/>
                <w14:textFill>
                  <w14:solidFill>
                    <w14:schemeClr w14:val="tx1"/>
                  </w14:solidFill>
                </w14:textFill>
              </w:rPr>
              <w:t>利用马踏洞新区</w:t>
            </w:r>
            <w:r>
              <w:rPr>
                <w:rFonts w:hint="eastAsia"/>
                <w:bCs/>
                <w:color w:val="000000" w:themeColor="text1"/>
                <w:sz w:val="24"/>
                <w:highlight w:val="none"/>
                <w14:textFill>
                  <w14:solidFill>
                    <w14:schemeClr w14:val="tx1"/>
                  </w14:solidFill>
                </w14:textFill>
              </w:rPr>
              <w:t>既有的汽修厂</w:t>
            </w:r>
            <w:r>
              <w:rPr>
                <w:rFonts w:hint="eastAsia"/>
                <w:bCs/>
                <w:color w:val="000000" w:themeColor="text1"/>
                <w:sz w:val="24"/>
                <w:highlight w:val="none"/>
                <w:lang w:val="en-US" w:eastAsia="zh-CN"/>
                <w14:textFill>
                  <w14:solidFill>
                    <w14:schemeClr w14:val="tx1"/>
                  </w14:solidFill>
                </w14:textFill>
              </w:rPr>
              <w:t>就近</w:t>
            </w:r>
            <w:r>
              <w:rPr>
                <w:rFonts w:hint="eastAsia"/>
                <w:bCs/>
                <w:color w:val="000000" w:themeColor="text1"/>
                <w:sz w:val="24"/>
                <w:highlight w:val="none"/>
                <w14:textFill>
                  <w14:solidFill>
                    <w14:schemeClr w14:val="tx1"/>
                  </w14:solidFill>
                </w14:textFill>
              </w:rPr>
              <w:t>解决机械维修、保养问题。施工废水主要为车辆</w:t>
            </w:r>
            <w:r>
              <w:rPr>
                <w:rFonts w:hint="eastAsia"/>
                <w:bCs/>
                <w:color w:val="000000" w:themeColor="text1"/>
                <w:sz w:val="24"/>
                <w:highlight w:val="none"/>
                <w:lang w:val="en-US" w:eastAsia="zh-CN"/>
                <w14:textFill>
                  <w14:solidFill>
                    <w14:schemeClr w14:val="tx1"/>
                  </w14:solidFill>
                </w14:textFill>
              </w:rPr>
              <w:t>及</w:t>
            </w:r>
            <w:r>
              <w:rPr>
                <w:rFonts w:hint="eastAsia"/>
                <w:bCs/>
                <w:color w:val="000000" w:themeColor="text1"/>
                <w:sz w:val="24"/>
                <w:highlight w:val="none"/>
                <w14:textFill>
                  <w14:solidFill>
                    <w14:schemeClr w14:val="tx1"/>
                  </w14:solidFill>
                </w14:textFill>
              </w:rPr>
              <w:t>机械设备产生的冲洗废水，</w:t>
            </w:r>
            <w:r>
              <w:rPr>
                <w:rFonts w:hint="eastAsia"/>
                <w:bCs/>
                <w:color w:val="000000" w:themeColor="text1"/>
                <w:sz w:val="24"/>
                <w:highlight w:val="none"/>
                <w:lang w:val="en-US" w:eastAsia="zh-CN"/>
                <w14:textFill>
                  <w14:solidFill>
                    <w14:schemeClr w14:val="tx1"/>
                  </w14:solidFill>
                </w14:textFill>
              </w:rPr>
              <w:t>废水</w:t>
            </w:r>
            <w:r>
              <w:rPr>
                <w:rFonts w:hint="eastAsia"/>
                <w:bCs/>
                <w:color w:val="000000" w:themeColor="text1"/>
                <w:sz w:val="24"/>
                <w:highlight w:val="none"/>
                <w14:textFill>
                  <w14:solidFill>
                    <w14:schemeClr w14:val="tx1"/>
                  </w14:solidFill>
                </w14:textFill>
              </w:rPr>
              <w:t>主要污染因子为石油类、悬浮物。根据本项目建设内容及规模，工程施工时使用的机械设备较多，一般情况下，都会产生冲洗废水</w:t>
            </w: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14:textFill>
                  <w14:solidFill>
                    <w14:schemeClr w14:val="tx1"/>
                  </w14:solidFill>
                </w14:textFill>
              </w:rPr>
              <w:t>冲洗废水经临时隔油沉淀池处理后回用</w:t>
            </w:r>
            <w:r>
              <w:rPr>
                <w:rFonts w:hint="eastAsia"/>
                <w:bCs/>
                <w:color w:val="000000" w:themeColor="text1"/>
                <w:sz w:val="24"/>
                <w:highlight w:val="none"/>
                <w:lang w:val="en-US" w:eastAsia="zh-CN"/>
                <w14:textFill>
                  <w14:solidFill>
                    <w14:schemeClr w14:val="tx1"/>
                  </w14:solidFill>
                </w14:textFill>
              </w:rPr>
              <w:t>于</w:t>
            </w:r>
            <w:r>
              <w:rPr>
                <w:rFonts w:hint="eastAsia"/>
                <w:bCs/>
                <w:color w:val="000000" w:themeColor="text1"/>
                <w:sz w:val="24"/>
                <w:highlight w:val="none"/>
                <w14:textFill>
                  <w14:solidFill>
                    <w14:schemeClr w14:val="tx1"/>
                  </w14:solidFill>
                </w14:textFill>
              </w:rPr>
              <w:t>洒水降尘，</w:t>
            </w:r>
            <w:r>
              <w:rPr>
                <w:rFonts w:hint="eastAsia"/>
                <w:bCs/>
                <w:color w:val="000000" w:themeColor="text1"/>
                <w:sz w:val="24"/>
                <w:highlight w:val="none"/>
                <w:lang w:val="en-US" w:eastAsia="zh-CN"/>
                <w14:textFill>
                  <w14:solidFill>
                    <w14:schemeClr w14:val="tx1"/>
                  </w14:solidFill>
                </w14:textFill>
              </w:rPr>
              <w:t>产生的浮油</w:t>
            </w:r>
            <w:r>
              <w:rPr>
                <w:rFonts w:hint="eastAsia"/>
                <w:bCs/>
                <w:color w:val="000000" w:themeColor="text1"/>
                <w:sz w:val="24"/>
                <w:highlight w:val="none"/>
                <w14:textFill>
                  <w14:solidFill>
                    <w14:schemeClr w14:val="tx1"/>
                  </w14:solidFill>
                </w14:textFill>
              </w:rPr>
              <w:t>交由相应资质单位处理，同时临时隔油沉淀池</w:t>
            </w:r>
            <w:r>
              <w:rPr>
                <w:rFonts w:hint="eastAsia"/>
                <w:bCs/>
                <w:color w:val="000000" w:themeColor="text1"/>
                <w:sz w:val="24"/>
                <w:highlight w:val="none"/>
                <w:lang w:val="en-US" w:eastAsia="zh-CN"/>
                <w14:textFill>
                  <w14:solidFill>
                    <w14:schemeClr w14:val="tx1"/>
                  </w14:solidFill>
                </w14:textFill>
              </w:rPr>
              <w:t>底部</w:t>
            </w:r>
            <w:r>
              <w:rPr>
                <w:rFonts w:hint="eastAsia"/>
                <w:bCs/>
                <w:color w:val="000000" w:themeColor="text1"/>
                <w:sz w:val="24"/>
                <w:highlight w:val="none"/>
                <w14:textFill>
                  <w14:solidFill>
                    <w14:schemeClr w14:val="tx1"/>
                  </w14:solidFill>
                </w14:textFill>
              </w:rPr>
              <w:t>泥沙</w:t>
            </w:r>
            <w:r>
              <w:rPr>
                <w:rFonts w:hint="eastAsia"/>
                <w:bCs/>
                <w:color w:val="000000" w:themeColor="text1"/>
                <w:sz w:val="24"/>
                <w:highlight w:val="none"/>
                <w:lang w:val="en-US" w:eastAsia="zh-CN"/>
                <w14:textFill>
                  <w14:solidFill>
                    <w14:schemeClr w14:val="tx1"/>
                  </w14:solidFill>
                </w14:textFill>
              </w:rPr>
              <w:t>可</w:t>
            </w:r>
            <w:r>
              <w:rPr>
                <w:rFonts w:hint="eastAsia"/>
                <w:bCs/>
                <w:color w:val="000000" w:themeColor="text1"/>
                <w:sz w:val="24"/>
                <w:highlight w:val="none"/>
                <w14:textFill>
                  <w14:solidFill>
                    <w14:schemeClr w14:val="tx1"/>
                  </w14:solidFill>
                </w14:textFill>
              </w:rPr>
              <w:t>作为建筑砂浆回用</w:t>
            </w: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均不外排</w:t>
            </w:r>
            <w:r>
              <w:rPr>
                <w:rFonts w:hint="eastAsia"/>
                <w:bCs/>
                <w:color w:val="000000" w:themeColor="text1"/>
                <w:sz w:val="24"/>
                <w:highlight w:val="none"/>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3）</w:t>
            </w:r>
            <w:r>
              <w:rPr>
                <w:rFonts w:hint="eastAsia"/>
                <w:bCs/>
                <w:color w:val="000000" w:themeColor="text1"/>
                <w:sz w:val="24"/>
                <w:highlight w:val="none"/>
                <w14:textFill>
                  <w14:solidFill>
                    <w14:schemeClr w14:val="tx1"/>
                  </w14:solidFill>
                </w14:textFill>
              </w:rPr>
              <w:t>雨季冲刷污水</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项目施工期间</w:t>
            </w: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临时堆土场</w:t>
            </w:r>
            <w:r>
              <w:rPr>
                <w:rFonts w:hint="eastAsia"/>
                <w:bCs/>
                <w:color w:val="000000" w:themeColor="text1"/>
                <w:sz w:val="24"/>
                <w:highlight w:val="none"/>
                <w14:textFill>
                  <w14:solidFill>
                    <w14:schemeClr w14:val="tx1"/>
                  </w14:solidFill>
                </w14:textFill>
              </w:rPr>
              <w:t>及</w:t>
            </w:r>
            <w:r>
              <w:rPr>
                <w:rFonts w:hint="eastAsia"/>
                <w:bCs/>
                <w:color w:val="000000" w:themeColor="text1"/>
                <w:sz w:val="24"/>
                <w:highlight w:val="none"/>
                <w:lang w:val="en-US" w:eastAsia="zh-CN"/>
                <w14:textFill>
                  <w14:solidFill>
                    <w14:schemeClr w14:val="tx1"/>
                  </w14:solidFill>
                </w14:textFill>
              </w:rPr>
              <w:t>临时</w:t>
            </w:r>
            <w:r>
              <w:rPr>
                <w:rFonts w:hint="eastAsia"/>
                <w:bCs/>
                <w:color w:val="000000" w:themeColor="text1"/>
                <w:sz w:val="24"/>
                <w:highlight w:val="none"/>
                <w14:textFill>
                  <w14:solidFill>
                    <w14:schemeClr w14:val="tx1"/>
                  </w14:solidFill>
                </w14:textFill>
              </w:rPr>
              <w:t>表土堆</w:t>
            </w:r>
            <w:r>
              <w:rPr>
                <w:rFonts w:hint="eastAsia"/>
                <w:bCs/>
                <w:color w:val="000000" w:themeColor="text1"/>
                <w:sz w:val="24"/>
                <w:highlight w:val="none"/>
                <w:lang w:val="en-US" w:eastAsia="zh-CN"/>
                <w14:textFill>
                  <w14:solidFill>
                    <w14:schemeClr w14:val="tx1"/>
                  </w14:solidFill>
                </w14:textFill>
              </w:rPr>
              <w:t>场</w:t>
            </w:r>
            <w:r>
              <w:rPr>
                <w:rFonts w:hint="eastAsia"/>
                <w:bCs/>
                <w:color w:val="000000" w:themeColor="text1"/>
                <w:sz w:val="24"/>
                <w:highlight w:val="none"/>
                <w14:textFill>
                  <w14:solidFill>
                    <w14:schemeClr w14:val="tx1"/>
                  </w14:solidFill>
                </w14:textFill>
              </w:rPr>
              <w:t>遇雨天容易形成含泥雨水，污染物主要集中在一次降雨过程中前10分钟，污染物主要为SS，浓度约1000mg/L。</w:t>
            </w:r>
            <w:r>
              <w:rPr>
                <w:rFonts w:hint="eastAsia"/>
                <w:bCs/>
                <w:color w:val="000000" w:themeColor="text1"/>
                <w:sz w:val="24"/>
                <w:highlight w:val="none"/>
                <w:lang w:val="en-US" w:eastAsia="zh-CN"/>
                <w14:textFill>
                  <w14:solidFill>
                    <w14:schemeClr w14:val="tx1"/>
                  </w14:solidFill>
                </w14:textFill>
              </w:rPr>
              <w:t>堆场四周修建截水沟和沉淀池，收集的废水经截水沟引入</w:t>
            </w:r>
            <w:r>
              <w:rPr>
                <w:rFonts w:hint="eastAsia"/>
                <w:bCs/>
                <w:color w:val="000000" w:themeColor="text1"/>
                <w:sz w:val="24"/>
                <w:highlight w:val="none"/>
                <w14:textFill>
                  <w14:solidFill>
                    <w14:schemeClr w14:val="tx1"/>
                  </w14:solidFill>
                </w14:textFill>
              </w:rPr>
              <w:t>临时沉淀池处理后，</w:t>
            </w:r>
            <w:r>
              <w:rPr>
                <w:rFonts w:hint="eastAsia"/>
                <w:bCs/>
                <w:color w:val="000000" w:themeColor="text1"/>
                <w:sz w:val="24"/>
                <w:highlight w:val="none"/>
                <w:lang w:val="en-US" w:eastAsia="zh-CN"/>
                <w14:textFill>
                  <w14:solidFill>
                    <w14:schemeClr w14:val="tx1"/>
                  </w14:solidFill>
                </w14:textFill>
              </w:rPr>
              <w:t>可</w:t>
            </w:r>
            <w:r>
              <w:rPr>
                <w:rFonts w:hint="eastAsia"/>
                <w:bCs/>
                <w:color w:val="000000" w:themeColor="text1"/>
                <w:sz w:val="24"/>
                <w:highlight w:val="none"/>
                <w14:textFill>
                  <w14:solidFill>
                    <w14:schemeClr w14:val="tx1"/>
                  </w14:solidFill>
                </w14:textFill>
              </w:rPr>
              <w:t>用于施工场地的洒水降尘</w:t>
            </w: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14:textFill>
                  <w14:solidFill>
                    <w14:schemeClr w14:val="tx1"/>
                  </w14:solidFill>
                </w14:textFill>
              </w:rPr>
              <w:t>沉淀池</w:t>
            </w:r>
            <w:r>
              <w:rPr>
                <w:rFonts w:hint="eastAsia"/>
                <w:bCs/>
                <w:color w:val="000000" w:themeColor="text1"/>
                <w:sz w:val="24"/>
                <w:highlight w:val="none"/>
                <w:lang w:val="en-US" w:eastAsia="zh-CN"/>
                <w14:textFill>
                  <w14:solidFill>
                    <w14:schemeClr w14:val="tx1"/>
                  </w14:solidFill>
                </w14:textFill>
              </w:rPr>
              <w:t>底部</w:t>
            </w:r>
            <w:r>
              <w:rPr>
                <w:rFonts w:hint="eastAsia"/>
                <w:bCs/>
                <w:color w:val="000000" w:themeColor="text1"/>
                <w:sz w:val="24"/>
                <w:highlight w:val="none"/>
                <w14:textFill>
                  <w14:solidFill>
                    <w14:schemeClr w14:val="tx1"/>
                  </w14:solidFill>
                </w14:textFill>
              </w:rPr>
              <w:t>泥沙</w:t>
            </w:r>
            <w:r>
              <w:rPr>
                <w:rFonts w:hint="eastAsia"/>
                <w:bCs/>
                <w:color w:val="000000" w:themeColor="text1"/>
                <w:sz w:val="24"/>
                <w:highlight w:val="none"/>
                <w:lang w:val="en-US" w:eastAsia="zh-CN"/>
                <w14:textFill>
                  <w14:solidFill>
                    <w14:schemeClr w14:val="tx1"/>
                  </w14:solidFill>
                </w14:textFill>
              </w:rPr>
              <w:t>可</w:t>
            </w:r>
            <w:r>
              <w:rPr>
                <w:rFonts w:hint="eastAsia"/>
                <w:bCs/>
                <w:color w:val="000000" w:themeColor="text1"/>
                <w:sz w:val="24"/>
                <w:highlight w:val="none"/>
                <w14:textFill>
                  <w14:solidFill>
                    <w14:schemeClr w14:val="tx1"/>
                  </w14:solidFill>
                </w14:textFill>
              </w:rPr>
              <w:t>作为建筑砂浆回用</w:t>
            </w: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均不外排</w:t>
            </w:r>
            <w:r>
              <w:rPr>
                <w:rFonts w:hint="eastAsia"/>
                <w:bCs/>
                <w:color w:val="000000" w:themeColor="text1"/>
                <w:sz w:val="24"/>
                <w:highlight w:val="none"/>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4）</w:t>
            </w:r>
            <w:r>
              <w:rPr>
                <w:rFonts w:hint="eastAsia"/>
                <w:bCs/>
                <w:color w:val="000000" w:themeColor="text1"/>
                <w:sz w:val="24"/>
                <w:highlight w:val="none"/>
                <w14:textFill>
                  <w14:solidFill>
                    <w14:schemeClr w14:val="tx1"/>
                  </w14:solidFill>
                </w14:textFill>
              </w:rPr>
              <w:t>道路养护水</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建好的道路段</w:t>
            </w:r>
            <w:r>
              <w:rPr>
                <w:rFonts w:hint="eastAsia"/>
                <w:bCs/>
                <w:color w:val="000000" w:themeColor="text1"/>
                <w:sz w:val="24"/>
                <w:highlight w:val="none"/>
                <w14:textFill>
                  <w14:solidFill>
                    <w14:schemeClr w14:val="tx1"/>
                  </w14:solidFill>
                </w14:textFill>
              </w:rPr>
              <w:t>采用人工洒水</w:t>
            </w:r>
            <w:r>
              <w:rPr>
                <w:rFonts w:hint="eastAsia"/>
                <w:bCs/>
                <w:color w:val="000000" w:themeColor="text1"/>
                <w:sz w:val="24"/>
                <w:highlight w:val="none"/>
                <w:lang w:val="en-US" w:eastAsia="zh-CN"/>
                <w14:textFill>
                  <w14:solidFill>
                    <w14:schemeClr w14:val="tx1"/>
                  </w14:solidFill>
                </w14:textFill>
              </w:rPr>
              <w:t>方式每日</w:t>
            </w:r>
            <w:r>
              <w:rPr>
                <w:rFonts w:hint="eastAsia"/>
                <w:bCs/>
                <w:color w:val="000000" w:themeColor="text1"/>
                <w:sz w:val="24"/>
                <w:highlight w:val="none"/>
                <w14:textFill>
                  <w14:solidFill>
                    <w14:schemeClr w14:val="tx1"/>
                  </w14:solidFill>
                </w14:textFill>
              </w:rPr>
              <w:t>进行养护，以保持稳定层表面潮湿，养护期</w:t>
            </w:r>
            <w:r>
              <w:rPr>
                <w:rFonts w:hint="eastAsia"/>
                <w:bCs/>
                <w:color w:val="000000" w:themeColor="text1"/>
                <w:sz w:val="24"/>
                <w:highlight w:val="none"/>
                <w:lang w:val="en-US" w:eastAsia="zh-CN"/>
                <w14:textFill>
                  <w14:solidFill>
                    <w14:schemeClr w14:val="tx1"/>
                  </w14:solidFill>
                </w14:textFill>
              </w:rPr>
              <w:t>一般不</w:t>
            </w:r>
            <w:r>
              <w:rPr>
                <w:rFonts w:hint="eastAsia"/>
                <w:bCs/>
                <w:color w:val="000000" w:themeColor="text1"/>
                <w:sz w:val="24"/>
                <w:highlight w:val="none"/>
                <w14:textFill>
                  <w14:solidFill>
                    <w14:schemeClr w14:val="tx1"/>
                  </w14:solidFill>
                </w14:textFill>
              </w:rPr>
              <w:t>少于7天</w:t>
            </w: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养护水溢流量少，最终全部</w:t>
            </w:r>
            <w:r>
              <w:rPr>
                <w:rFonts w:hint="eastAsia"/>
                <w:bCs/>
                <w:color w:val="000000" w:themeColor="text1"/>
                <w:sz w:val="24"/>
                <w:highlight w:val="none"/>
                <w14:textFill>
                  <w14:solidFill>
                    <w14:schemeClr w14:val="tx1"/>
                  </w14:solidFill>
                </w14:textFill>
              </w:rPr>
              <w:t>蒸发</w:t>
            </w:r>
            <w:r>
              <w:rPr>
                <w:rFonts w:hint="eastAsia"/>
                <w:bCs/>
                <w:color w:val="000000" w:themeColor="text1"/>
                <w:sz w:val="24"/>
                <w:highlight w:val="none"/>
                <w:lang w:val="en-US" w:eastAsia="zh-CN"/>
                <w14:textFill>
                  <w14:solidFill>
                    <w14:schemeClr w14:val="tx1"/>
                  </w14:solidFill>
                </w14:textFill>
              </w:rPr>
              <w:t>散失，无废水产生</w:t>
            </w:r>
            <w:r>
              <w:rPr>
                <w:rFonts w:hint="eastAsia"/>
                <w:bCs/>
                <w:color w:val="000000" w:themeColor="text1"/>
                <w:sz w:val="24"/>
                <w:highlight w:val="none"/>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val="0"/>
                <w:color w:val="000000" w:themeColor="text1"/>
                <w:sz w:val="24"/>
                <w:highlight w:val="none"/>
                <w14:textFill>
                  <w14:solidFill>
                    <w14:schemeClr w14:val="tx1"/>
                  </w14:solidFill>
                </w14:textFill>
              </w:rPr>
            </w:pPr>
            <w:r>
              <w:rPr>
                <w:rFonts w:hint="eastAsia"/>
                <w:b/>
                <w:bCs w:val="0"/>
                <w:color w:val="000000" w:themeColor="text1"/>
                <w:sz w:val="24"/>
                <w:highlight w:val="none"/>
                <w14:textFill>
                  <w14:solidFill>
                    <w14:schemeClr w14:val="tx1"/>
                  </w14:solidFill>
                </w14:textFill>
              </w:rPr>
              <w:t>3、施工期声环境影响分析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项目施工期噪声主要有施工机械噪声和运输车辆噪声。施工机械包括：①采集土石方时的机械，例如挖掘机、推土机、装载机等；②施工现场机械，例如：平地机、压路机、搅拌机、摊铺机等，运输车辆主要为汽车。</w:t>
            </w:r>
            <w:r>
              <w:rPr>
                <w:rFonts w:hint="eastAsia"/>
                <w:bCs/>
                <w:color w:val="000000" w:themeColor="text1"/>
                <w:sz w:val="24"/>
                <w:highlight w:val="none"/>
                <w:lang w:val="en-US" w:eastAsia="zh-CN"/>
                <w14:textFill>
                  <w14:solidFill>
                    <w14:schemeClr w14:val="tx1"/>
                  </w14:solidFill>
                </w14:textFill>
              </w:rPr>
              <w:t>上述</w:t>
            </w:r>
            <w:r>
              <w:rPr>
                <w:rFonts w:hint="eastAsia"/>
                <w:bCs/>
                <w:color w:val="000000" w:themeColor="text1"/>
                <w:sz w:val="24"/>
                <w:highlight w:val="none"/>
                <w14:textFill>
                  <w14:solidFill>
                    <w14:schemeClr w14:val="tx1"/>
                  </w14:solidFill>
                </w14:textFill>
              </w:rPr>
              <w:t>施工噪声将会对周围环境产生一定影响。</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在主要施工机械同时运转且未采取任何降噪措施的情况下，施工噪声贡献值较大</w:t>
            </w: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以</w:t>
            </w:r>
            <w:r>
              <w:rPr>
                <w:rFonts w:hint="eastAsia"/>
                <w:bCs/>
                <w:color w:val="000000" w:themeColor="text1"/>
                <w:sz w:val="24"/>
                <w:highlight w:val="none"/>
                <w14:textFill>
                  <w14:solidFill>
                    <w14:schemeClr w14:val="tx1"/>
                  </w14:solidFill>
                </w14:textFill>
              </w:rPr>
              <w:t>道路红线</w:t>
            </w:r>
            <w:r>
              <w:rPr>
                <w:rFonts w:hint="eastAsia"/>
                <w:bCs/>
                <w:color w:val="000000" w:themeColor="text1"/>
                <w:sz w:val="24"/>
                <w:highlight w:val="none"/>
                <w:lang w:val="en-US" w:eastAsia="zh-CN"/>
                <w14:textFill>
                  <w14:solidFill>
                    <w14:schemeClr w14:val="tx1"/>
                  </w14:solidFill>
                </w14:textFill>
              </w:rPr>
              <w:t>为</w:t>
            </w:r>
            <w:r>
              <w:rPr>
                <w:rFonts w:hint="eastAsia"/>
                <w:bCs/>
                <w:color w:val="000000" w:themeColor="text1"/>
                <w:sz w:val="24"/>
                <w:highlight w:val="none"/>
                <w14:textFill>
                  <w14:solidFill>
                    <w14:schemeClr w14:val="tx1"/>
                  </w14:solidFill>
                </w14:textFill>
              </w:rPr>
              <w:t>施工场界，在一般的情况下，施工</w:t>
            </w:r>
            <w:r>
              <w:rPr>
                <w:rFonts w:hint="eastAsia"/>
                <w:bCs/>
                <w:color w:val="000000" w:themeColor="text1"/>
                <w:sz w:val="24"/>
                <w:highlight w:val="none"/>
                <w:lang w:val="en-US" w:eastAsia="zh-CN"/>
                <w14:textFill>
                  <w14:solidFill>
                    <w14:schemeClr w14:val="tx1"/>
                  </w14:solidFill>
                </w14:textFill>
              </w:rPr>
              <w:t>噪声</w:t>
            </w:r>
            <w:r>
              <w:rPr>
                <w:rFonts w:hint="eastAsia"/>
                <w:bCs/>
                <w:color w:val="000000" w:themeColor="text1"/>
                <w:sz w:val="24"/>
                <w:highlight w:val="none"/>
                <w14:textFill>
                  <w14:solidFill>
                    <w14:schemeClr w14:val="tx1"/>
                  </w14:solidFill>
                </w14:textFill>
              </w:rPr>
              <w:t>到达道路两侧红线处的噪声值均超过了《建筑施工场界环境噪声排放标准》（GB12523-2011）</w:t>
            </w:r>
            <w:r>
              <w:rPr>
                <w:rFonts w:hint="eastAsia"/>
                <w:bCs/>
                <w:color w:val="000000" w:themeColor="text1"/>
                <w:sz w:val="24"/>
                <w:highlight w:val="none"/>
                <w:lang w:val="en-US" w:eastAsia="zh-CN"/>
                <w14:textFill>
                  <w14:solidFill>
                    <w14:schemeClr w14:val="tx1"/>
                  </w14:solidFill>
                </w14:textFill>
              </w:rPr>
              <w:t>中规定的排放限值</w:t>
            </w:r>
            <w:r>
              <w:rPr>
                <w:rFonts w:hint="eastAsia"/>
                <w:bCs/>
                <w:color w:val="000000" w:themeColor="text1"/>
                <w:sz w:val="24"/>
                <w:highlight w:val="none"/>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为减轻施工噪声对敏感点的影响，施工单位</w:t>
            </w:r>
            <w:r>
              <w:rPr>
                <w:rFonts w:hint="eastAsia"/>
                <w:bCs/>
                <w:color w:val="000000" w:themeColor="text1"/>
                <w:sz w:val="24"/>
                <w:highlight w:val="none"/>
                <w:lang w:val="en-US" w:eastAsia="zh-CN"/>
                <w14:textFill>
                  <w14:solidFill>
                    <w14:schemeClr w14:val="tx1"/>
                  </w14:solidFill>
                </w14:textFill>
              </w:rPr>
              <w:t>应联合相关单位组成领导小组加强与沿线居民的沟通，以保证沿线居民的生活质量；优化施工方案</w:t>
            </w:r>
            <w:r>
              <w:rPr>
                <w:rFonts w:hint="eastAsia"/>
                <w:bCs/>
                <w:color w:val="000000" w:themeColor="text1"/>
                <w:sz w:val="24"/>
                <w:highlight w:val="none"/>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从源头减少噪声排放；</w:t>
            </w:r>
            <w:r>
              <w:rPr>
                <w:rFonts w:hint="eastAsia"/>
                <w:bCs/>
                <w:color w:val="000000" w:themeColor="text1"/>
                <w:sz w:val="24"/>
                <w:highlight w:val="none"/>
                <w14:textFill>
                  <w14:solidFill>
                    <w14:schemeClr w14:val="tx1"/>
                  </w14:solidFill>
                </w14:textFill>
              </w:rPr>
              <w:t>尽可能选择低噪声的机械设备，加强施工设施的维护和保养；在道路红线距离敏感点＜50m路段两侧设置连续</w:t>
            </w:r>
            <w:r>
              <w:rPr>
                <w:rFonts w:hint="eastAsia"/>
                <w:bCs/>
                <w:color w:val="000000" w:themeColor="text1"/>
                <w:sz w:val="24"/>
                <w:highlight w:val="none"/>
                <w:lang w:val="en-US" w:eastAsia="zh-CN"/>
                <w14:textFill>
                  <w14:solidFill>
                    <w14:schemeClr w14:val="tx1"/>
                  </w14:solidFill>
                </w14:textFill>
              </w:rPr>
              <w:t>围挡</w:t>
            </w:r>
            <w:r>
              <w:rPr>
                <w:rFonts w:hint="eastAsia"/>
                <w:bCs/>
                <w:color w:val="000000" w:themeColor="text1"/>
                <w:sz w:val="24"/>
                <w:highlight w:val="none"/>
                <w14:textFill>
                  <w14:solidFill>
                    <w14:schemeClr w14:val="tx1"/>
                  </w14:solidFill>
                </w14:textFill>
              </w:rPr>
              <w:t>或移动</w:t>
            </w:r>
            <w:r>
              <w:rPr>
                <w:rFonts w:hint="eastAsia"/>
                <w:bCs/>
                <w:color w:val="000000" w:themeColor="text1"/>
                <w:sz w:val="24"/>
                <w:highlight w:val="none"/>
                <w:lang w:val="en-US" w:eastAsia="zh-CN"/>
                <w14:textFill>
                  <w14:solidFill>
                    <w14:schemeClr w14:val="tx1"/>
                  </w14:solidFill>
                </w14:textFill>
              </w:rPr>
              <w:t>式声屏障</w:t>
            </w:r>
            <w:r>
              <w:rPr>
                <w:rFonts w:hint="eastAsia"/>
                <w:bCs/>
                <w:color w:val="000000" w:themeColor="text1"/>
                <w:sz w:val="24"/>
                <w:highlight w:val="none"/>
                <w14:textFill>
                  <w14:solidFill>
                    <w14:schemeClr w14:val="tx1"/>
                  </w14:solidFill>
                </w14:textFill>
              </w:rPr>
              <w:t>，围挡采用金属板材</w:t>
            </w:r>
            <w:r>
              <w:rPr>
                <w:rFonts w:hint="eastAsia"/>
                <w:bCs/>
                <w:color w:val="000000" w:themeColor="text1"/>
                <w:sz w:val="24"/>
                <w:highlight w:val="none"/>
                <w:lang w:val="en-US" w:eastAsia="zh-CN"/>
                <w14:textFill>
                  <w14:solidFill>
                    <w14:schemeClr w14:val="tx1"/>
                  </w14:solidFill>
                </w14:textFill>
              </w:rPr>
              <w:t>且</w:t>
            </w:r>
            <w:r>
              <w:rPr>
                <w:rFonts w:hint="eastAsia"/>
                <w:bCs/>
                <w:color w:val="000000" w:themeColor="text1"/>
                <w:sz w:val="24"/>
                <w:highlight w:val="none"/>
                <w14:textFill>
                  <w14:solidFill>
                    <w14:schemeClr w14:val="tx1"/>
                  </w14:solidFill>
                </w14:textFill>
              </w:rPr>
              <w:t>设置高度</w:t>
            </w:r>
            <w:r>
              <w:rPr>
                <w:rFonts w:hint="eastAsia"/>
                <w:bCs/>
                <w:color w:val="000000" w:themeColor="text1"/>
                <w:sz w:val="24"/>
                <w:highlight w:val="none"/>
                <w:lang w:val="en-US" w:eastAsia="zh-CN"/>
                <w14:textFill>
                  <w14:solidFill>
                    <w14:schemeClr w14:val="tx1"/>
                  </w14:solidFill>
                </w14:textFill>
              </w:rPr>
              <w:t>不低于3</w:t>
            </w:r>
            <w:r>
              <w:rPr>
                <w:rFonts w:hint="eastAsia"/>
                <w:bCs/>
                <w:color w:val="000000" w:themeColor="text1"/>
                <w:sz w:val="24"/>
                <w:highlight w:val="none"/>
                <w14:textFill>
                  <w14:solidFill>
                    <w14:schemeClr w14:val="tx1"/>
                  </w14:solidFill>
                </w14:textFill>
              </w:rPr>
              <w:t>m</w:t>
            </w: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合理安排施工时间，高噪声作业</w:t>
            </w:r>
            <w:r>
              <w:rPr>
                <w:rFonts w:hint="eastAsia"/>
                <w:bCs/>
                <w:color w:val="000000" w:themeColor="text1"/>
                <w:sz w:val="24"/>
                <w:highlight w:val="none"/>
                <w14:textFill>
                  <w14:solidFill>
                    <w14:schemeClr w14:val="tx1"/>
                  </w14:solidFill>
                </w14:textFill>
              </w:rPr>
              <w:t>避开</w:t>
            </w:r>
            <w:r>
              <w:rPr>
                <w:rFonts w:hint="eastAsia"/>
                <w:bCs/>
                <w:color w:val="000000" w:themeColor="text1"/>
                <w:sz w:val="24"/>
                <w:highlight w:val="none"/>
                <w:lang w:val="en-US" w:eastAsia="zh-CN"/>
                <w14:textFill>
                  <w14:solidFill>
                    <w14:schemeClr w14:val="tx1"/>
                  </w14:solidFill>
                </w14:textFill>
              </w:rPr>
              <w:t>午间，</w:t>
            </w:r>
            <w:r>
              <w:rPr>
                <w:rFonts w:hint="eastAsia"/>
                <w:bCs/>
                <w:color w:val="000000" w:themeColor="text1"/>
                <w:sz w:val="24"/>
                <w:highlight w:val="none"/>
                <w:lang w:val="zh-CN"/>
                <w14:textFill>
                  <w14:solidFill>
                    <w14:schemeClr w14:val="tx1"/>
                  </w14:solidFill>
                </w14:textFill>
              </w:rPr>
              <w:t>中考、期末考等考试期间、</w:t>
            </w:r>
            <w:r>
              <w:rPr>
                <w:rFonts w:hint="eastAsia"/>
                <w:bCs/>
                <w:color w:val="000000" w:themeColor="text1"/>
                <w:sz w:val="24"/>
                <w:highlight w:val="none"/>
                <w14:textFill>
                  <w14:solidFill>
                    <w14:schemeClr w14:val="tx1"/>
                  </w14:solidFill>
                </w14:textFill>
              </w:rPr>
              <w:t>夜间禁止施工</w:t>
            </w: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加强</w:t>
            </w:r>
            <w:r>
              <w:rPr>
                <w:rFonts w:hint="eastAsia"/>
                <w:bCs/>
                <w:color w:val="000000" w:themeColor="text1"/>
                <w:sz w:val="24"/>
                <w:highlight w:val="none"/>
                <w14:textFill>
                  <w14:solidFill>
                    <w14:schemeClr w14:val="tx1"/>
                  </w14:solidFill>
                </w14:textFill>
              </w:rPr>
              <w:t>运输车辆</w:t>
            </w:r>
            <w:r>
              <w:rPr>
                <w:rFonts w:hint="eastAsia"/>
                <w:bCs/>
                <w:color w:val="000000" w:themeColor="text1"/>
                <w:sz w:val="24"/>
                <w:highlight w:val="none"/>
                <w:lang w:val="en-US" w:eastAsia="zh-CN"/>
                <w14:textFill>
                  <w14:solidFill>
                    <w14:schemeClr w14:val="tx1"/>
                  </w14:solidFill>
                </w14:textFill>
              </w:rPr>
              <w:t>管理，在途经学校、居民点时，应减速慢行、禁止鸣笛</w:t>
            </w:r>
            <w:r>
              <w:rPr>
                <w:rFonts w:hint="eastAsia"/>
                <w:bCs/>
                <w:color w:val="000000" w:themeColor="text1"/>
                <w:sz w:val="24"/>
                <w:highlight w:val="none"/>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通过采取上述措施后，随着施工的结束，施工噪声的影响也随之结束，施工期噪声对周围环境影响</w:t>
            </w:r>
            <w:r>
              <w:rPr>
                <w:rFonts w:hint="eastAsia"/>
                <w:bCs/>
                <w:color w:val="000000" w:themeColor="text1"/>
                <w:sz w:val="24"/>
                <w:highlight w:val="none"/>
                <w:lang w:val="en-US" w:eastAsia="zh-CN"/>
                <w14:textFill>
                  <w14:solidFill>
                    <w14:schemeClr w14:val="tx1"/>
                  </w14:solidFill>
                </w14:textFill>
              </w:rPr>
              <w:t>有限</w:t>
            </w:r>
            <w:r>
              <w:rPr>
                <w:rFonts w:hint="eastAsia"/>
                <w:bCs/>
                <w:color w:val="000000" w:themeColor="text1"/>
                <w:sz w:val="24"/>
                <w:highlight w:val="none"/>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val="0"/>
                <w:color w:val="000000" w:themeColor="text1"/>
                <w:sz w:val="24"/>
                <w:highlight w:val="none"/>
                <w14:textFill>
                  <w14:solidFill>
                    <w14:schemeClr w14:val="tx1"/>
                  </w14:solidFill>
                </w14:textFill>
              </w:rPr>
            </w:pPr>
            <w:r>
              <w:rPr>
                <w:rFonts w:hint="eastAsia"/>
                <w:b/>
                <w:bCs w:val="0"/>
                <w:color w:val="000000" w:themeColor="text1"/>
                <w:sz w:val="24"/>
                <w:highlight w:val="none"/>
                <w14:textFill>
                  <w14:solidFill>
                    <w14:schemeClr w14:val="tx1"/>
                  </w14:solidFill>
                </w14:textFill>
              </w:rPr>
              <w:t>4、施工期固体废物治理环境影响分析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施工期固废主要来自施工产生的弃</w:t>
            </w:r>
            <w:r>
              <w:rPr>
                <w:rFonts w:hint="eastAsia" w:ascii="Times New Roman" w:hAnsi="Times New Roman"/>
                <w:color w:val="000000" w:themeColor="text1"/>
                <w:sz w:val="24"/>
                <w:highlight w:val="none"/>
                <w:lang w:val="en-US" w:eastAsia="zh-CN"/>
                <w14:textFill>
                  <w14:solidFill>
                    <w14:schemeClr w14:val="tx1"/>
                  </w14:solidFill>
                </w14:textFill>
              </w:rPr>
              <w:t>土</w:t>
            </w:r>
            <w:r>
              <w:rPr>
                <w:rFonts w:ascii="Times New Roman" w:hAnsi="Times New Roman"/>
                <w:color w:val="000000" w:themeColor="text1"/>
                <w:sz w:val="24"/>
                <w:highlight w:val="none"/>
                <w14:textFill>
                  <w14:solidFill>
                    <w14:schemeClr w14:val="tx1"/>
                  </w14:solidFill>
                </w14:textFill>
              </w:rPr>
              <w:t>、建筑垃圾</w:t>
            </w:r>
            <w:r>
              <w:rPr>
                <w:rFonts w:hint="eastAsia" w:ascii="Times New Roman" w:hAnsi="Times New Roman"/>
                <w:color w:val="000000" w:themeColor="text1"/>
                <w:sz w:val="24"/>
                <w:highlight w:val="none"/>
                <w:lang w:eastAsia="zh-CN"/>
                <w14:textFill>
                  <w14:solidFill>
                    <w14:schemeClr w14:val="tx1"/>
                  </w14:solidFill>
                </w14:textFill>
              </w:rPr>
              <w:t>、</w:t>
            </w:r>
            <w:r>
              <w:rPr>
                <w:rFonts w:ascii="Times New Roman" w:hAnsi="Times New Roman"/>
                <w:color w:val="000000" w:themeColor="text1"/>
                <w:sz w:val="24"/>
                <w:highlight w:val="none"/>
                <w14:textFill>
                  <w14:solidFill>
                    <w14:schemeClr w14:val="tx1"/>
                  </w14:solidFill>
                </w14:textFill>
              </w:rPr>
              <w:t>施工</w:t>
            </w:r>
            <w:r>
              <w:rPr>
                <w:rFonts w:hint="eastAsia" w:ascii="Times New Roman" w:hAnsi="Times New Roman"/>
                <w:color w:val="000000" w:themeColor="text1"/>
                <w:sz w:val="24"/>
                <w:highlight w:val="none"/>
                <w:lang w:val="en-US" w:eastAsia="zh-CN"/>
                <w14:textFill>
                  <w14:solidFill>
                    <w14:schemeClr w14:val="tx1"/>
                  </w14:solidFill>
                </w14:textFill>
              </w:rPr>
              <w:t>人员</w:t>
            </w:r>
            <w:r>
              <w:rPr>
                <w:rFonts w:ascii="Times New Roman" w:hAnsi="Times New Roman"/>
                <w:color w:val="000000" w:themeColor="text1"/>
                <w:sz w:val="24"/>
                <w:highlight w:val="none"/>
                <w14:textFill>
                  <w14:solidFill>
                    <w14:schemeClr w14:val="tx1"/>
                  </w14:solidFill>
                </w14:textFill>
              </w:rPr>
              <w:t>产生的生活垃圾</w:t>
            </w:r>
            <w:r>
              <w:rPr>
                <w:rFonts w:hint="eastAsia"/>
                <w:bCs/>
                <w:color w:val="000000" w:themeColor="text1"/>
                <w:sz w:val="24"/>
                <w:highlight w:val="none"/>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bCs/>
                <w:color w:val="000000" w:themeColor="text1"/>
                <w:sz w:val="24"/>
                <w:highlight w:val="none"/>
                <w:lang w:val="en-US" w:eastAsia="zh-CN"/>
                <w14:textFill>
                  <w14:solidFill>
                    <w14:schemeClr w14:val="tx1"/>
                  </w14:solidFill>
                </w14:textFill>
              </w:rPr>
            </w:pP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1）弃土</w:t>
            </w:r>
          </w:p>
          <w:p>
            <w:pPr>
              <w:keepNext w:val="0"/>
              <w:keepLines w:val="0"/>
              <w:suppressLineNumbers w:val="0"/>
              <w:tabs>
                <w:tab w:val="left" w:pos="900"/>
              </w:tabs>
              <w:spacing w:before="0" w:beforeAutospacing="0" w:after="0" w:afterAutospacing="0" w:line="360" w:lineRule="auto"/>
              <w:ind w:left="0" w:right="0" w:firstLine="480"/>
              <w:textAlignment w:val="baseline"/>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经土石方平衡，本项目土石方开挖总量</w:t>
            </w:r>
            <w:r>
              <w:rPr>
                <w:rFonts w:hint="eastAsia" w:ascii="Times New Roman" w:hAnsi="Times New Roman"/>
                <w:color w:val="000000" w:themeColor="text1"/>
                <w:sz w:val="24"/>
                <w:highlight w:val="none"/>
                <w:lang w:val="en-US" w:eastAsia="zh-CN"/>
                <w14:textFill>
                  <w14:solidFill>
                    <w14:schemeClr w14:val="tx1"/>
                  </w14:solidFill>
                </w14:textFill>
              </w:rPr>
              <w:t>约为24.3</w:t>
            </w:r>
            <w:r>
              <w:rPr>
                <w:rFonts w:ascii="Times New Roman" w:hAnsi="Times New Roman"/>
                <w:color w:val="000000" w:themeColor="text1"/>
                <w:sz w:val="24"/>
                <w:highlight w:val="none"/>
                <w14:textFill>
                  <w14:solidFill>
                    <w14:schemeClr w14:val="tx1"/>
                  </w14:solidFill>
                </w14:textFill>
              </w:rPr>
              <w:t>万m³（自然方，下同），主体工程回填</w:t>
            </w:r>
            <w:r>
              <w:rPr>
                <w:rFonts w:hint="eastAsia" w:ascii="Times New Roman" w:hAnsi="Times New Roman"/>
                <w:color w:val="000000" w:themeColor="text1"/>
                <w:sz w:val="24"/>
                <w:highlight w:val="none"/>
                <w:lang w:val="en-US" w:eastAsia="zh-CN"/>
                <w14:textFill>
                  <w14:solidFill>
                    <w14:schemeClr w14:val="tx1"/>
                  </w14:solidFill>
                </w14:textFill>
              </w:rPr>
              <w:t>17.04</w:t>
            </w:r>
            <w:r>
              <w:rPr>
                <w:rFonts w:ascii="Times New Roman" w:hAnsi="Times New Roman"/>
                <w:color w:val="000000" w:themeColor="text1"/>
                <w:sz w:val="24"/>
                <w:highlight w:val="none"/>
                <w14:textFill>
                  <w14:solidFill>
                    <w14:schemeClr w14:val="tx1"/>
                  </w14:solidFill>
                </w14:textFill>
              </w:rPr>
              <w:t>万m³，弃方</w:t>
            </w:r>
            <w:r>
              <w:rPr>
                <w:rFonts w:hint="eastAsia" w:ascii="Times New Roman" w:hAnsi="Times New Roman"/>
                <w:color w:val="000000" w:themeColor="text1"/>
                <w:sz w:val="24"/>
                <w:highlight w:val="none"/>
                <w:lang w:val="en-US" w:eastAsia="zh-CN"/>
                <w14:textFill>
                  <w14:solidFill>
                    <w14:schemeClr w14:val="tx1"/>
                  </w14:solidFill>
                </w14:textFill>
              </w:rPr>
              <w:t>7.26</w:t>
            </w:r>
            <w:r>
              <w:rPr>
                <w:rFonts w:ascii="Times New Roman" w:hAnsi="Times New Roman"/>
                <w:color w:val="000000" w:themeColor="text1"/>
                <w:sz w:val="24"/>
                <w:highlight w:val="none"/>
                <w14:textFill>
                  <w14:solidFill>
                    <w14:schemeClr w14:val="tx1"/>
                  </w14:solidFill>
                </w14:textFill>
              </w:rPr>
              <w:t>万m³，弃方主要为砂卵石。本项目不设弃渣场，</w:t>
            </w:r>
            <w:r>
              <w:rPr>
                <w:rFonts w:hint="eastAsia" w:ascii="Times New Roman" w:hAnsi="Times New Roman"/>
                <w:color w:val="000000" w:themeColor="text1"/>
                <w:sz w:val="24"/>
                <w:highlight w:val="none"/>
                <w14:textFill>
                  <w14:solidFill>
                    <w14:schemeClr w14:val="tx1"/>
                  </w14:solidFill>
                </w14:textFill>
              </w:rPr>
              <w:t>弃方均外运至政府指定弃渣场</w:t>
            </w:r>
            <w:r>
              <w:rPr>
                <w:rFonts w:ascii="Times New Roman" w:hAnsi="Times New Roman"/>
                <w:color w:val="000000" w:themeColor="text1"/>
                <w:sz w:val="24"/>
                <w:highlight w:val="none"/>
                <w14:textFill>
                  <w14:solidFill>
                    <w14:schemeClr w14:val="tx1"/>
                  </w14:solidFill>
                </w14:textFill>
              </w:rPr>
              <w:t>。</w:t>
            </w:r>
          </w:p>
          <w:p>
            <w:pPr>
              <w:keepNext w:val="0"/>
              <w:keepLines w:val="0"/>
              <w:suppressLineNumbers w:val="0"/>
              <w:tabs>
                <w:tab w:val="left" w:pos="900"/>
              </w:tabs>
              <w:spacing w:before="0" w:beforeAutospacing="0" w:after="0" w:afterAutospacing="0" w:line="360" w:lineRule="auto"/>
              <w:ind w:left="0" w:right="0" w:firstLine="480"/>
              <w:textAlignment w:val="baseline"/>
              <w:rPr>
                <w:rFonts w:hint="eastAsia" w:eastAsia="宋体"/>
                <w:bCs/>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经建设单位核实，项目弃渣场位置在确定施工单位后方可确定。</w:t>
            </w:r>
            <w:r>
              <w:rPr>
                <w:rFonts w:ascii="Times New Roman" w:hAnsi="Times New Roman"/>
                <w:bCs/>
                <w:color w:val="000000" w:themeColor="text1"/>
                <w:sz w:val="24"/>
                <w:highlight w:val="none"/>
                <w14:textFill>
                  <w14:solidFill>
                    <w14:schemeClr w14:val="tx1"/>
                  </w14:solidFill>
                </w14:textFill>
              </w:rPr>
              <w:t>为有效防治本项目弃渣运输车辆污染环境的现象，</w:t>
            </w:r>
            <w:r>
              <w:rPr>
                <w:rFonts w:hint="eastAsia" w:ascii="Times New Roman" w:hAnsi="Times New Roman"/>
                <w:bCs/>
                <w:color w:val="000000" w:themeColor="text1"/>
                <w:sz w:val="24"/>
                <w:highlight w:val="none"/>
                <w:lang w:val="en-US" w:eastAsia="zh-CN"/>
                <w14:textFill>
                  <w14:solidFill>
                    <w14:schemeClr w14:val="tx1"/>
                  </w14:solidFill>
                </w14:textFill>
              </w:rPr>
              <w:t>建设</w:t>
            </w:r>
            <w:r>
              <w:rPr>
                <w:rFonts w:ascii="Times New Roman" w:hAnsi="Times New Roman"/>
                <w:bCs/>
                <w:color w:val="000000" w:themeColor="text1"/>
                <w:sz w:val="24"/>
                <w:highlight w:val="none"/>
                <w14:textFill>
                  <w14:solidFill>
                    <w14:schemeClr w14:val="tx1"/>
                  </w14:solidFill>
                </w14:textFill>
              </w:rPr>
              <w:t>单位</w:t>
            </w:r>
            <w:r>
              <w:rPr>
                <w:rFonts w:hint="eastAsia" w:ascii="Times New Roman" w:hAnsi="Times New Roman"/>
                <w:bCs/>
                <w:color w:val="000000" w:themeColor="text1"/>
                <w:sz w:val="24"/>
                <w:highlight w:val="none"/>
                <w:lang w:val="en-US" w:eastAsia="zh-CN"/>
                <w14:textFill>
                  <w14:solidFill>
                    <w14:schemeClr w14:val="tx1"/>
                  </w14:solidFill>
                </w14:textFill>
              </w:rPr>
              <w:t>应要求运输车辆</w:t>
            </w:r>
            <w:r>
              <w:rPr>
                <w:rFonts w:ascii="Times New Roman" w:hAnsi="Times New Roman"/>
                <w:bCs/>
                <w:color w:val="000000" w:themeColor="text1"/>
                <w:sz w:val="24"/>
                <w:highlight w:val="none"/>
                <w14:textFill>
                  <w14:solidFill>
                    <w14:schemeClr w14:val="tx1"/>
                  </w14:solidFill>
                </w14:textFill>
              </w:rPr>
              <w:t>在经过有居民、学校地段时减少或禁止鸣笛，最大限度地做到不扰民；通过路面洒水，尽量做到道路的清洁，以减少运输时产生扬尘</w:t>
            </w:r>
            <w:r>
              <w:rPr>
                <w:rFonts w:hint="eastAsia" w:ascii="Times New Roman" w:hAnsi="Times New Roman"/>
                <w:bCs/>
                <w:color w:val="000000" w:themeColor="text1"/>
                <w:sz w:val="24"/>
                <w:highlight w:val="none"/>
                <w:lang w:eastAsia="zh-CN"/>
                <w14:textFill>
                  <w14:solidFill>
                    <w14:schemeClr w14:val="tx1"/>
                  </w14:solidFill>
                </w14:textFill>
              </w:rPr>
              <w:t>；</w:t>
            </w:r>
            <w:r>
              <w:rPr>
                <w:rFonts w:ascii="Times New Roman" w:hAnsi="Times New Roman"/>
                <w:bCs/>
                <w:color w:val="000000" w:themeColor="text1"/>
                <w:sz w:val="24"/>
                <w:highlight w:val="none"/>
                <w14:textFill>
                  <w14:solidFill>
                    <w14:schemeClr w14:val="tx1"/>
                  </w14:solidFill>
                </w14:textFill>
              </w:rPr>
              <w:t>保持运输车辆车况良好，车容车貌整洁，车箱完好无损，运输车辆出场时必须覆盖篷布，避免在运输过程中的抛洒</w:t>
            </w:r>
            <w:r>
              <w:rPr>
                <w:rFonts w:hint="eastAsia" w:ascii="Times New Roman" w:hAnsi="Times New Roman"/>
                <w:bCs/>
                <w:color w:val="000000" w:themeColor="text1"/>
                <w:sz w:val="24"/>
                <w:highlight w:val="none"/>
                <w:lang w:val="en-US" w:eastAsia="zh-CN"/>
                <w14:textFill>
                  <w14:solidFill>
                    <w14:schemeClr w14:val="tx1"/>
                  </w14:solidFill>
                </w14:textFill>
              </w:rPr>
              <w:t>现象。</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bCs/>
                <w:color w:val="000000" w:themeColor="text1"/>
                <w:sz w:val="24"/>
                <w:highlight w:val="none"/>
                <w:lang w:val="en-US" w:eastAsia="zh-CN"/>
                <w14:textFill>
                  <w14:solidFill>
                    <w14:schemeClr w14:val="tx1"/>
                  </w14:solidFill>
                </w14:textFill>
              </w:rPr>
            </w:pP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2）建筑垃圾</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本工程建筑垃圾包括场内留下的拆迁建筑垃圾（前期拆迁产生）和施工建筑垃圾，根据</w:t>
            </w:r>
            <w:r>
              <w:rPr>
                <w:rFonts w:hint="eastAsia"/>
                <w:bCs/>
                <w:color w:val="000000" w:themeColor="text1"/>
                <w:sz w:val="24"/>
                <w:highlight w:val="none"/>
                <w:lang w:val="en-US" w:eastAsia="zh-CN"/>
                <w14:textFill>
                  <w14:solidFill>
                    <w14:schemeClr w14:val="tx1"/>
                  </w14:solidFill>
                </w14:textFill>
              </w:rPr>
              <w:t>估算</w:t>
            </w:r>
            <w:r>
              <w:rPr>
                <w:rFonts w:hint="eastAsia"/>
                <w:bCs/>
                <w:color w:val="000000" w:themeColor="text1"/>
                <w:sz w:val="24"/>
                <w:highlight w:val="none"/>
                <w14:textFill>
                  <w14:solidFill>
                    <w14:schemeClr w14:val="tx1"/>
                  </w14:solidFill>
                </w14:textFill>
              </w:rPr>
              <w:t>，建筑垃圾量约为</w:t>
            </w:r>
            <w:r>
              <w:rPr>
                <w:rFonts w:hint="eastAsia"/>
                <w:bCs/>
                <w:color w:val="000000" w:themeColor="text1"/>
                <w:sz w:val="24"/>
                <w:highlight w:val="none"/>
                <w:lang w:val="en-US" w:eastAsia="zh-CN"/>
                <w14:textFill>
                  <w14:solidFill>
                    <w14:schemeClr w14:val="tx1"/>
                  </w14:solidFill>
                </w14:textFill>
              </w:rPr>
              <w:t>50</w:t>
            </w:r>
            <w:r>
              <w:rPr>
                <w:rFonts w:hint="eastAsia"/>
                <w:bCs/>
                <w:color w:val="000000" w:themeColor="text1"/>
                <w:sz w:val="24"/>
                <w:highlight w:val="none"/>
                <w14:textFill>
                  <w14:solidFill>
                    <w14:schemeClr w14:val="tx1"/>
                  </w14:solidFill>
                </w14:textFill>
              </w:rPr>
              <w:t>t。施工过程产生的建筑垃圾由建设单位统一分类收集后，能</w:t>
            </w:r>
            <w:r>
              <w:rPr>
                <w:rFonts w:hint="eastAsia"/>
                <w:bCs/>
                <w:color w:val="000000" w:themeColor="text1"/>
                <w:sz w:val="24"/>
                <w:highlight w:val="none"/>
                <w:lang w:val="en-US" w:eastAsia="zh-CN"/>
                <w14:textFill>
                  <w14:solidFill>
                    <w14:schemeClr w14:val="tx1"/>
                  </w14:solidFill>
                </w14:textFill>
              </w:rPr>
              <w:t>回收利用的回收利用，能外售的外售</w:t>
            </w:r>
            <w:r>
              <w:rPr>
                <w:rFonts w:hint="eastAsia"/>
                <w:bCs/>
                <w:color w:val="000000" w:themeColor="text1"/>
                <w:sz w:val="24"/>
                <w:highlight w:val="none"/>
                <w14:textFill>
                  <w14:solidFill>
                    <w14:schemeClr w14:val="tx1"/>
                  </w14:solidFill>
                </w14:textFill>
              </w:rPr>
              <w:t>，不能回收利用</w:t>
            </w:r>
            <w:r>
              <w:rPr>
                <w:rFonts w:hint="eastAsia"/>
                <w:bCs/>
                <w:color w:val="000000" w:themeColor="text1"/>
                <w:sz w:val="24"/>
                <w:highlight w:val="none"/>
                <w:lang w:val="en-US" w:eastAsia="zh-CN"/>
                <w14:textFill>
                  <w14:solidFill>
                    <w14:schemeClr w14:val="tx1"/>
                  </w14:solidFill>
                </w14:textFill>
              </w:rPr>
              <w:t>及外售的</w:t>
            </w:r>
            <w:r>
              <w:rPr>
                <w:rFonts w:hint="eastAsia"/>
                <w:bCs/>
                <w:color w:val="000000" w:themeColor="text1"/>
                <w:sz w:val="24"/>
                <w:highlight w:val="none"/>
                <w14:textFill>
                  <w14:solidFill>
                    <w14:schemeClr w14:val="tx1"/>
                  </w14:solidFill>
                </w14:textFill>
              </w:rPr>
              <w:t>送至</w:t>
            </w:r>
            <w:r>
              <w:rPr>
                <w:rFonts w:hint="eastAsia"/>
                <w:bCs/>
                <w:color w:val="000000" w:themeColor="text1"/>
                <w:sz w:val="24"/>
                <w:highlight w:val="none"/>
                <w:lang w:val="en-US" w:eastAsia="zh-CN"/>
                <w14:textFill>
                  <w14:solidFill>
                    <w14:schemeClr w14:val="tx1"/>
                  </w14:solidFill>
                </w14:textFill>
              </w:rPr>
              <w:t>政府指定的建渣堆放处堆放</w:t>
            </w:r>
            <w:r>
              <w:rPr>
                <w:rFonts w:hint="eastAsia"/>
                <w:bCs/>
                <w:color w:val="000000" w:themeColor="text1"/>
                <w:sz w:val="24"/>
                <w:highlight w:val="none"/>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3）</w:t>
            </w:r>
            <w:r>
              <w:rPr>
                <w:rFonts w:hint="eastAsia"/>
                <w:bCs/>
                <w:color w:val="000000" w:themeColor="text1"/>
                <w:sz w:val="24"/>
                <w:highlight w:val="none"/>
                <w14:textFill>
                  <w14:solidFill>
                    <w14:schemeClr w14:val="tx1"/>
                  </w14:solidFill>
                </w14:textFill>
              </w:rPr>
              <w:t>生活垃圾</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项目施工期间，各类施工人员较为集中，产生的生活垃圾按0.2kg/人·日计，在施工场地常驻施工的人员最多以</w:t>
            </w:r>
            <w:r>
              <w:rPr>
                <w:rFonts w:hint="eastAsia"/>
                <w:bCs/>
                <w:color w:val="000000" w:themeColor="text1"/>
                <w:sz w:val="24"/>
                <w:highlight w:val="none"/>
                <w:lang w:val="en-US" w:eastAsia="zh-CN"/>
                <w14:textFill>
                  <w14:solidFill>
                    <w14:schemeClr w14:val="tx1"/>
                  </w14:solidFill>
                </w14:textFill>
              </w:rPr>
              <w:t>12</w:t>
            </w:r>
            <w:r>
              <w:rPr>
                <w:rFonts w:hint="eastAsia"/>
                <w:bCs/>
                <w:color w:val="000000" w:themeColor="text1"/>
                <w:sz w:val="24"/>
                <w:highlight w:val="none"/>
                <w14:textFill>
                  <w14:solidFill>
                    <w14:schemeClr w14:val="tx1"/>
                  </w14:solidFill>
                </w14:textFill>
              </w:rPr>
              <w:t>0人计，因此在建设期施工人员产生的生活垃圾量为</w:t>
            </w:r>
            <w:r>
              <w:rPr>
                <w:rFonts w:hint="eastAsia"/>
                <w:bCs/>
                <w:color w:val="000000" w:themeColor="text1"/>
                <w:sz w:val="24"/>
                <w:highlight w:val="none"/>
                <w:lang w:val="en-US" w:eastAsia="zh-CN"/>
                <w14:textFill>
                  <w14:solidFill>
                    <w14:schemeClr w14:val="tx1"/>
                  </w14:solidFill>
                </w14:textFill>
              </w:rPr>
              <w:t>24</w:t>
            </w:r>
            <w:r>
              <w:rPr>
                <w:rFonts w:hint="eastAsia"/>
                <w:bCs/>
                <w:color w:val="000000" w:themeColor="text1"/>
                <w:sz w:val="24"/>
                <w:highlight w:val="none"/>
                <w14:textFill>
                  <w14:solidFill>
                    <w14:schemeClr w14:val="tx1"/>
                  </w14:solidFill>
                </w14:textFill>
              </w:rPr>
              <w:t>kg/d。生活垃圾集中收集后</w:t>
            </w:r>
            <w:r>
              <w:rPr>
                <w:rFonts w:hint="eastAsia"/>
                <w:bCs/>
                <w:color w:val="000000" w:themeColor="text1"/>
                <w:sz w:val="24"/>
                <w:highlight w:val="none"/>
                <w:lang w:val="en-US" w:eastAsia="zh-CN"/>
                <w14:textFill>
                  <w14:solidFill>
                    <w14:schemeClr w14:val="tx1"/>
                  </w14:solidFill>
                </w14:textFill>
              </w:rPr>
              <w:t>交</w:t>
            </w:r>
            <w:r>
              <w:rPr>
                <w:rFonts w:hint="eastAsia"/>
                <w:bCs/>
                <w:color w:val="000000" w:themeColor="text1"/>
                <w:sz w:val="24"/>
                <w:highlight w:val="none"/>
                <w14:textFill>
                  <w14:solidFill>
                    <w14:schemeClr w14:val="tx1"/>
                  </w14:solidFill>
                </w14:textFill>
              </w:rPr>
              <w:t>由环卫部门处置。</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
                <w:bCs w:val="0"/>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综上所述，项目运营期产生的固体废物均能得到妥善有效的处置，对周边</w:t>
            </w:r>
            <w:r>
              <w:rPr>
                <w:rFonts w:hint="eastAsia"/>
                <w:b w:val="0"/>
                <w:bCs/>
                <w:color w:val="000000" w:themeColor="text1"/>
                <w:sz w:val="24"/>
                <w:highlight w:val="none"/>
                <w14:textFill>
                  <w14:solidFill>
                    <w14:schemeClr w14:val="tx1"/>
                  </w14:solidFill>
                </w14:textFill>
              </w:rPr>
              <w:t>环境影响</w:t>
            </w:r>
            <w:r>
              <w:rPr>
                <w:rFonts w:hint="eastAsia"/>
                <w:b w:val="0"/>
                <w:bCs/>
                <w:color w:val="000000" w:themeColor="text1"/>
                <w:sz w:val="24"/>
                <w:highlight w:val="none"/>
                <w:lang w:val="en-US" w:eastAsia="zh-CN"/>
                <w14:textFill>
                  <w14:solidFill>
                    <w14:schemeClr w14:val="tx1"/>
                  </w14:solidFill>
                </w14:textFill>
              </w:rPr>
              <w:t>甚微</w:t>
            </w:r>
            <w:r>
              <w:rPr>
                <w:rFonts w:hint="eastAsia"/>
                <w:b w:val="0"/>
                <w:bCs/>
                <w:color w:val="000000" w:themeColor="text1"/>
                <w:sz w:val="24"/>
                <w:highlight w:val="none"/>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val="0"/>
                <w:color w:val="000000" w:themeColor="text1"/>
                <w:sz w:val="24"/>
                <w:highlight w:val="none"/>
                <w14:textFill>
                  <w14:solidFill>
                    <w14:schemeClr w14:val="tx1"/>
                  </w14:solidFill>
                </w14:textFill>
              </w:rPr>
            </w:pPr>
            <w:r>
              <w:rPr>
                <w:rFonts w:hint="eastAsia"/>
                <w:b/>
                <w:bCs w:val="0"/>
                <w:color w:val="000000" w:themeColor="text1"/>
                <w:sz w:val="24"/>
                <w:highlight w:val="none"/>
                <w:lang w:val="en-US" w:eastAsia="zh-CN"/>
                <w14:textFill>
                  <w14:solidFill>
                    <w14:schemeClr w14:val="tx1"/>
                  </w14:solidFill>
                </w14:textFill>
              </w:rPr>
              <w:t>5</w:t>
            </w:r>
            <w:r>
              <w:rPr>
                <w:rFonts w:hint="eastAsia"/>
                <w:b/>
                <w:bCs w:val="0"/>
                <w:color w:val="000000" w:themeColor="text1"/>
                <w:sz w:val="24"/>
                <w:highlight w:val="none"/>
                <w14:textFill>
                  <w14:solidFill>
                    <w14:schemeClr w14:val="tx1"/>
                  </w14:solidFill>
                </w14:textFill>
              </w:rPr>
              <w:t>、施工期</w:t>
            </w:r>
            <w:r>
              <w:rPr>
                <w:rFonts w:hint="eastAsia"/>
                <w:b/>
                <w:bCs w:val="0"/>
                <w:color w:val="000000" w:themeColor="text1"/>
                <w:sz w:val="24"/>
                <w:highlight w:val="none"/>
                <w:lang w:val="en-US" w:eastAsia="zh-CN"/>
                <w14:textFill>
                  <w14:solidFill>
                    <w14:schemeClr w14:val="tx1"/>
                  </w14:solidFill>
                </w14:textFill>
              </w:rPr>
              <w:t>堆土场和</w:t>
            </w:r>
            <w:r>
              <w:rPr>
                <w:rFonts w:hint="eastAsia"/>
                <w:b/>
                <w:bCs w:val="0"/>
                <w:color w:val="000000" w:themeColor="text1"/>
                <w:sz w:val="24"/>
                <w:highlight w:val="none"/>
                <w14:textFill>
                  <w14:solidFill>
                    <w14:schemeClr w14:val="tx1"/>
                  </w14:solidFill>
                </w14:textFill>
              </w:rPr>
              <w:t>表土堆</w:t>
            </w:r>
            <w:r>
              <w:rPr>
                <w:rFonts w:hint="eastAsia"/>
                <w:b/>
                <w:bCs w:val="0"/>
                <w:color w:val="000000" w:themeColor="text1"/>
                <w:sz w:val="24"/>
                <w:highlight w:val="none"/>
                <w:lang w:val="en-US" w:eastAsia="zh-CN"/>
                <w14:textFill>
                  <w14:solidFill>
                    <w14:schemeClr w14:val="tx1"/>
                  </w14:solidFill>
                </w14:textFill>
              </w:rPr>
              <w:t>场</w:t>
            </w:r>
            <w:r>
              <w:rPr>
                <w:rFonts w:hint="eastAsia"/>
                <w:b/>
                <w:bCs w:val="0"/>
                <w:color w:val="000000" w:themeColor="text1"/>
                <w:sz w:val="24"/>
                <w:highlight w:val="none"/>
                <w14:textFill>
                  <w14:solidFill>
                    <w14:schemeClr w14:val="tx1"/>
                  </w14:solidFill>
                </w14:textFill>
              </w:rPr>
              <w:t>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本项目前期开挖剥离表土暂存至临时</w:t>
            </w:r>
            <w:r>
              <w:rPr>
                <w:rFonts w:hint="eastAsia"/>
                <w:bCs/>
                <w:color w:val="000000" w:themeColor="text1"/>
                <w:sz w:val="24"/>
                <w:highlight w:val="none"/>
                <w:lang w:val="en-US" w:eastAsia="zh-CN"/>
                <w14:textFill>
                  <w14:solidFill>
                    <w14:schemeClr w14:val="tx1"/>
                  </w14:solidFill>
                </w14:textFill>
              </w:rPr>
              <w:t>表土</w:t>
            </w:r>
            <w:r>
              <w:rPr>
                <w:rFonts w:hint="eastAsia"/>
                <w:bCs/>
                <w:color w:val="000000" w:themeColor="text1"/>
                <w:sz w:val="24"/>
                <w:highlight w:val="none"/>
                <w14:textFill>
                  <w14:solidFill>
                    <w14:schemeClr w14:val="tx1"/>
                  </w14:solidFill>
                </w14:textFill>
              </w:rPr>
              <w:t>堆场，</w:t>
            </w:r>
            <w:r>
              <w:rPr>
                <w:rFonts w:hint="eastAsia"/>
                <w:bCs/>
                <w:color w:val="000000" w:themeColor="text1"/>
                <w:sz w:val="24"/>
                <w:highlight w:val="none"/>
                <w:lang w:val="en-US" w:eastAsia="zh-CN"/>
                <w14:textFill>
                  <w14:solidFill>
                    <w14:schemeClr w14:val="tx1"/>
                  </w14:solidFill>
                </w14:textFill>
              </w:rPr>
              <w:t>后期开挖的土石方暂存至临时堆土场。堆土场和</w:t>
            </w:r>
            <w:r>
              <w:rPr>
                <w:rFonts w:hint="eastAsia"/>
                <w:bCs/>
                <w:color w:val="000000" w:themeColor="text1"/>
                <w:sz w:val="24"/>
                <w:highlight w:val="none"/>
                <w14:textFill>
                  <w14:solidFill>
                    <w14:schemeClr w14:val="tx1"/>
                  </w14:solidFill>
                </w14:textFill>
              </w:rPr>
              <w:t>表土堆</w:t>
            </w:r>
            <w:r>
              <w:rPr>
                <w:rFonts w:hint="eastAsia"/>
                <w:bCs/>
                <w:color w:val="000000" w:themeColor="text1"/>
                <w:sz w:val="24"/>
                <w:highlight w:val="none"/>
                <w:lang w:val="en-US" w:eastAsia="zh-CN"/>
                <w14:textFill>
                  <w14:solidFill>
                    <w14:schemeClr w14:val="tx1"/>
                  </w14:solidFill>
                </w14:textFill>
              </w:rPr>
              <w:t>场的设置位置远离周边农户，堆场表面压实后采用</w:t>
            </w:r>
            <w:r>
              <w:rPr>
                <w:rFonts w:hint="eastAsia"/>
                <w:bCs/>
                <w:color w:val="000000" w:themeColor="text1"/>
                <w:sz w:val="24"/>
                <w:highlight w:val="none"/>
                <w14:textFill>
                  <w14:solidFill>
                    <w14:schemeClr w14:val="tx1"/>
                  </w14:solidFill>
                </w14:textFill>
              </w:rPr>
              <w:t>苫布遮盖</w:t>
            </w: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堆场四周设置截水沟，收集废水引入临时沉淀池。采取上述措施后，堆场扬尘及废水</w:t>
            </w:r>
            <w:r>
              <w:rPr>
                <w:rFonts w:hint="eastAsia"/>
                <w:bCs/>
                <w:color w:val="000000" w:themeColor="text1"/>
                <w:sz w:val="24"/>
                <w:highlight w:val="none"/>
                <w14:textFill>
                  <w14:solidFill>
                    <w14:schemeClr w14:val="tx1"/>
                  </w14:solidFill>
                </w14:textFill>
              </w:rPr>
              <w:t>不会对环境产生明显影响。</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val="0"/>
                <w:color w:val="000000" w:themeColor="text1"/>
                <w:sz w:val="24"/>
                <w:highlight w:val="none"/>
                <w14:textFill>
                  <w14:solidFill>
                    <w14:schemeClr w14:val="tx1"/>
                  </w14:solidFill>
                </w14:textFill>
              </w:rPr>
            </w:pPr>
            <w:r>
              <w:rPr>
                <w:rFonts w:hint="eastAsia"/>
                <w:b/>
                <w:bCs w:val="0"/>
                <w:color w:val="000000" w:themeColor="text1"/>
                <w:sz w:val="24"/>
                <w:highlight w:val="none"/>
                <w:lang w:val="en-US" w:eastAsia="zh-CN"/>
                <w14:textFill>
                  <w14:solidFill>
                    <w14:schemeClr w14:val="tx1"/>
                  </w14:solidFill>
                </w14:textFill>
              </w:rPr>
              <w:t>6</w:t>
            </w:r>
            <w:r>
              <w:rPr>
                <w:rFonts w:hint="eastAsia"/>
                <w:b/>
                <w:bCs w:val="0"/>
                <w:color w:val="000000" w:themeColor="text1"/>
                <w:sz w:val="24"/>
                <w:highlight w:val="none"/>
                <w14:textFill>
                  <w14:solidFill>
                    <w14:schemeClr w14:val="tx1"/>
                  </w14:solidFill>
                </w14:textFill>
              </w:rPr>
              <w:t>、生态环境影响分析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1）项目基础填挖使沿线的植被遭到破坏，耕地被侵占，地表裸露，从而使沿线地区的局部生态结构发生一定的变化，裸露的地面被雨水冲刷后将造成水土流失，进而降低土壤肥力，影响局部水文条件和陆生生态系统的稳定性。</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（2）</w:t>
            </w:r>
            <w:r>
              <w:rPr>
                <w:rFonts w:hint="eastAsia"/>
                <w:bCs/>
                <w:color w:val="000000" w:themeColor="text1"/>
                <w:sz w:val="24"/>
                <w:highlight w:val="none"/>
                <w:lang w:val="en-US" w:eastAsia="zh-CN"/>
                <w14:textFill>
                  <w14:solidFill>
                    <w14:schemeClr w14:val="tx1"/>
                  </w14:solidFill>
                </w14:textFill>
              </w:rPr>
              <w:t>陆生生态环境</w:t>
            </w:r>
            <w:r>
              <w:rPr>
                <w:rFonts w:hint="eastAsia"/>
                <w:bCs/>
                <w:color w:val="000000" w:themeColor="text1"/>
                <w:sz w:val="24"/>
                <w:highlight w:val="none"/>
                <w14:textFill>
                  <w14:solidFill>
                    <w14:schemeClr w14:val="tx1"/>
                  </w14:solidFill>
                </w14:textFill>
              </w:rPr>
              <w:t>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本项目的实施对当地动物生境产生切割，对动物的活动、繁衍、觅食及迁徙等产生不同程度影响。为保护当地生物多样性，施工期主要保护对策如下：</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①控制施工作业带，尽量减少施工对周边植被的破坏，对临时占地进行植被恢复，增加道路两侧绿化面积；</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②加强对施工人员的管理，水禽、鸟类及所有野生动物，禁止施工人员捕食；</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③保持水土，禁止污染物直排，保障附近陆生生物栖息地得到保护。</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在落实上述措施后，不会造成该区域物种数的减少和种群结构的变化，不会破坏周围生态系统的完整性，对周围自然生态环境的影响程度较轻。</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（3）水生</w:t>
            </w:r>
            <w:r>
              <w:rPr>
                <w:rFonts w:hint="eastAsia"/>
                <w:bCs/>
                <w:color w:val="000000" w:themeColor="text1"/>
                <w:sz w:val="24"/>
                <w:highlight w:val="none"/>
                <w:lang w:val="en-US" w:eastAsia="zh-CN"/>
                <w14:textFill>
                  <w14:solidFill>
                    <w14:schemeClr w14:val="tx1"/>
                  </w14:solidFill>
                </w14:textFill>
              </w:rPr>
              <w:t>生态环境</w:t>
            </w:r>
            <w:r>
              <w:rPr>
                <w:rFonts w:hint="eastAsia"/>
                <w:bCs/>
                <w:color w:val="000000" w:themeColor="text1"/>
                <w:sz w:val="24"/>
                <w:highlight w:val="none"/>
                <w14:textFill>
                  <w14:solidFill>
                    <w14:schemeClr w14:val="tx1"/>
                  </w14:solidFill>
                </w14:textFill>
              </w:rPr>
              <w:t>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bCs/>
                <w:color w:val="000000" w:themeColor="text1"/>
                <w:sz w:val="24"/>
                <w:highlight w:val="none"/>
                <w:lang w:val="en-US" w:eastAsia="zh-CN"/>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本项目无涉水施工作业，距离本</w:t>
            </w:r>
            <w:r>
              <w:rPr>
                <w:rFonts w:hint="eastAsia"/>
                <w:bCs/>
                <w:color w:val="000000" w:themeColor="text1"/>
                <w:kern w:val="0"/>
                <w:sz w:val="24"/>
                <w:highlight w:val="none"/>
                <w:lang w:val="en-US" w:eastAsia="zh-CN"/>
                <w14:textFill>
                  <w14:solidFill>
                    <w14:schemeClr w14:val="tx1"/>
                  </w14:solidFill>
                </w14:textFill>
              </w:rPr>
              <w:t>项目最近的河流为项目东侧约1.7公里的双龙河</w:t>
            </w:r>
            <w:r>
              <w:rPr>
                <w:rFonts w:hint="eastAsia"/>
                <w:bCs/>
                <w:color w:val="000000" w:themeColor="text1"/>
                <w:sz w:val="24"/>
                <w:highlight w:val="none"/>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本项目废水经治理后对双龙河水生生态环境几乎无影响。</w:t>
            </w:r>
          </w:p>
          <w:p>
            <w:pPr>
              <w:keepNext w:val="0"/>
              <w:keepLines w:val="0"/>
              <w:widowControl/>
              <w:suppressLineNumbers w:val="0"/>
              <w:autoSpaceDE w:val="0"/>
              <w:autoSpaceDN w:val="0"/>
              <w:adjustRightInd w:val="0"/>
              <w:spacing w:before="0" w:beforeAutospacing="0" w:after="0" w:afterAutospacing="0" w:line="360" w:lineRule="auto"/>
              <w:ind w:left="0" w:right="0" w:firstLine="480" w:firstLineChars="200"/>
              <w:rPr>
                <w:rFonts w:hint="default"/>
                <w:bCs/>
                <w:color w:val="000000" w:themeColor="text1"/>
                <w:kern w:val="0"/>
                <w:sz w:val="24"/>
                <w:highlight w:val="none"/>
                <w:lang w:val="en-US"/>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79" w:type="dxa"/>
            <w:tcMar>
              <w:left w:w="28" w:type="dxa"/>
              <w:right w:w="28" w:type="dxa"/>
            </w:tcMar>
            <w:vAlign w:val="center"/>
          </w:tcPr>
          <w:p>
            <w:pPr>
              <w:pStyle w:val="19"/>
              <w:keepNext w:val="0"/>
              <w:keepLines w:val="0"/>
              <w:suppressLineNumbers w:val="0"/>
              <w:adjustRightInd w:val="0"/>
              <w:snapToGrid w:val="0"/>
              <w:spacing w:before="0" w:beforeAutospacing="0" w:after="0" w:afterAutospacing="0"/>
              <w:ind w:left="0" w:right="0"/>
              <w:jc w:val="center"/>
              <w:rPr>
                <w:rFonts w:ascii="Times New Roman" w:hAnsi="Times New Roman"/>
                <w:bCs/>
                <w:color w:val="000000" w:themeColor="text1"/>
                <w:kern w:val="2"/>
                <w:highlight w:val="none"/>
                <w14:textFill>
                  <w14:solidFill>
                    <w14:schemeClr w14:val="tx1"/>
                  </w14:solidFill>
                </w14:textFill>
              </w:rPr>
            </w:pPr>
            <w:r>
              <w:rPr>
                <w:rFonts w:ascii="Times New Roman" w:hAnsi="Times New Roman"/>
                <w:bCs/>
                <w:color w:val="000000" w:themeColor="text1"/>
                <w:spacing w:val="10"/>
                <w:kern w:val="2"/>
                <w:highlight w:val="none"/>
                <w14:textFill>
                  <w14:solidFill>
                    <w14:schemeClr w14:val="tx1"/>
                  </w14:solidFill>
                </w14:textFill>
              </w:rPr>
              <w:t>运营期生态环境影响分析</w:t>
            </w:r>
          </w:p>
        </w:tc>
        <w:tc>
          <w:tcPr>
            <w:tcW w:w="8363" w:type="dxa"/>
          </w:tcPr>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000000" w:themeColor="text1"/>
                <w:sz w:val="24"/>
                <w:szCs w:val="24"/>
                <w:highlight w:val="none"/>
                <w:lang w:val="en-US"/>
                <w14:textFill>
                  <w14:solidFill>
                    <w14:schemeClr w14:val="tx1"/>
                  </w14:solidFill>
                </w14:textFill>
              </w:rPr>
            </w:pPr>
            <w:r>
              <w:rPr>
                <w:rFonts w:hint="default"/>
                <w:b/>
                <w:bCs/>
                <w:color w:val="000000" w:themeColor="text1"/>
                <w:sz w:val="24"/>
                <w:szCs w:val="24"/>
                <w:highlight w:val="none"/>
                <w:lang w:val="en-US" w:eastAsia="zh-CN"/>
                <w14:textFill>
                  <w14:solidFill>
                    <w14:schemeClr w14:val="tx1"/>
                  </w14:solidFill>
                </w14:textFill>
              </w:rPr>
              <w:t>1</w:t>
            </w:r>
            <w:r>
              <w:rPr>
                <w:rFonts w:hint="eastAsia"/>
                <w:b/>
                <w:bCs/>
                <w:color w:val="000000" w:themeColor="text1"/>
                <w:sz w:val="24"/>
                <w:szCs w:val="24"/>
                <w:highlight w:val="none"/>
                <w:lang w:val="en-US" w:eastAsia="zh-CN"/>
                <w14:textFill>
                  <w14:solidFill>
                    <w14:schemeClr w14:val="tx1"/>
                  </w14:solidFill>
                </w14:textFill>
              </w:rPr>
              <w:t>、生态环境影响分析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 w:val="0"/>
                <w:bCs w:val="0"/>
                <w:color w:val="000000" w:themeColor="text1"/>
                <w:sz w:val="24"/>
                <w:szCs w:val="24"/>
                <w:highlight w:val="none"/>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w:t>
            </w:r>
            <w:r>
              <w:rPr>
                <w:rFonts w:hint="default"/>
                <w:b w:val="0"/>
                <w:bCs w:val="0"/>
                <w:color w:val="000000" w:themeColor="text1"/>
                <w:sz w:val="24"/>
                <w:szCs w:val="24"/>
                <w:highlight w:val="none"/>
                <w:lang w:val="en-US" w:eastAsia="zh-CN"/>
                <w14:textFill>
                  <w14:solidFill>
                    <w14:schemeClr w14:val="tx1"/>
                  </w14:solidFill>
                </w14:textFill>
              </w:rPr>
              <w:t>1</w:t>
            </w:r>
            <w:r>
              <w:rPr>
                <w:rFonts w:hint="eastAsia"/>
                <w:b w:val="0"/>
                <w:bCs w:val="0"/>
                <w:color w:val="000000" w:themeColor="text1"/>
                <w:sz w:val="24"/>
                <w:szCs w:val="24"/>
                <w:highlight w:val="none"/>
                <w:lang w:val="en-US" w:eastAsia="zh-CN"/>
                <w14:textFill>
                  <w14:solidFill>
                    <w14:schemeClr w14:val="tx1"/>
                  </w14:solidFill>
                </w14:textFill>
              </w:rPr>
              <w:t>）对动植物物种的影响分析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000000" w:themeColor="text1"/>
                <w:sz w:val="24"/>
                <w:szCs w:val="24"/>
                <w:highlight w:val="none"/>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lang w:val="en-US" w:eastAsia="zh-CN"/>
                <w14:textFill>
                  <w14:solidFill>
                    <w14:schemeClr w14:val="tx1"/>
                  </w14:solidFill>
                </w14:textFill>
              </w:rPr>
              <w:t>）植物</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道路投入使用后，行驶车辆尾气的排放和引起的路面扬尘，对沿线植被有一定污染影响，但整体上影响较小。道路红线内种植了行道树并设置了绿化带，道路周边对损坏的植被进行了恢复补偿，通过人工种植绿植同时加强绿化补偿，可保证区域植被覆盖率不因本项目的建设而明显变化，还可减小道路运营期废气对周边区域植物的污染影响。</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000000" w:themeColor="text1"/>
                <w:sz w:val="24"/>
                <w:szCs w:val="24"/>
                <w:highlight w:val="none"/>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lang w:val="en-US" w:eastAsia="zh-CN"/>
                <w14:textFill>
                  <w14:solidFill>
                    <w14:schemeClr w14:val="tx1"/>
                  </w14:solidFill>
                </w14:textFill>
              </w:rPr>
              <w:t>）动物物种</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本项目为新建道路，将对占地范围内原有动物物种的栖息地产生不可逆破坏。但项目占地范围不大，且周边均为同类型的农村环境，动物可就近迁徙至周边同类生境继续生息繁衍，不会对动物物种产生影响。</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w:t>
            </w:r>
            <w:r>
              <w:rPr>
                <w:rFonts w:hint="default"/>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lang w:val="en-US" w:eastAsia="zh-CN"/>
                <w14:textFill>
                  <w14:solidFill>
                    <w14:schemeClr w14:val="tx1"/>
                  </w14:solidFill>
                </w14:textFill>
              </w:rPr>
              <w:t>）对沿线自然景观的影响分析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施工期间，裸露的地表，堆放的建材等，对区域自然景观造成一定破坏，视觉上不美观。但项目竣工后，崭新的道路、沿线配套的绿化及周边绿化恢复补偿将使道路形成绿色走廊，与周边自然景观相协调，因此本项目运营期对景观影响小。项目所在地区基本属于农村环境，自然景观一般，随着本项目的建成投运，将逐步带动周边环境的提升，从而进一步改善沿线自然景观。</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000000" w:themeColor="text1"/>
                <w:sz w:val="24"/>
                <w:szCs w:val="24"/>
                <w:highlight w:val="none"/>
                <w:lang w:val="en-US"/>
                <w14:textFill>
                  <w14:solidFill>
                    <w14:schemeClr w14:val="tx1"/>
                  </w14:solidFill>
                </w14:textFill>
              </w:rPr>
            </w:pPr>
            <w:r>
              <w:rPr>
                <w:rFonts w:hint="default"/>
                <w:b/>
                <w:bCs/>
                <w:color w:val="000000" w:themeColor="text1"/>
                <w:sz w:val="24"/>
                <w:szCs w:val="24"/>
                <w:highlight w:val="none"/>
                <w:lang w:val="en-US" w:eastAsia="zh-CN"/>
                <w14:textFill>
                  <w14:solidFill>
                    <w14:schemeClr w14:val="tx1"/>
                  </w14:solidFill>
                </w14:textFill>
              </w:rPr>
              <w:t>2</w:t>
            </w:r>
            <w:r>
              <w:rPr>
                <w:rFonts w:hint="eastAsia"/>
                <w:b/>
                <w:bCs/>
                <w:color w:val="000000" w:themeColor="text1"/>
                <w:sz w:val="24"/>
                <w:szCs w:val="24"/>
                <w:highlight w:val="none"/>
                <w:lang w:val="en-US" w:eastAsia="zh-CN"/>
                <w14:textFill>
                  <w14:solidFill>
                    <w14:schemeClr w14:val="tx1"/>
                  </w14:solidFill>
                </w14:textFill>
              </w:rPr>
              <w:t>、大气环境影响分析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项目运营后的废气主要为汽车尾气，其次为路面扬尘。</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sz w:val="24"/>
                <w:szCs w:val="24"/>
                <w:highlight w:val="none"/>
                <w:lang w:val="en-US"/>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类比同类型项目，道路运营期评价时段内各项大气污染物浓度小时预测浓度较低，均可控制在《环境空气质量标准》（</w:t>
            </w:r>
            <w:r>
              <w:rPr>
                <w:rFonts w:hint="default"/>
                <w:color w:val="000000" w:themeColor="text1"/>
                <w:sz w:val="24"/>
                <w:szCs w:val="24"/>
                <w:highlight w:val="none"/>
                <w:lang w:val="en-US" w:eastAsia="zh-CN"/>
                <w14:textFill>
                  <w14:solidFill>
                    <w14:schemeClr w14:val="tx1"/>
                  </w14:solidFill>
                </w14:textFill>
              </w:rPr>
              <w:t>GB3095-2012</w:t>
            </w:r>
            <w:r>
              <w:rPr>
                <w:rFonts w:hint="eastAsia"/>
                <w:color w:val="000000" w:themeColor="text1"/>
                <w:sz w:val="24"/>
                <w:szCs w:val="24"/>
                <w:highlight w:val="none"/>
                <w:lang w:val="en-US" w:eastAsia="zh-CN"/>
                <w14:textFill>
                  <w14:solidFill>
                    <w14:schemeClr w14:val="tx1"/>
                  </w14:solidFill>
                </w14:textFill>
              </w:rPr>
              <w:t>）规定的二级标准范围之内。项目道路路面状况较好，行车速度和行车安全都较高，汽车怠速尾气排放对沿线环境造成的影响较小。项目区域环境空气好，无大的尘源，故路面扬尘较小。</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随着科技的发展（低能耗、新能源汽车工业的发展）以及国家对机动车尾气排放标准的日益提高，项目车辆尾气对沿线环境敏感点的影响将会越来越小。为进一步减小汽车尾气和路面扬尘对沿线环境敏感点的影响，建议结合当地生态建设等规划，在敏感点附近加强绿化种植，既可净化吸收机动车尾气中的污染物，阻隔道路粉尘，又可以美化环境，改善路容。</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000000" w:themeColor="text1"/>
                <w:sz w:val="24"/>
                <w:szCs w:val="24"/>
                <w:highlight w:val="none"/>
                <w:lang w:val="en-US"/>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3、地表水环境影响分析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本项目营运期产生的废水主要是降雨产生的路面径流。此外，行驶车发生事故后也可能对水环境产生影响。</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建成后，路面为不透水的路面，在运输过程中洒落路面的少量尘土、油污及垃圾等污物，降雨时被冲刷随路面径流进入地表水，对地表水造成一定污染，尤以降雨初期时的污染最为严重。降雨冲刷路面产生的路面径流污水，影响因素包括降雨强度、降雨历时、降雨频率、车流量、路面宽度和产污路段长度等。</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根据国内对南方地区路面径流污染情况实验有关资料，在车流量和降雨量已知情况下，降雨历时1小时，降雨强度为81.6mm，在1小时内按不同时段采集水样，测定分析路面径流污染物的变化情况。测定结果表明，降雨初期到形成路面径流的30min内，雨水径流中的悬浮物和油类物质的浓度比较高，SS和石油类的含量可达158.5~231.4mg/L、19.74~22.30mg/L；30min后，其浓度随降雨历时的延长下降较快。雨水径流中的生化需氧量随降雨历时的延长下降速度较前者慢，pH值相对较稳定，满足相应标准。</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000000" w:themeColor="text1"/>
                <w:sz w:val="24"/>
                <w:szCs w:val="24"/>
                <w:highlight w:val="none"/>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项目拟采取的措施为，</w:t>
            </w:r>
            <w:r>
              <w:rPr>
                <w:rFonts w:hint="eastAsia" w:ascii="宋体" w:hAnsi="宋体"/>
                <w:color w:val="000000" w:themeColor="text1"/>
                <w:sz w:val="24"/>
                <w:highlight w:val="none"/>
                <w14:textFill>
                  <w14:solidFill>
                    <w14:schemeClr w14:val="tx1"/>
                  </w14:solidFill>
                </w14:textFill>
              </w:rPr>
              <w:t>一般路段路面水通过路面横坡排至雨水篦子，收集</w:t>
            </w:r>
            <w:r>
              <w:rPr>
                <w:rFonts w:ascii="宋体" w:hAnsi="宋体"/>
                <w:color w:val="000000" w:themeColor="text1"/>
                <w:sz w:val="24"/>
                <w:highlight w:val="none"/>
                <w14:textFill>
                  <w14:solidFill>
                    <w14:schemeClr w14:val="tx1"/>
                  </w14:solidFill>
                </w14:textFill>
              </w:rPr>
              <w:t>雨水至雨水管网</w:t>
            </w:r>
            <w:r>
              <w:rPr>
                <w:rFonts w:hint="eastAsia" w:ascii="宋体" w:hAnsi="宋体"/>
                <w:color w:val="000000" w:themeColor="text1"/>
                <w:sz w:val="24"/>
                <w:highlight w:val="none"/>
                <w:lang w:val="en-US" w:eastAsia="zh-CN"/>
                <w14:textFill>
                  <w14:solidFill>
                    <w14:schemeClr w14:val="tx1"/>
                  </w14:solidFill>
                </w14:textFill>
              </w:rPr>
              <w:t>后进入周边沟渠；路基及路堤处设置排水沟，收集的径流雨水进入周边沟渠。</w:t>
            </w:r>
            <w:r>
              <w:rPr>
                <w:rFonts w:hint="eastAsia"/>
                <w:color w:val="000000" w:themeColor="text1"/>
                <w:sz w:val="24"/>
                <w:szCs w:val="24"/>
                <w:highlight w:val="none"/>
                <w:lang w:val="en-US" w:eastAsia="zh-CN"/>
                <w14:textFill>
                  <w14:solidFill>
                    <w14:schemeClr w14:val="tx1"/>
                  </w14:solidFill>
                </w14:textFill>
              </w:rPr>
              <w:t>环评还建议采取以下措施：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①加强营运期道路的管理，及时清除运输车辆抛洒在路面的污染物，保持路面清洁；</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②降雨形成的地面径流通过桥面排水管排出；</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③桥梁设置防撞栏，加强防护能力；杜绝因交通事故而对地表水环境造成影响。</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sz w:val="24"/>
                <w:szCs w:val="24"/>
                <w:highlight w:val="none"/>
                <w:lang w:val="en-US"/>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、声环境影响分析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sz w:val="24"/>
                <w:szCs w:val="24"/>
                <w:highlight w:val="none"/>
                <w:lang w:val="en-US"/>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根据噪声专项分析，项目运营近期、中期、远期交通干线边界线外</w:t>
            </w:r>
            <w:r>
              <w:rPr>
                <w:rFonts w:hint="default"/>
                <w:color w:val="000000" w:themeColor="text1"/>
                <w:sz w:val="24"/>
                <w:szCs w:val="24"/>
                <w:highlight w:val="none"/>
                <w:lang w:val="en-US" w:eastAsia="zh-CN"/>
                <w14:textFill>
                  <w14:solidFill>
                    <w14:schemeClr w14:val="tx1"/>
                  </w14:solidFill>
                </w14:textFill>
              </w:rPr>
              <w:t>35m</w:t>
            </w:r>
            <w:r>
              <w:rPr>
                <w:rFonts w:hint="eastAsia"/>
                <w:color w:val="000000" w:themeColor="text1"/>
                <w:sz w:val="24"/>
                <w:szCs w:val="24"/>
                <w:highlight w:val="none"/>
                <w:lang w:val="en-US" w:eastAsia="zh-CN"/>
                <w14:textFill>
                  <w14:solidFill>
                    <w14:schemeClr w14:val="tx1"/>
                  </w14:solidFill>
                </w14:textFill>
              </w:rPr>
              <w:t>范围内昼间、夜间噪声贡献值均符合《声环境质量标准》</w:t>
            </w:r>
            <w:r>
              <w:rPr>
                <w:rFonts w:hint="default"/>
                <w:color w:val="000000" w:themeColor="text1"/>
                <w:sz w:val="24"/>
                <w:szCs w:val="24"/>
                <w:highlight w:val="none"/>
                <w:lang w:val="en-US" w:eastAsia="zh-CN"/>
                <w14:textFill>
                  <w14:solidFill>
                    <w14:schemeClr w14:val="tx1"/>
                  </w14:solidFill>
                </w14:textFill>
              </w:rPr>
              <w:t>(GB3096-2008</w:t>
            </w:r>
            <w:r>
              <w:rPr>
                <w:rFonts w:hint="eastAsia"/>
                <w:color w:val="000000" w:themeColor="text1"/>
                <w:sz w:val="24"/>
                <w:szCs w:val="24"/>
                <w:highlight w:val="none"/>
                <w:lang w:val="en-US" w:eastAsia="zh-CN"/>
                <w14:textFill>
                  <w14:solidFill>
                    <w14:schemeClr w14:val="tx1"/>
                  </w14:solidFill>
                </w14:textFill>
              </w:rPr>
              <w:t>）</w:t>
            </w:r>
            <w:r>
              <w:rPr>
                <w:rFonts w:hint="default"/>
                <w:color w:val="000000" w:themeColor="text1"/>
                <w:sz w:val="24"/>
                <w:szCs w:val="24"/>
                <w:highlight w:val="none"/>
                <w:lang w:val="en-US" w:eastAsia="zh-CN"/>
                <w14:textFill>
                  <w14:solidFill>
                    <w14:schemeClr w14:val="tx1"/>
                  </w14:solidFill>
                </w14:textFill>
              </w:rPr>
              <w:t>4a</w:t>
            </w:r>
            <w:r>
              <w:rPr>
                <w:rFonts w:hint="eastAsia"/>
                <w:color w:val="000000" w:themeColor="text1"/>
                <w:sz w:val="24"/>
                <w:szCs w:val="24"/>
                <w:highlight w:val="none"/>
                <w:lang w:val="en-US" w:eastAsia="zh-CN"/>
                <w14:textFill>
                  <w14:solidFill>
                    <w14:schemeClr w14:val="tx1"/>
                  </w14:solidFill>
                </w14:textFill>
              </w:rPr>
              <w:t>类标准要求。道路两侧涉及的敏感点的近期、中期及远期的昼间、夜间噪声值均满足《声环境质量标准》（</w:t>
            </w:r>
            <w:r>
              <w:rPr>
                <w:rFonts w:hint="default"/>
                <w:color w:val="000000" w:themeColor="text1"/>
                <w:sz w:val="24"/>
                <w:szCs w:val="24"/>
                <w:highlight w:val="none"/>
                <w:lang w:val="en-US" w:eastAsia="zh-CN"/>
                <w14:textFill>
                  <w14:solidFill>
                    <w14:schemeClr w14:val="tx1"/>
                  </w14:solidFill>
                </w14:textFill>
              </w:rPr>
              <w:t>GB3096-2008</w:t>
            </w:r>
            <w:r>
              <w:rPr>
                <w:rFonts w:hint="eastAsia"/>
                <w:color w:val="000000" w:themeColor="text1"/>
                <w:sz w:val="24"/>
                <w:szCs w:val="24"/>
                <w:highlight w:val="none"/>
                <w:lang w:val="en-US" w:eastAsia="zh-CN"/>
                <w14:textFill>
                  <w14:solidFill>
                    <w14:schemeClr w14:val="tx1"/>
                  </w14:solidFill>
                </w14:textFill>
              </w:rPr>
              <w:t>）</w:t>
            </w:r>
            <w:r>
              <w:rPr>
                <w:rFonts w:hint="default"/>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lang w:val="en-US" w:eastAsia="zh-CN"/>
                <w14:textFill>
                  <w14:solidFill>
                    <w14:schemeClr w14:val="tx1"/>
                  </w14:solidFill>
                </w14:textFill>
              </w:rPr>
              <w:t>类或</w:t>
            </w:r>
            <w:r>
              <w:rPr>
                <w:rFonts w:hint="default"/>
                <w:color w:val="000000" w:themeColor="text1"/>
                <w:sz w:val="24"/>
                <w:szCs w:val="24"/>
                <w:highlight w:val="none"/>
                <w:lang w:val="en-US" w:eastAsia="zh-CN"/>
                <w14:textFill>
                  <w14:solidFill>
                    <w14:schemeClr w14:val="tx1"/>
                  </w14:solidFill>
                </w14:textFill>
              </w:rPr>
              <w:t>4a</w:t>
            </w:r>
            <w:r>
              <w:rPr>
                <w:rFonts w:hint="eastAsia"/>
                <w:color w:val="000000" w:themeColor="text1"/>
                <w:sz w:val="24"/>
                <w:szCs w:val="24"/>
                <w:highlight w:val="none"/>
                <w:lang w:val="en-US" w:eastAsia="zh-CN"/>
                <w14:textFill>
                  <w14:solidFill>
                    <w14:schemeClr w14:val="tx1"/>
                  </w14:solidFill>
                </w14:textFill>
              </w:rPr>
              <w:t>类标准。具体详见噪声专章。</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sz w:val="24"/>
                <w:szCs w:val="24"/>
                <w:highlight w:val="none"/>
                <w:lang w:val="en-US"/>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4</w:t>
            </w:r>
            <w:r>
              <w:rPr>
                <w:rFonts w:hint="eastAsia"/>
                <w:color w:val="000000" w:themeColor="text1"/>
                <w:sz w:val="24"/>
                <w:szCs w:val="24"/>
                <w:highlight w:val="none"/>
                <w:lang w:val="en-US" w:eastAsia="zh-CN"/>
                <w14:textFill>
                  <w14:solidFill>
                    <w14:schemeClr w14:val="tx1"/>
                  </w14:solidFill>
                </w14:textFill>
              </w:rPr>
              <w:t>、固体废物影响分析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运营期道路本身不产生固废，固体废物主要来自行人产生的固废和车辆运输过程中沿途洒落的少量路面垃圾。路面垃圾由市政清洁人员定期进行清理，由环卫部门统一清运、处理。</w:t>
            </w:r>
            <w:r>
              <w:rPr>
                <w:rFonts w:hint="eastAsia"/>
                <w:color w:val="000000" w:themeColor="text1"/>
                <w:sz w:val="24"/>
                <w:szCs w:val="24"/>
                <w:highlight w:val="none"/>
                <w:lang w:val="en-US" w:eastAsia="zh-CN"/>
                <w14:textFill>
                  <w14:solidFill>
                    <w14:schemeClr w14:val="tx1"/>
                  </w14:solidFill>
                </w14:textFill>
              </w:rPr>
              <w:t>道路照明灯具产生的废弃灯管应在更换后及时交由相应资质单位处理。</w:t>
            </w:r>
            <w:r>
              <w:rPr>
                <w:rFonts w:hint="eastAsia"/>
                <w:color w:val="000000" w:themeColor="text1"/>
                <w:sz w:val="24"/>
                <w:szCs w:val="24"/>
                <w:highlight w:val="none"/>
                <w14:textFill>
                  <w14:solidFill>
                    <w14:schemeClr w14:val="tx1"/>
                  </w14:solidFill>
                </w14:textFill>
              </w:rPr>
              <w:t>因此，项目营运期产生的固体废物对周边环境影响较小。</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sz w:val="24"/>
                <w:szCs w:val="24"/>
                <w:highlight w:val="none"/>
                <w:lang w:val="en-US"/>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lang w:val="en-US" w:eastAsia="zh-CN"/>
                <w14:textFill>
                  <w14:solidFill>
                    <w14:schemeClr w14:val="tx1"/>
                  </w14:solidFill>
                </w14:textFill>
              </w:rPr>
              <w:t>、环境风险分析</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textAlignment w:val="bottom"/>
              <w:rPr>
                <w:rFonts w:hint="eastAsia" w:ascii="Times New Roman" w:hAnsi="Times New Roman"/>
                <w:b w:val="0"/>
                <w:bCs w:val="0"/>
                <w:color w:val="000000" w:themeColor="text1"/>
                <w:sz w:val="24"/>
                <w:highlight w:val="none"/>
                <w14:textFill>
                  <w14:solidFill>
                    <w14:schemeClr w14:val="tx1"/>
                  </w14:solidFill>
                </w14:textFill>
              </w:rPr>
            </w:pPr>
            <w:r>
              <w:rPr>
                <w:rFonts w:hint="eastAsia" w:ascii="Times New Roman" w:hAnsi="Times New Roman"/>
                <w:b w:val="0"/>
                <w:bCs w:val="0"/>
                <w:color w:val="000000" w:themeColor="text1"/>
                <w:sz w:val="24"/>
                <w:highlight w:val="none"/>
                <w14:textFill>
                  <w14:solidFill>
                    <w14:schemeClr w14:val="tx1"/>
                  </w14:solidFill>
                </w14:textFill>
              </w:rPr>
              <w:t>（1）评价依据</w:t>
            </w:r>
          </w:p>
          <w:p>
            <w:pPr>
              <w:keepNext w:val="0"/>
              <w:keepLines w:val="0"/>
              <w:suppressLineNumbers w:val="0"/>
              <w:spacing w:before="0" w:beforeAutospacing="0" w:after="0" w:afterAutospacing="0" w:line="360" w:lineRule="auto"/>
              <w:ind w:left="0" w:right="120" w:rightChars="57" w:firstLine="480" w:firstLineChars="200"/>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color w:val="000000" w:themeColor="text1"/>
                <w:sz w:val="24"/>
                <w:highlight w:val="none"/>
                <w14:textFill>
                  <w14:solidFill>
                    <w14:schemeClr w14:val="tx1"/>
                  </w14:solidFill>
                </w14:textFill>
              </w:rPr>
              <w:t>按照《建设项目环境风险评价技术导则》（</w:t>
            </w:r>
            <w:r>
              <w:rPr>
                <w:rFonts w:ascii="Times New Roman" w:hAnsi="Times New Roman"/>
                <w:color w:val="000000" w:themeColor="text1"/>
                <w:sz w:val="24"/>
                <w:highlight w:val="none"/>
                <w14:textFill>
                  <w14:solidFill>
                    <w14:schemeClr w14:val="tx1"/>
                  </w14:solidFill>
                </w14:textFill>
              </w:rPr>
              <w:t>HJ169-2018</w:t>
            </w:r>
            <w:r>
              <w:rPr>
                <w:rFonts w:hint="eastAsia" w:ascii="Times New Roman" w:hAnsi="Times New Roman"/>
                <w:color w:val="000000" w:themeColor="text1"/>
                <w:sz w:val="24"/>
                <w:highlight w:val="none"/>
                <w14:textFill>
                  <w14:solidFill>
                    <w14:schemeClr w14:val="tx1"/>
                  </w14:solidFill>
                </w14:textFill>
              </w:rPr>
              <w:t>）的等级划分标准，环境风险评价工作等级划分为一级、二级、三级。根据建设项目涉及的物质及工艺系统危险性和所在地的环境敏感性确定环境风险潜势。风险潜势为Ⅳ及以上，进行一级评价；风险潜势为Ⅲ，进行二级评价；风险潜势为Ⅱ，进行三级评价；风险潜势为Ⅰ，可开展简单分析。</w:t>
            </w:r>
            <w:r>
              <w:rPr>
                <w:rFonts w:hint="eastAsia" w:ascii="Times New Roman" w:hAnsi="Times New Roman"/>
                <w:b/>
                <w:bCs/>
                <w:color w:val="000000" w:themeColor="text1"/>
                <w:sz w:val="24"/>
                <w:highlight w:val="none"/>
                <w14:textFill>
                  <w14:solidFill>
                    <w14:schemeClr w14:val="tx1"/>
                  </w14:solidFill>
                </w14:textFill>
              </w:rPr>
              <w:t>本项目位于环境低度敏感区，风险潜势为Ⅰ，因此做简单分析</w:t>
            </w:r>
            <w:r>
              <w:rPr>
                <w:rFonts w:hint="eastAsia" w:ascii="Times New Roman" w:hAnsi="Times New Roman"/>
                <w:color w:val="000000" w:themeColor="text1"/>
                <w:sz w:val="24"/>
                <w:highlight w:val="none"/>
                <w14:textFill>
                  <w14:solidFill>
                    <w14:schemeClr w14:val="tx1"/>
                  </w14:solidFill>
                </w14:textFill>
              </w:rPr>
              <w:t>。</w:t>
            </w:r>
          </w:p>
          <w:p>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textAlignment w:val="bottom"/>
              <w:rPr>
                <w:rFonts w:hint="eastAsia" w:ascii="Times New Roman" w:hAnsi="Times New Roman"/>
                <w:b/>
                <w:bCs/>
                <w:color w:val="000000" w:themeColor="text1"/>
                <w:sz w:val="24"/>
                <w:highlight w:val="none"/>
                <w14:textFill>
                  <w14:solidFill>
                    <w14:schemeClr w14:val="tx1"/>
                  </w14:solidFill>
                </w14:textFill>
              </w:rPr>
            </w:pPr>
            <w:r>
              <w:rPr>
                <w:rFonts w:hint="eastAsia" w:ascii="Times New Roman" w:hAnsi="Times New Roman"/>
                <w:b/>
                <w:bCs/>
                <w:color w:val="000000" w:themeColor="text1"/>
                <w:sz w:val="24"/>
                <w:highlight w:val="none"/>
                <w14:textFill>
                  <w14:solidFill>
                    <w14:schemeClr w14:val="tx1"/>
                  </w14:solidFill>
                </w14:textFill>
              </w:rPr>
              <w:t>（2）环境风险识别及风险分析</w:t>
            </w:r>
          </w:p>
          <w:p>
            <w:pPr>
              <w:keepNext w:val="0"/>
              <w:keepLines w:val="0"/>
              <w:suppressLineNumbers w:val="0"/>
              <w:spacing w:before="0" w:beforeAutospacing="0" w:after="0" w:afterAutospacing="0" w:line="360" w:lineRule="auto"/>
              <w:ind w:left="0" w:right="120" w:rightChars="57" w:firstLine="480" w:firstLineChars="200"/>
              <w:rPr>
                <w:rFonts w:hint="eastAsia" w:ascii="Times New Roman" w:hAnsi="Times New Roman" w:eastAsia="宋体"/>
                <w:color w:val="000000" w:themeColor="text1"/>
                <w:sz w:val="24"/>
                <w:highlight w:val="none"/>
                <w:lang w:eastAsia="zh-CN"/>
                <w14:textFill>
                  <w14:solidFill>
                    <w14:schemeClr w14:val="tx1"/>
                  </w14:solidFill>
                </w14:textFill>
              </w:rPr>
            </w:pPr>
            <w:r>
              <w:rPr>
                <w:rFonts w:hint="eastAsia" w:ascii="Times New Roman" w:hAnsi="Times New Roman"/>
                <w:color w:val="000000" w:themeColor="text1"/>
                <w:sz w:val="24"/>
                <w:highlight w:val="none"/>
                <w14:textFill>
                  <w14:solidFill>
                    <w14:schemeClr w14:val="tx1"/>
                  </w14:solidFill>
                </w14:textFill>
              </w:rPr>
              <w:t>本项目运营期可能产生的环境风险如下：</w:t>
            </w:r>
          </w:p>
          <w:p>
            <w:pPr>
              <w:keepNext w:val="0"/>
              <w:keepLines w:val="0"/>
              <w:suppressLineNumbers w:val="0"/>
              <w:spacing w:before="0" w:beforeAutospacing="0" w:after="0" w:afterAutospacing="0" w:line="360" w:lineRule="auto"/>
              <w:ind w:left="0" w:right="120" w:rightChars="57" w:firstLine="480" w:firstLineChars="200"/>
              <w:rPr>
                <w:rFonts w:hint="eastAsia" w:ascii="Times New Roman" w:hAnsi="Times New Roman" w:eastAsia="宋体"/>
                <w:color w:val="000000" w:themeColor="text1"/>
                <w:sz w:val="24"/>
                <w:highlight w:val="none"/>
                <w:lang w:eastAsia="zh-CN"/>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1</w:t>
            </w:r>
            <w:r>
              <w:rPr>
                <w:rFonts w:hint="eastAsia" w:ascii="Times New Roman" w:hAnsi="Times New Roman"/>
                <w:color w:val="000000" w:themeColor="text1"/>
                <w:sz w:val="24"/>
                <w:highlight w:val="none"/>
                <w14:textFill>
                  <w14:solidFill>
                    <w14:schemeClr w14:val="tx1"/>
                  </w14:solidFill>
                </w14:textFill>
              </w:rPr>
              <w:t>）管网风险</w:t>
            </w:r>
          </w:p>
          <w:p>
            <w:pPr>
              <w:keepNext w:val="0"/>
              <w:keepLines w:val="0"/>
              <w:suppressLineNumbers w:val="0"/>
              <w:spacing w:before="0" w:beforeAutospacing="0" w:after="0" w:afterAutospacing="0" w:line="360" w:lineRule="auto"/>
              <w:ind w:left="0" w:right="120" w:rightChars="57" w:firstLine="480" w:firstLineChars="200"/>
              <w:rPr>
                <w:rFonts w:hint="eastAsia" w:ascii="Times New Roman" w:hAnsi="Times New Roman" w:eastAsia="宋体"/>
                <w:color w:val="000000" w:themeColor="text1"/>
                <w:sz w:val="24"/>
                <w:highlight w:val="none"/>
                <w:lang w:eastAsia="zh-CN"/>
                <w14:textFill>
                  <w14:solidFill>
                    <w14:schemeClr w14:val="tx1"/>
                  </w14:solidFill>
                </w14:textFill>
              </w:rPr>
            </w:pPr>
            <w:r>
              <w:rPr>
                <w:rFonts w:hint="eastAsia" w:ascii="Times New Roman" w:hAnsi="Times New Roman"/>
                <w:color w:val="000000" w:themeColor="text1"/>
                <w:sz w:val="24"/>
                <w:highlight w:val="none"/>
                <w14:textFill>
                  <w14:solidFill>
                    <w14:schemeClr w14:val="tx1"/>
                  </w14:solidFill>
                </w14:textFill>
              </w:rPr>
              <w:t>当管线处于非正常运行状态，主要是指发生破裂、断裂等，将从管网中溢出污水，可能对地表水或地下水环境造成污染。</w:t>
            </w:r>
          </w:p>
          <w:p>
            <w:pPr>
              <w:keepNext w:val="0"/>
              <w:keepLines w:val="0"/>
              <w:suppressLineNumbers w:val="0"/>
              <w:spacing w:before="0" w:beforeAutospacing="0" w:after="0" w:afterAutospacing="0" w:line="360" w:lineRule="auto"/>
              <w:ind w:left="0" w:right="120" w:rightChars="57" w:firstLine="480" w:firstLineChars="200"/>
              <w:rPr>
                <w:rFonts w:hint="eastAsia" w:ascii="Times New Roman" w:hAnsi="Times New Roman" w:eastAsia="宋体"/>
                <w:color w:val="000000" w:themeColor="text1"/>
                <w:sz w:val="24"/>
                <w:highlight w:val="none"/>
                <w:lang w:eastAsia="zh-CN"/>
                <w14:textFill>
                  <w14:solidFill>
                    <w14:schemeClr w14:val="tx1"/>
                  </w14:solidFill>
                </w14:textFill>
              </w:rPr>
            </w:pPr>
            <w:r>
              <w:rPr>
                <w:rFonts w:hint="eastAsia" w:ascii="Times New Roman" w:hAnsi="Times New Roman"/>
                <w:color w:val="000000" w:themeColor="text1"/>
                <w:sz w:val="24"/>
                <w:highlight w:val="none"/>
                <w14:textFill>
                  <w14:solidFill>
                    <w14:schemeClr w14:val="tx1"/>
                  </w14:solidFill>
                </w14:textFill>
              </w:rPr>
              <w:t>一般来讲，如管网破损严重，污水外溢，流出地面造成地表水环境污染，这种现象易于发现，只要及时向相关部门反应可以降低污染程度和范围。但如管网发生渗漏，造成污水下渗，污染地下水，这种现象不易被发现，一般只能通过定期检查发现。经类比调查，一般如管网破裂污水可渗入地下水并逐渐扩散污染地下水，其规律是离破损区越近、时间越长污染越重，但其污染速度缓慢，按地层土壤系数（</w:t>
            </w:r>
            <w:r>
              <w:rPr>
                <w:rFonts w:ascii="Times New Roman" w:hAnsi="Times New Roman"/>
                <w:color w:val="000000" w:themeColor="text1"/>
                <w:sz w:val="24"/>
                <w:highlight w:val="none"/>
                <w14:textFill>
                  <w14:solidFill>
                    <w14:schemeClr w14:val="tx1"/>
                  </w14:solidFill>
                </w14:textFill>
              </w:rPr>
              <w:t>200-350m/</w:t>
            </w:r>
            <w:r>
              <w:rPr>
                <w:rFonts w:hint="eastAsia" w:ascii="Times New Roman" w:hAnsi="Times New Roman"/>
                <w:color w:val="000000" w:themeColor="text1"/>
                <w:sz w:val="24"/>
                <w:highlight w:val="none"/>
                <w14:textFill>
                  <w14:solidFill>
                    <w14:schemeClr w14:val="tx1"/>
                  </w14:solidFill>
                </w14:textFill>
              </w:rPr>
              <w:t>昼夜）估算需</w:t>
            </w:r>
            <w:r>
              <w:rPr>
                <w:rFonts w:ascii="Times New Roman" w:hAnsi="Times New Roman"/>
                <w:color w:val="000000" w:themeColor="text1"/>
                <w:sz w:val="24"/>
                <w:highlight w:val="none"/>
                <w14:textFill>
                  <w14:solidFill>
                    <w14:schemeClr w14:val="tx1"/>
                  </w14:solidFill>
                </w14:textFill>
              </w:rPr>
              <w:t>30</w:t>
            </w:r>
            <w:r>
              <w:rPr>
                <w:rFonts w:hint="eastAsia" w:ascii="Times New Roman" w:hAnsi="Times New Roman"/>
                <w:color w:val="000000" w:themeColor="text1"/>
                <w:sz w:val="24"/>
                <w:highlight w:val="none"/>
                <w14:textFill>
                  <w14:solidFill>
                    <w14:schemeClr w14:val="tx1"/>
                  </w14:solidFill>
                </w14:textFill>
              </w:rPr>
              <w:t>分钟，既可到达地下含水层，对浅层地下水造成污染。</w:t>
            </w:r>
          </w:p>
          <w:p>
            <w:pPr>
              <w:keepNext w:val="0"/>
              <w:keepLines w:val="0"/>
              <w:suppressLineNumbers w:val="0"/>
              <w:spacing w:before="0" w:beforeAutospacing="0" w:after="0" w:afterAutospacing="0" w:line="360" w:lineRule="auto"/>
              <w:ind w:left="0" w:right="120" w:rightChars="57" w:firstLine="480" w:firstLineChars="200"/>
              <w:rPr>
                <w:rFonts w:hint="eastAsia" w:ascii="Times New Roman" w:hAnsi="Times New Roman" w:eastAsia="宋体"/>
                <w:color w:val="000000" w:themeColor="text1"/>
                <w:sz w:val="24"/>
                <w:highlight w:val="none"/>
                <w:lang w:eastAsia="zh-CN"/>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2</w:t>
            </w:r>
            <w:r>
              <w:rPr>
                <w:rFonts w:hint="eastAsia" w:ascii="Times New Roman" w:hAnsi="Times New Roman"/>
                <w:color w:val="000000" w:themeColor="text1"/>
                <w:sz w:val="24"/>
                <w:highlight w:val="none"/>
                <w14:textFill>
                  <w14:solidFill>
                    <w14:schemeClr w14:val="tx1"/>
                  </w14:solidFill>
                </w14:textFill>
              </w:rPr>
              <w:t>）道路运输风险</w:t>
            </w:r>
          </w:p>
          <w:p>
            <w:pPr>
              <w:keepNext w:val="0"/>
              <w:keepLines w:val="0"/>
              <w:suppressLineNumbers w:val="0"/>
              <w:spacing w:before="0" w:beforeAutospacing="0" w:after="0" w:afterAutospacing="0" w:line="360" w:lineRule="auto"/>
              <w:ind w:left="0" w:right="120" w:rightChars="57" w:firstLine="480" w:firstLineChars="200"/>
              <w:rPr>
                <w:rFonts w:hint="eastAsia" w:ascii="Times New Roman" w:hAnsi="Times New Roman"/>
                <w:color w:val="000000" w:themeColor="text1"/>
                <w:sz w:val="24"/>
                <w:highlight w:val="none"/>
                <w14:textFill>
                  <w14:solidFill>
                    <w14:schemeClr w14:val="tx1"/>
                  </w14:solidFill>
                </w14:textFill>
              </w:rPr>
            </w:pPr>
            <w:r>
              <w:rPr>
                <w:rFonts w:hint="eastAsia" w:ascii="Times New Roman" w:hAnsi="Times New Roman"/>
                <w:color w:val="000000" w:themeColor="text1"/>
                <w:sz w:val="24"/>
                <w:highlight w:val="none"/>
                <w14:textFill>
                  <w14:solidFill>
                    <w14:schemeClr w14:val="tx1"/>
                  </w14:solidFill>
                </w14:textFill>
              </w:rPr>
              <w:t>本项目的道路运输风险为发生交通事故时，油类物质泄露，可能会引发爆炸和火灾等连锁式事故，就会对人民生命、财产、生态环境和社会安定造成重大危害，后果会十分严重。来往车辆发生翻车事故可能对周围环境造成如下污染：①当车辆发生事故时爆炸燃烧，会给事故现场周围的大气环境造成污染，亦可能对周围居民人身安全造成危害；②当车辆发生翻车时，将对事故周围</w:t>
            </w:r>
            <w:r>
              <w:rPr>
                <w:rFonts w:hint="eastAsia" w:ascii="Times New Roman" w:hAnsi="Times New Roman"/>
                <w:color w:val="000000" w:themeColor="text1"/>
                <w:sz w:val="24"/>
                <w:highlight w:val="none"/>
                <w:lang w:val="en-US" w:eastAsia="zh-CN"/>
                <w14:textFill>
                  <w14:solidFill>
                    <w14:schemeClr w14:val="tx1"/>
                  </w14:solidFill>
                </w14:textFill>
              </w:rPr>
              <w:t>土壤</w:t>
            </w:r>
            <w:r>
              <w:rPr>
                <w:rFonts w:hint="eastAsia" w:ascii="Times New Roman" w:hAnsi="Times New Roman"/>
                <w:color w:val="000000" w:themeColor="text1"/>
                <w:sz w:val="24"/>
                <w:highlight w:val="none"/>
                <w14:textFill>
                  <w14:solidFill>
                    <w14:schemeClr w14:val="tx1"/>
                  </w14:solidFill>
                </w14:textFill>
              </w:rPr>
              <w:t>环境、</w:t>
            </w:r>
            <w:r>
              <w:rPr>
                <w:rFonts w:hint="eastAsia" w:ascii="Times New Roman" w:hAnsi="Times New Roman"/>
                <w:color w:val="000000" w:themeColor="text1"/>
                <w:sz w:val="24"/>
                <w:highlight w:val="none"/>
                <w:lang w:val="en-US" w:eastAsia="zh-CN"/>
                <w14:textFill>
                  <w14:solidFill>
                    <w14:schemeClr w14:val="tx1"/>
                  </w14:solidFill>
                </w14:textFill>
              </w:rPr>
              <w:t>大气</w:t>
            </w:r>
            <w:r>
              <w:rPr>
                <w:rFonts w:hint="eastAsia" w:ascii="Times New Roman" w:hAnsi="Times New Roman"/>
                <w:color w:val="000000" w:themeColor="text1"/>
                <w:sz w:val="24"/>
                <w:highlight w:val="none"/>
                <w14:textFill>
                  <w14:solidFill>
                    <w14:schemeClr w14:val="tx1"/>
                  </w14:solidFill>
                </w14:textFill>
              </w:rPr>
              <w:t>环境及生态环境造成污染。因此，运营期对来往车辆应采取一定的风险防范措施及必要的工程措施，加以防范。</w:t>
            </w:r>
          </w:p>
          <w:p>
            <w:pPr>
              <w:keepNext w:val="0"/>
              <w:keepLines w:val="0"/>
              <w:suppressLineNumbers w:val="0"/>
              <w:spacing w:before="0" w:beforeAutospacing="0" w:after="0" w:afterAutospacing="0" w:line="360" w:lineRule="auto"/>
              <w:ind w:left="0" w:right="120" w:rightChars="57" w:firstLine="482" w:firstLineChars="200"/>
              <w:rPr>
                <w:rFonts w:hint="eastAsia" w:ascii="Times New Roman" w:hAnsi="Times New Roman" w:eastAsia="宋体"/>
                <w:b/>
                <w:bCs/>
                <w:color w:val="000000" w:themeColor="text1"/>
                <w:sz w:val="24"/>
                <w:highlight w:val="none"/>
                <w:lang w:eastAsia="zh-CN"/>
                <w14:textFill>
                  <w14:solidFill>
                    <w14:schemeClr w14:val="tx1"/>
                  </w14:solidFill>
                </w14:textFill>
              </w:rPr>
            </w:pPr>
            <w:r>
              <w:rPr>
                <w:rFonts w:hint="eastAsia" w:ascii="宋体" w:hAnsi="宋体" w:cs="宋体"/>
                <w:b/>
                <w:bCs/>
                <w:color w:val="000000" w:themeColor="text1"/>
                <w:kern w:val="0"/>
                <w:sz w:val="24"/>
                <w:highlight w:val="none"/>
                <w:lang w:bidi="ar"/>
                <w14:textFill>
                  <w14:solidFill>
                    <w14:schemeClr w14:val="tx1"/>
                  </w14:solidFill>
                </w14:textFill>
              </w:rPr>
              <w:t>（</w:t>
            </w:r>
            <w:r>
              <w:rPr>
                <w:rFonts w:ascii="Times New Roman" w:hAnsi="Times New Roman"/>
                <w:b/>
                <w:bCs/>
                <w:color w:val="000000" w:themeColor="text1"/>
                <w:sz w:val="24"/>
                <w:highlight w:val="none"/>
                <w14:textFill>
                  <w14:solidFill>
                    <w14:schemeClr w14:val="tx1"/>
                  </w14:solidFill>
                </w14:textFill>
              </w:rPr>
              <w:t>3</w:t>
            </w:r>
            <w:r>
              <w:rPr>
                <w:rFonts w:hint="eastAsia" w:ascii="Times New Roman" w:hAnsi="Times New Roman"/>
                <w:b/>
                <w:bCs/>
                <w:color w:val="000000" w:themeColor="text1"/>
                <w:sz w:val="24"/>
                <w:highlight w:val="none"/>
                <w14:textFill>
                  <w14:solidFill>
                    <w14:schemeClr w14:val="tx1"/>
                  </w14:solidFill>
                </w14:textFill>
              </w:rPr>
              <w:t>）风险事故类别</w:t>
            </w:r>
          </w:p>
          <w:p>
            <w:pPr>
              <w:keepNext w:val="0"/>
              <w:keepLines w:val="0"/>
              <w:suppressLineNumbers w:val="0"/>
              <w:spacing w:before="0" w:beforeAutospacing="0" w:after="0" w:afterAutospacing="0" w:line="360" w:lineRule="auto"/>
              <w:ind w:left="0" w:right="120" w:rightChars="57" w:firstLine="480" w:firstLineChars="200"/>
              <w:rPr>
                <w:rFonts w:hint="eastAsia" w:ascii="Times New Roman" w:hAnsi="Times New Roman"/>
                <w:color w:val="000000" w:themeColor="text1"/>
                <w:sz w:val="24"/>
                <w:highlight w:val="none"/>
                <w14:textFill>
                  <w14:solidFill>
                    <w14:schemeClr w14:val="tx1"/>
                  </w14:solidFill>
                </w14:textFill>
              </w:rPr>
            </w:pPr>
            <w:r>
              <w:rPr>
                <w:rFonts w:hint="eastAsia" w:ascii="Times New Roman" w:hAnsi="Times New Roman"/>
                <w:color w:val="000000" w:themeColor="text1"/>
                <w:sz w:val="24"/>
                <w:highlight w:val="none"/>
                <w14:textFill>
                  <w14:solidFill>
                    <w14:schemeClr w14:val="tx1"/>
                  </w14:solidFill>
                </w14:textFill>
              </w:rPr>
              <w:t>交通事故主要有泄漏、火灾（爆炸）两大类。其中火灾又分为固体火灾、液体火灾和气体火灾。主要原因又分为主观原因和客观原因。针对事故不同类型，采取不同的处置措施。其中主要措施包括：灭火、点火、隔绝、堵漏、拦截、稀释、中和、覆盖、泄压、转移、收集等。</w:t>
            </w:r>
          </w:p>
          <w:p>
            <w:pPr>
              <w:keepNext w:val="0"/>
              <w:keepLines w:val="0"/>
              <w:suppressLineNumbers w:val="0"/>
              <w:spacing w:before="0" w:beforeAutospacing="0" w:after="0" w:afterAutospacing="0" w:line="360" w:lineRule="auto"/>
              <w:ind w:left="0" w:right="120" w:rightChars="57" w:firstLine="482" w:firstLineChars="200"/>
              <w:rPr>
                <w:rFonts w:ascii="Times New Roman" w:hAnsi="Times New Roman"/>
                <w:b/>
                <w:bCs/>
                <w:color w:val="000000" w:themeColor="text1"/>
                <w:kern w:val="0"/>
                <w:sz w:val="24"/>
                <w:highlight w:val="none"/>
                <w:lang w:bidi="ar"/>
                <w14:textFill>
                  <w14:solidFill>
                    <w14:schemeClr w14:val="tx1"/>
                  </w14:solidFill>
                </w14:textFill>
              </w:rPr>
            </w:pPr>
            <w:r>
              <w:rPr>
                <w:rFonts w:hint="eastAsia" w:ascii="宋体" w:hAnsi="宋体" w:cs="宋体"/>
                <w:b/>
                <w:bCs/>
                <w:color w:val="000000" w:themeColor="text1"/>
                <w:kern w:val="0"/>
                <w:sz w:val="24"/>
                <w:highlight w:val="none"/>
                <w:lang w:bidi="ar"/>
                <w14:textFill>
                  <w14:solidFill>
                    <w14:schemeClr w14:val="tx1"/>
                  </w14:solidFill>
                </w14:textFill>
              </w:rPr>
              <w:t>（</w:t>
            </w:r>
            <w:r>
              <w:rPr>
                <w:rFonts w:ascii="宋体" w:hAnsi="宋体" w:cs="宋体"/>
                <w:b/>
                <w:bCs/>
                <w:color w:val="000000" w:themeColor="text1"/>
                <w:kern w:val="0"/>
                <w:sz w:val="24"/>
                <w:highlight w:val="none"/>
                <w:lang w:bidi="ar"/>
                <w14:textFill>
                  <w14:solidFill>
                    <w14:schemeClr w14:val="tx1"/>
                  </w14:solidFill>
                </w14:textFill>
              </w:rPr>
              <w:t>4</w:t>
            </w:r>
            <w:r>
              <w:rPr>
                <w:rFonts w:hint="eastAsia" w:ascii="宋体" w:hAnsi="宋体" w:cs="宋体"/>
                <w:b/>
                <w:bCs/>
                <w:color w:val="000000" w:themeColor="text1"/>
                <w:kern w:val="0"/>
                <w:sz w:val="24"/>
                <w:highlight w:val="none"/>
                <w:lang w:bidi="ar"/>
                <w14:textFill>
                  <w14:solidFill>
                    <w14:schemeClr w14:val="tx1"/>
                  </w14:solidFill>
                </w14:textFill>
              </w:rPr>
              <w:t>）</w:t>
            </w:r>
            <w:r>
              <w:rPr>
                <w:rFonts w:hint="eastAsia" w:ascii="Times New Roman" w:hAnsi="Times New Roman"/>
                <w:b/>
                <w:bCs/>
                <w:color w:val="000000" w:themeColor="text1"/>
                <w:kern w:val="0"/>
                <w:sz w:val="24"/>
                <w:highlight w:val="none"/>
                <w:lang w:bidi="ar"/>
                <w14:textFill>
                  <w14:solidFill>
                    <w14:schemeClr w14:val="tx1"/>
                  </w14:solidFill>
                </w14:textFill>
              </w:rPr>
              <w:t>环境风险防范措施</w:t>
            </w:r>
          </w:p>
          <w:p>
            <w:pPr>
              <w:keepNext w:val="0"/>
              <w:keepLines w:val="0"/>
              <w:suppressLineNumbers w:val="0"/>
              <w:spacing w:before="0" w:beforeAutospacing="0" w:after="0" w:afterAutospacing="0" w:line="360" w:lineRule="auto"/>
              <w:ind w:left="0" w:right="120" w:rightChars="57" w:firstLine="480" w:firstLineChars="200"/>
              <w:rPr>
                <w:rFonts w:hint="eastAsia" w:ascii="Times New Roman" w:hAnsi="Times New Roman" w:eastAsia="宋体"/>
                <w:color w:val="000000" w:themeColor="text1"/>
                <w:kern w:val="0"/>
                <w:sz w:val="24"/>
                <w:highlight w:val="none"/>
                <w:lang w:eastAsia="zh-CN" w:bidi="ar"/>
                <w14:textFill>
                  <w14:solidFill>
                    <w14:schemeClr w14:val="tx1"/>
                  </w14:solidFill>
                </w14:textFill>
              </w:rPr>
            </w:pPr>
            <w:r>
              <w:rPr>
                <w:rFonts w:ascii="Times New Roman" w:hAnsi="Times New Roman"/>
                <w:color w:val="000000" w:themeColor="text1"/>
                <w:kern w:val="0"/>
                <w:sz w:val="24"/>
                <w:highlight w:val="none"/>
                <w:lang w:bidi="ar"/>
                <w14:textFill>
                  <w14:solidFill>
                    <w14:schemeClr w14:val="tx1"/>
                  </w14:solidFill>
                </w14:textFill>
              </w:rPr>
              <w:t>1</w:t>
            </w:r>
            <w:r>
              <w:rPr>
                <w:rFonts w:hint="eastAsia" w:ascii="Times New Roman" w:hAnsi="Times New Roman"/>
                <w:color w:val="000000" w:themeColor="text1"/>
                <w:kern w:val="0"/>
                <w:sz w:val="24"/>
                <w:highlight w:val="none"/>
                <w:lang w:bidi="ar"/>
                <w14:textFill>
                  <w14:solidFill>
                    <w14:schemeClr w14:val="tx1"/>
                  </w14:solidFill>
                </w14:textFill>
              </w:rPr>
              <w:t>）管网风险防范措施</w:t>
            </w:r>
          </w:p>
          <w:p>
            <w:pPr>
              <w:keepNext w:val="0"/>
              <w:keepLines w:val="0"/>
              <w:suppressLineNumbers w:val="0"/>
              <w:spacing w:before="0" w:beforeAutospacing="0" w:after="0" w:afterAutospacing="0" w:line="360" w:lineRule="auto"/>
              <w:ind w:left="0" w:right="120" w:rightChars="57" w:firstLine="480" w:firstLineChars="200"/>
              <w:rPr>
                <w:rFonts w:hint="eastAsia" w:ascii="Times New Roman" w:hAnsi="Times New Roman" w:eastAsia="宋体"/>
                <w:color w:val="000000" w:themeColor="text1"/>
                <w:kern w:val="0"/>
                <w:sz w:val="24"/>
                <w:highlight w:val="none"/>
                <w:lang w:eastAsia="zh-CN" w:bidi="ar"/>
                <w14:textFill>
                  <w14:solidFill>
                    <w14:schemeClr w14:val="tx1"/>
                  </w14:solidFill>
                </w14:textFill>
              </w:rPr>
            </w:pPr>
            <w:r>
              <w:rPr>
                <w:rFonts w:hint="eastAsia" w:ascii="Times New Roman" w:hAnsi="Times New Roman"/>
                <w:color w:val="000000" w:themeColor="text1"/>
                <w:kern w:val="0"/>
                <w:sz w:val="24"/>
                <w:highlight w:val="none"/>
                <w:lang w:bidi="ar"/>
                <w14:textFill>
                  <w14:solidFill>
                    <w14:schemeClr w14:val="tx1"/>
                  </w14:solidFill>
                </w14:textFill>
              </w:rPr>
              <w:t>①严格管理。人为因素往往是事故发生的主要原因，因此严格管理，做好人的工作是预防事故发生的重要环节。主要内容包括：加强对</w:t>
            </w:r>
            <w:r>
              <w:rPr>
                <w:rFonts w:hint="eastAsia" w:ascii="Times New Roman" w:hAnsi="Times New Roman"/>
                <w:color w:val="000000" w:themeColor="text1"/>
                <w:kern w:val="0"/>
                <w:sz w:val="24"/>
                <w:highlight w:val="none"/>
                <w:lang w:val="en-US" w:eastAsia="zh-CN" w:bidi="ar"/>
                <w14:textFill>
                  <w14:solidFill>
                    <w14:schemeClr w14:val="tx1"/>
                  </w14:solidFill>
                </w14:textFill>
              </w:rPr>
              <w:t>管网维护人员</w:t>
            </w:r>
            <w:r>
              <w:rPr>
                <w:rFonts w:hint="eastAsia" w:ascii="Times New Roman" w:hAnsi="Times New Roman"/>
                <w:color w:val="000000" w:themeColor="text1"/>
                <w:kern w:val="0"/>
                <w:sz w:val="24"/>
                <w:highlight w:val="none"/>
                <w:lang w:bidi="ar"/>
                <w14:textFill>
                  <w14:solidFill>
                    <w14:schemeClr w14:val="tx1"/>
                  </w14:solidFill>
                </w14:textFill>
              </w:rPr>
              <w:t>的思想教育，以提高工作人员的责任心和工作主动性；</w:t>
            </w:r>
            <w:r>
              <w:rPr>
                <w:rFonts w:hint="eastAsia" w:ascii="Times New Roman" w:hAnsi="Times New Roman"/>
                <w:color w:val="000000" w:themeColor="text1"/>
                <w:kern w:val="0"/>
                <w:sz w:val="24"/>
                <w:highlight w:val="none"/>
                <w:lang w:val="en-US" w:eastAsia="zh-CN" w:bidi="ar"/>
                <w14:textFill>
                  <w14:solidFill>
                    <w14:schemeClr w14:val="tx1"/>
                  </w14:solidFill>
                </w14:textFill>
              </w:rPr>
              <w:t>维护</w:t>
            </w:r>
            <w:r>
              <w:rPr>
                <w:rFonts w:hint="eastAsia" w:ascii="Times New Roman" w:hAnsi="Times New Roman"/>
                <w:color w:val="000000" w:themeColor="text1"/>
                <w:kern w:val="0"/>
                <w:sz w:val="24"/>
                <w:highlight w:val="none"/>
                <w:lang w:bidi="ar"/>
                <w14:textFill>
                  <w14:solidFill>
                    <w14:schemeClr w14:val="tx1"/>
                  </w14:solidFill>
                </w14:textFill>
              </w:rPr>
              <w:t>人员要进行岗位系统培训，熟悉工作程序、规程，加强岗位责任制；对事故易发生部位，除本岗位工人及时检查外，应设安全巡检员；</w:t>
            </w:r>
          </w:p>
          <w:p>
            <w:pPr>
              <w:keepNext w:val="0"/>
              <w:keepLines w:val="0"/>
              <w:suppressLineNumbers w:val="0"/>
              <w:spacing w:before="0" w:beforeAutospacing="0" w:after="0" w:afterAutospacing="0" w:line="360" w:lineRule="auto"/>
              <w:ind w:left="0" w:right="120" w:rightChars="57" w:firstLine="480" w:firstLineChars="200"/>
              <w:rPr>
                <w:rFonts w:hint="eastAsia" w:ascii="Times New Roman" w:hAnsi="Times New Roman" w:eastAsia="宋体"/>
                <w:color w:val="000000" w:themeColor="text1"/>
                <w:kern w:val="0"/>
                <w:sz w:val="24"/>
                <w:highlight w:val="none"/>
                <w:lang w:eastAsia="zh-CN" w:bidi="ar"/>
                <w14:textFill>
                  <w14:solidFill>
                    <w14:schemeClr w14:val="tx1"/>
                  </w14:solidFill>
                </w14:textFill>
              </w:rPr>
            </w:pPr>
            <w:r>
              <w:rPr>
                <w:rFonts w:hint="eastAsia" w:ascii="Times New Roman" w:hAnsi="Times New Roman"/>
                <w:color w:val="000000" w:themeColor="text1"/>
                <w:kern w:val="0"/>
                <w:sz w:val="24"/>
                <w:highlight w:val="none"/>
                <w:lang w:bidi="ar"/>
                <w14:textFill>
                  <w14:solidFill>
                    <w14:schemeClr w14:val="tx1"/>
                  </w14:solidFill>
                </w14:textFill>
              </w:rPr>
              <w:t>②建议建设单位在工程设计阶段认真审查，将涉及安全、健康、环境方面的设施按照相关规范、标准进行考核，施工期间严格管理、检查，确保施工质量；</w:t>
            </w:r>
          </w:p>
          <w:p>
            <w:pPr>
              <w:keepNext w:val="0"/>
              <w:keepLines w:val="0"/>
              <w:suppressLineNumbers w:val="0"/>
              <w:spacing w:before="0" w:beforeAutospacing="0" w:after="0" w:afterAutospacing="0" w:line="360" w:lineRule="auto"/>
              <w:ind w:left="0" w:right="120" w:rightChars="57" w:firstLine="480" w:firstLineChars="200"/>
              <w:rPr>
                <w:rFonts w:hint="eastAsia" w:ascii="Times New Roman" w:hAnsi="Times New Roman" w:eastAsia="宋体"/>
                <w:color w:val="000000" w:themeColor="text1"/>
                <w:kern w:val="0"/>
                <w:sz w:val="24"/>
                <w:highlight w:val="none"/>
                <w:lang w:eastAsia="zh-CN" w:bidi="ar"/>
                <w14:textFill>
                  <w14:solidFill>
                    <w14:schemeClr w14:val="tx1"/>
                  </w14:solidFill>
                </w14:textFill>
              </w:rPr>
            </w:pPr>
            <w:r>
              <w:rPr>
                <w:rFonts w:hint="eastAsia" w:ascii="Times New Roman" w:hAnsi="Times New Roman"/>
                <w:color w:val="000000" w:themeColor="text1"/>
                <w:kern w:val="0"/>
                <w:sz w:val="24"/>
                <w:highlight w:val="none"/>
                <w:lang w:bidi="ar"/>
                <w14:textFill>
                  <w14:solidFill>
                    <w14:schemeClr w14:val="tx1"/>
                  </w14:solidFill>
                </w14:textFill>
              </w:rPr>
              <w:t>③一旦发生事故，及时向有关部门反映，采取有效处理措施，最大限度降低对周围环境和人民生命及财产造成的危害。</w:t>
            </w:r>
          </w:p>
          <w:p>
            <w:pPr>
              <w:keepNext w:val="0"/>
              <w:keepLines w:val="0"/>
              <w:suppressLineNumbers w:val="0"/>
              <w:spacing w:before="0" w:beforeAutospacing="0" w:after="0" w:afterAutospacing="0" w:line="360" w:lineRule="auto"/>
              <w:ind w:left="0" w:right="120" w:rightChars="57" w:firstLine="480" w:firstLineChars="200"/>
              <w:rPr>
                <w:rFonts w:hint="eastAsia" w:ascii="Times New Roman" w:hAnsi="Times New Roman" w:eastAsia="宋体"/>
                <w:color w:val="000000" w:themeColor="text1"/>
                <w:kern w:val="0"/>
                <w:sz w:val="24"/>
                <w:highlight w:val="none"/>
                <w:lang w:eastAsia="zh-CN" w:bidi="ar"/>
                <w14:textFill>
                  <w14:solidFill>
                    <w14:schemeClr w14:val="tx1"/>
                  </w14:solidFill>
                </w14:textFill>
              </w:rPr>
            </w:pPr>
            <w:r>
              <w:rPr>
                <w:rFonts w:ascii="Times New Roman" w:hAnsi="Times New Roman"/>
                <w:color w:val="000000" w:themeColor="text1"/>
                <w:kern w:val="0"/>
                <w:sz w:val="24"/>
                <w:highlight w:val="none"/>
                <w:lang w:bidi="ar"/>
                <w14:textFill>
                  <w14:solidFill>
                    <w14:schemeClr w14:val="tx1"/>
                  </w14:solidFill>
                </w14:textFill>
              </w:rPr>
              <w:t>2</w:t>
            </w:r>
            <w:r>
              <w:rPr>
                <w:rFonts w:hint="eastAsia" w:ascii="Times New Roman" w:hAnsi="Times New Roman"/>
                <w:color w:val="000000" w:themeColor="text1"/>
                <w:kern w:val="0"/>
                <w:sz w:val="24"/>
                <w:highlight w:val="none"/>
                <w:lang w:bidi="ar"/>
                <w14:textFill>
                  <w14:solidFill>
                    <w14:schemeClr w14:val="tx1"/>
                  </w14:solidFill>
                </w14:textFill>
              </w:rPr>
              <w:t>）道路风险防范措施</w:t>
            </w:r>
          </w:p>
          <w:p>
            <w:pPr>
              <w:keepNext w:val="0"/>
              <w:keepLines w:val="0"/>
              <w:suppressLineNumbers w:val="0"/>
              <w:spacing w:before="0" w:beforeAutospacing="0" w:after="0" w:afterAutospacing="0" w:line="360" w:lineRule="auto"/>
              <w:ind w:left="0" w:right="120" w:rightChars="57" w:firstLine="480" w:firstLineChars="200"/>
              <w:rPr>
                <w:rFonts w:hint="eastAsia" w:ascii="Times New Roman" w:hAnsi="Times New Roman"/>
                <w:color w:val="000000" w:themeColor="text1"/>
                <w:kern w:val="0"/>
                <w:sz w:val="24"/>
                <w:highlight w:val="none"/>
                <w:lang w:bidi="ar"/>
                <w14:textFill>
                  <w14:solidFill>
                    <w14:schemeClr w14:val="tx1"/>
                  </w14:solidFill>
                </w14:textFill>
              </w:rPr>
            </w:pPr>
            <w:r>
              <w:rPr>
                <w:rFonts w:hint="default" w:ascii="Times New Roman" w:hAnsi="Times New Roman"/>
                <w:color w:val="000000" w:themeColor="text1"/>
                <w:kern w:val="0"/>
                <w:sz w:val="24"/>
                <w:highlight w:val="none"/>
                <w:lang w:bidi="ar"/>
                <w14:textFill>
                  <w14:solidFill>
                    <w14:schemeClr w14:val="tx1"/>
                  </w14:solidFill>
                </w14:textFill>
              </w:rPr>
              <w:t>①</w:t>
            </w:r>
            <w:r>
              <w:rPr>
                <w:rFonts w:hint="eastAsia" w:ascii="Times New Roman" w:hAnsi="Times New Roman"/>
                <w:color w:val="000000" w:themeColor="text1"/>
                <w:kern w:val="0"/>
                <w:sz w:val="24"/>
                <w:highlight w:val="none"/>
                <w:lang w:bidi="ar"/>
                <w14:textFill>
                  <w14:solidFill>
                    <w14:schemeClr w14:val="tx1"/>
                  </w14:solidFill>
                </w14:textFill>
              </w:rPr>
              <w:t>设置“谨慎驾驶”警示牌和车辆限速标志，提醒来往车辆司机注意安全和控制车速，保证路段车辆通行安全，降低路段交通事故的发生概率。</w:t>
            </w:r>
          </w:p>
          <w:p>
            <w:pPr>
              <w:keepNext w:val="0"/>
              <w:keepLines w:val="0"/>
              <w:suppressLineNumbers w:val="0"/>
              <w:spacing w:before="0" w:beforeAutospacing="0" w:after="0" w:afterAutospacing="0" w:line="360" w:lineRule="auto"/>
              <w:ind w:left="0" w:right="120" w:rightChars="57" w:firstLine="480" w:firstLineChars="200"/>
              <w:rPr>
                <w:rFonts w:hint="eastAsia" w:ascii="Times New Roman" w:hAnsi="Times New Roman"/>
                <w:color w:val="000000" w:themeColor="text1"/>
                <w:kern w:val="0"/>
                <w:sz w:val="24"/>
                <w:highlight w:val="none"/>
                <w:lang w:bidi="ar"/>
                <w14:textFill>
                  <w14:solidFill>
                    <w14:schemeClr w14:val="tx1"/>
                  </w14:solidFill>
                </w14:textFill>
              </w:rPr>
            </w:pPr>
            <w:r>
              <w:rPr>
                <w:rFonts w:hint="default" w:ascii="Times New Roman" w:hAnsi="Times New Roman"/>
                <w:color w:val="000000" w:themeColor="text1"/>
                <w:kern w:val="0"/>
                <w:sz w:val="24"/>
                <w:highlight w:val="none"/>
                <w:lang w:bidi="ar"/>
                <w14:textFill>
                  <w14:solidFill>
                    <w14:schemeClr w14:val="tx1"/>
                  </w14:solidFill>
                </w14:textFill>
              </w:rPr>
              <w:t>②</w:t>
            </w:r>
            <w:r>
              <w:rPr>
                <w:rFonts w:hint="eastAsia" w:ascii="Times New Roman" w:hAnsi="Times New Roman"/>
                <w:color w:val="000000" w:themeColor="text1"/>
                <w:kern w:val="0"/>
                <w:sz w:val="24"/>
                <w:highlight w:val="none"/>
                <w:lang w:bidi="ar"/>
                <w14:textFill>
                  <w14:solidFill>
                    <w14:schemeClr w14:val="tx1"/>
                  </w14:solidFill>
                </w14:textFill>
              </w:rPr>
              <w:t>道路管理部门应加强交通管理，特别是在桥梁</w:t>
            </w:r>
            <w:r>
              <w:rPr>
                <w:rFonts w:hint="eastAsia"/>
                <w:color w:val="000000" w:themeColor="text1"/>
                <w:kern w:val="0"/>
                <w:sz w:val="24"/>
                <w:highlight w:val="none"/>
                <w:lang w:eastAsia="zh-CN" w:bidi="ar"/>
                <w14:textFill>
                  <w14:solidFill>
                    <w14:schemeClr w14:val="tx1"/>
                  </w14:solidFill>
                </w14:textFill>
              </w:rPr>
              <w:t>、</w:t>
            </w:r>
            <w:r>
              <w:rPr>
                <w:rFonts w:hint="eastAsia"/>
                <w:color w:val="000000" w:themeColor="text1"/>
                <w:kern w:val="0"/>
                <w:sz w:val="24"/>
                <w:highlight w:val="none"/>
                <w:lang w:val="en-US" w:eastAsia="zh-CN" w:bidi="ar"/>
                <w14:textFill>
                  <w14:solidFill>
                    <w14:schemeClr w14:val="tx1"/>
                  </w14:solidFill>
                </w14:textFill>
              </w:rPr>
              <w:t>匝道</w:t>
            </w:r>
            <w:r>
              <w:rPr>
                <w:rFonts w:hint="eastAsia" w:ascii="Times New Roman" w:hAnsi="Times New Roman"/>
                <w:color w:val="000000" w:themeColor="text1"/>
                <w:kern w:val="0"/>
                <w:sz w:val="24"/>
                <w:highlight w:val="none"/>
                <w:lang w:bidi="ar"/>
                <w14:textFill>
                  <w14:solidFill>
                    <w14:schemeClr w14:val="tx1"/>
                  </w14:solidFill>
                </w14:textFill>
              </w:rPr>
              <w:t>处设置明显的标志，以唤起驾驶员注意。</w:t>
            </w:r>
          </w:p>
          <w:p>
            <w:pPr>
              <w:keepNext w:val="0"/>
              <w:keepLines w:val="0"/>
              <w:suppressLineNumbers w:val="0"/>
              <w:spacing w:before="0" w:beforeAutospacing="0" w:after="0" w:afterAutospacing="0" w:line="360" w:lineRule="auto"/>
              <w:ind w:left="0" w:right="120" w:rightChars="57" w:firstLine="480" w:firstLineChars="200"/>
              <w:rPr>
                <w:rFonts w:hint="eastAsia" w:ascii="Times New Roman" w:hAnsi="Times New Roman"/>
                <w:color w:val="000000" w:themeColor="text1"/>
                <w:kern w:val="0"/>
                <w:sz w:val="24"/>
                <w:highlight w:val="none"/>
                <w:lang w:bidi="ar"/>
                <w14:textFill>
                  <w14:solidFill>
                    <w14:schemeClr w14:val="tx1"/>
                  </w14:solidFill>
                </w14:textFill>
              </w:rPr>
            </w:pPr>
            <w:r>
              <w:rPr>
                <w:rFonts w:hint="default" w:ascii="Times New Roman" w:hAnsi="Times New Roman"/>
                <w:color w:val="000000" w:themeColor="text1"/>
                <w:kern w:val="0"/>
                <w:sz w:val="24"/>
                <w:highlight w:val="none"/>
                <w:lang w:bidi="ar"/>
                <w14:textFill>
                  <w14:solidFill>
                    <w14:schemeClr w14:val="tx1"/>
                  </w14:solidFill>
                </w14:textFill>
              </w:rPr>
              <w:t>③</w:t>
            </w:r>
            <w:r>
              <w:rPr>
                <w:rFonts w:hint="eastAsia" w:ascii="Times New Roman" w:hAnsi="Times New Roman"/>
                <w:color w:val="000000" w:themeColor="text1"/>
                <w:kern w:val="0"/>
                <w:sz w:val="24"/>
                <w:highlight w:val="none"/>
                <w:lang w:bidi="ar"/>
                <w14:textFill>
                  <w14:solidFill>
                    <w14:schemeClr w14:val="tx1"/>
                  </w14:solidFill>
                </w14:textFill>
              </w:rPr>
              <w:t>在施工及营运过程中应加强对区域环境的观察、检查，特别在雨季期间，一旦发生地质灾害产生的隐患和先兆，及时进行处理，防患于未然。</w:t>
            </w:r>
          </w:p>
          <w:p>
            <w:pPr>
              <w:keepNext w:val="0"/>
              <w:keepLines w:val="0"/>
              <w:suppressLineNumbers w:val="0"/>
              <w:spacing w:before="0" w:beforeAutospacing="0" w:after="0" w:afterAutospacing="0" w:line="360" w:lineRule="auto"/>
              <w:ind w:left="0" w:right="120" w:rightChars="57" w:firstLine="480" w:firstLineChars="200"/>
              <w:rPr>
                <w:rFonts w:hint="eastAsia" w:ascii="Times New Roman" w:hAnsi="Times New Roman"/>
                <w:color w:val="000000" w:themeColor="text1"/>
                <w:kern w:val="0"/>
                <w:sz w:val="24"/>
                <w:highlight w:val="none"/>
                <w:lang w:bidi="ar"/>
                <w14:textFill>
                  <w14:solidFill>
                    <w14:schemeClr w14:val="tx1"/>
                  </w14:solidFill>
                </w14:textFill>
              </w:rPr>
            </w:pPr>
            <w:r>
              <w:rPr>
                <w:rFonts w:hint="default" w:ascii="Times New Roman" w:hAnsi="Times New Roman"/>
                <w:color w:val="000000" w:themeColor="text1"/>
                <w:kern w:val="0"/>
                <w:sz w:val="24"/>
                <w:highlight w:val="none"/>
                <w:lang w:bidi="ar"/>
                <w14:textFill>
                  <w14:solidFill>
                    <w14:schemeClr w14:val="tx1"/>
                  </w14:solidFill>
                </w14:textFill>
              </w:rPr>
              <w:t>④</w:t>
            </w:r>
            <w:r>
              <w:rPr>
                <w:rFonts w:hint="eastAsia" w:ascii="Times New Roman" w:hAnsi="Times New Roman"/>
                <w:color w:val="000000" w:themeColor="text1"/>
                <w:kern w:val="0"/>
                <w:sz w:val="24"/>
                <w:highlight w:val="none"/>
                <w:lang w:bidi="ar"/>
                <w14:textFill>
                  <w14:solidFill>
                    <w14:schemeClr w14:val="tx1"/>
                  </w14:solidFill>
                </w14:textFill>
              </w:rPr>
              <w:t>应禁止漏油、不安装保护帆布的货车和超载车上路，以防止道路上车辆漏油洒落，造成沿线地面水体污染和安全事故隐患。</w:t>
            </w:r>
          </w:p>
          <w:p>
            <w:pPr>
              <w:keepNext w:val="0"/>
              <w:keepLines w:val="0"/>
              <w:suppressLineNumbers w:val="0"/>
              <w:spacing w:before="0" w:beforeAutospacing="0" w:after="0" w:afterAutospacing="0" w:line="360" w:lineRule="auto"/>
              <w:ind w:left="0" w:right="120" w:rightChars="57" w:firstLine="480" w:firstLineChars="200"/>
              <w:rPr>
                <w:rFonts w:hint="eastAsia" w:ascii="Times New Roman" w:hAnsi="Times New Roman"/>
                <w:color w:val="000000" w:themeColor="text1"/>
                <w:kern w:val="0"/>
                <w:sz w:val="24"/>
                <w:highlight w:val="none"/>
                <w:lang w:bidi="ar"/>
                <w14:textFill>
                  <w14:solidFill>
                    <w14:schemeClr w14:val="tx1"/>
                  </w14:solidFill>
                </w14:textFill>
              </w:rPr>
            </w:pPr>
            <w:r>
              <w:rPr>
                <w:rFonts w:hint="default" w:ascii="Times New Roman" w:hAnsi="Times New Roman"/>
                <w:color w:val="000000" w:themeColor="text1"/>
                <w:kern w:val="0"/>
                <w:sz w:val="24"/>
                <w:highlight w:val="none"/>
                <w:lang w:bidi="ar"/>
                <w14:textFill>
                  <w14:solidFill>
                    <w14:schemeClr w14:val="tx1"/>
                  </w14:solidFill>
                </w14:textFill>
              </w:rPr>
              <w:t>⑤</w:t>
            </w:r>
            <w:r>
              <w:rPr>
                <w:rFonts w:hint="eastAsia" w:ascii="Times New Roman" w:hAnsi="Times New Roman"/>
                <w:color w:val="000000" w:themeColor="text1"/>
                <w:kern w:val="0"/>
                <w:sz w:val="24"/>
                <w:highlight w:val="none"/>
                <w:lang w:bidi="ar"/>
                <w14:textFill>
                  <w14:solidFill>
                    <w14:schemeClr w14:val="tx1"/>
                  </w14:solidFill>
                </w14:textFill>
              </w:rPr>
              <w:t>建立应急措施及应急预案严格执行《中华人民共和国道路交通安全法》，针对道路运输过程中实际制定风险事故应急管理计划，计划包括指挥机构职责和任务；应急技术和处理步骤的选择；设备、器材以及人员的配置等。</w:t>
            </w:r>
          </w:p>
          <w:p>
            <w:pPr>
              <w:keepNext w:val="0"/>
              <w:keepLines w:val="0"/>
              <w:suppressLineNumbers w:val="0"/>
              <w:spacing w:before="0" w:beforeAutospacing="0" w:after="0" w:afterAutospacing="0" w:line="360" w:lineRule="auto"/>
              <w:ind w:left="0" w:right="120" w:rightChars="57" w:firstLine="480" w:firstLineChars="200"/>
              <w:rPr>
                <w:rFonts w:hint="eastAsia" w:ascii="Times New Roman" w:hAnsi="Times New Roman"/>
                <w:color w:val="000000" w:themeColor="text1"/>
                <w:kern w:val="0"/>
                <w:sz w:val="24"/>
                <w:highlight w:val="none"/>
                <w:lang w:bidi="ar"/>
                <w14:textFill>
                  <w14:solidFill>
                    <w14:schemeClr w14:val="tx1"/>
                  </w14:solidFill>
                </w14:textFill>
              </w:rPr>
            </w:pPr>
            <w:r>
              <w:rPr>
                <w:rFonts w:hint="default" w:ascii="Times New Roman" w:hAnsi="Times New Roman"/>
                <w:color w:val="000000" w:themeColor="text1"/>
                <w:kern w:val="0"/>
                <w:sz w:val="24"/>
                <w:highlight w:val="none"/>
                <w:lang w:bidi="ar"/>
                <w14:textFill>
                  <w14:solidFill>
                    <w14:schemeClr w14:val="tx1"/>
                  </w14:solidFill>
                </w14:textFill>
              </w:rPr>
              <w:t>⑥</w:t>
            </w:r>
            <w:r>
              <w:rPr>
                <w:rFonts w:hint="eastAsia" w:ascii="Times New Roman" w:hAnsi="Times New Roman"/>
                <w:color w:val="000000" w:themeColor="text1"/>
                <w:kern w:val="0"/>
                <w:sz w:val="24"/>
                <w:highlight w:val="none"/>
                <w:lang w:bidi="ar"/>
                <w14:textFill>
                  <w14:solidFill>
                    <w14:schemeClr w14:val="tx1"/>
                  </w14:solidFill>
                </w14:textFill>
              </w:rPr>
              <w:t>应加强车辆的质量及运行状态检查，特别是安全防范措施的检查，消灭事故隐患；教育司乘人员，若发生交通事故，出现燃烧或爆炸等污染危害，驾驶员必须及时向就近有关交通、公安及生态环境部门报告，以便按相关要求或规定采取相应的急救措施，防止事态扩大，减小危害。</w:t>
            </w:r>
          </w:p>
          <w:p>
            <w:pPr>
              <w:keepNext w:val="0"/>
              <w:keepLines w:val="0"/>
              <w:suppressLineNumbers w:val="0"/>
              <w:spacing w:before="0" w:beforeAutospacing="0" w:after="0" w:afterAutospacing="0" w:line="360" w:lineRule="auto"/>
              <w:ind w:left="0" w:right="120" w:rightChars="57" w:firstLine="480" w:firstLineChars="200"/>
              <w:rPr>
                <w:rFonts w:hint="eastAsia" w:ascii="Times New Roman" w:hAnsi="Times New Roman" w:eastAsia="宋体"/>
                <w:color w:val="000000" w:themeColor="text1"/>
                <w:kern w:val="0"/>
                <w:sz w:val="24"/>
                <w:highlight w:val="none"/>
                <w:lang w:eastAsia="zh-CN" w:bidi="ar"/>
                <w14:textFill>
                  <w14:solidFill>
                    <w14:schemeClr w14:val="tx1"/>
                  </w14:solidFill>
                </w14:textFill>
              </w:rPr>
            </w:pPr>
            <w:r>
              <w:rPr>
                <w:rFonts w:ascii="Times New Roman" w:hAnsi="Times New Roman"/>
                <w:color w:val="000000" w:themeColor="text1"/>
                <w:kern w:val="0"/>
                <w:sz w:val="24"/>
                <w:highlight w:val="none"/>
                <w:lang w:bidi="ar"/>
                <w14:textFill>
                  <w14:solidFill>
                    <w14:schemeClr w14:val="tx1"/>
                  </w14:solidFill>
                </w14:textFill>
              </w:rPr>
              <w:t>3</w:t>
            </w:r>
            <w:r>
              <w:rPr>
                <w:rFonts w:hint="eastAsia" w:ascii="Times New Roman" w:hAnsi="Times New Roman"/>
                <w:color w:val="000000" w:themeColor="text1"/>
                <w:kern w:val="0"/>
                <w:sz w:val="24"/>
                <w:highlight w:val="none"/>
                <w:lang w:bidi="ar"/>
                <w14:textFill>
                  <w14:solidFill>
                    <w14:schemeClr w14:val="tx1"/>
                  </w14:solidFill>
                </w14:textFill>
              </w:rPr>
              <w:t>）</w:t>
            </w:r>
            <w:r>
              <w:rPr>
                <w:rFonts w:hint="eastAsia" w:ascii="Times New Roman" w:hAnsi="Times New Roman"/>
                <w:color w:val="000000" w:themeColor="text1"/>
                <w:kern w:val="0"/>
                <w:sz w:val="24"/>
                <w:highlight w:val="none"/>
                <w:lang w:val="en-US" w:eastAsia="zh-CN" w:bidi="ar"/>
                <w14:textFill>
                  <w14:solidFill>
                    <w14:schemeClr w14:val="tx1"/>
                  </w14:solidFill>
                </w14:textFill>
              </w:rPr>
              <w:t>应急</w:t>
            </w:r>
            <w:r>
              <w:rPr>
                <w:rFonts w:hint="eastAsia" w:ascii="Times New Roman" w:hAnsi="Times New Roman"/>
                <w:color w:val="000000" w:themeColor="text1"/>
                <w:kern w:val="0"/>
                <w:sz w:val="24"/>
                <w:highlight w:val="none"/>
                <w:lang w:bidi="ar"/>
                <w14:textFill>
                  <w14:solidFill>
                    <w14:schemeClr w14:val="tx1"/>
                  </w14:solidFill>
                </w14:textFill>
              </w:rPr>
              <w:t>措施</w:t>
            </w:r>
          </w:p>
          <w:p>
            <w:pPr>
              <w:keepNext w:val="0"/>
              <w:keepLines w:val="0"/>
              <w:suppressLineNumbers w:val="0"/>
              <w:spacing w:before="0" w:beforeAutospacing="0" w:after="0" w:afterAutospacing="0" w:line="360" w:lineRule="auto"/>
              <w:ind w:left="0" w:right="120" w:rightChars="57" w:firstLine="480" w:firstLineChars="200"/>
              <w:rPr>
                <w:rFonts w:hint="eastAsia" w:ascii="Times New Roman" w:hAnsi="Times New Roman"/>
                <w:color w:val="000000" w:themeColor="text1"/>
                <w:kern w:val="0"/>
                <w:sz w:val="24"/>
                <w:highlight w:val="none"/>
                <w:lang w:bidi="ar"/>
                <w14:textFill>
                  <w14:solidFill>
                    <w14:schemeClr w14:val="tx1"/>
                  </w14:solidFill>
                </w14:textFill>
              </w:rPr>
            </w:pPr>
            <w:r>
              <w:rPr>
                <w:rFonts w:hint="eastAsia" w:ascii="Times New Roman" w:hAnsi="Times New Roman"/>
                <w:color w:val="000000" w:themeColor="text1"/>
                <w:kern w:val="0"/>
                <w:sz w:val="24"/>
                <w:highlight w:val="none"/>
                <w:lang w:bidi="ar"/>
                <w14:textFill>
                  <w14:solidFill>
                    <w14:schemeClr w14:val="tx1"/>
                  </w14:solidFill>
                </w14:textFill>
              </w:rPr>
              <w:t>①在不可预测情况下，当发生危险品事故，必须依照《危险化学品安全管理条例》相关规定进行处理。</w:t>
            </w:r>
          </w:p>
          <w:p>
            <w:pPr>
              <w:keepNext w:val="0"/>
              <w:keepLines w:val="0"/>
              <w:suppressLineNumbers w:val="0"/>
              <w:spacing w:before="0" w:beforeAutospacing="0" w:after="0" w:afterAutospacing="0" w:line="360" w:lineRule="auto"/>
              <w:ind w:left="0" w:right="120" w:rightChars="57" w:firstLine="480" w:firstLineChars="200"/>
              <w:rPr>
                <w:rFonts w:hint="eastAsia" w:ascii="Times New Roman" w:hAnsi="Times New Roman"/>
                <w:color w:val="000000" w:themeColor="text1"/>
                <w:kern w:val="0"/>
                <w:sz w:val="24"/>
                <w:highlight w:val="none"/>
                <w:lang w:bidi="ar"/>
                <w14:textFill>
                  <w14:solidFill>
                    <w14:schemeClr w14:val="tx1"/>
                  </w14:solidFill>
                </w14:textFill>
              </w:rPr>
            </w:pPr>
            <w:r>
              <w:rPr>
                <w:rFonts w:hint="eastAsia" w:ascii="Times New Roman" w:hAnsi="Times New Roman"/>
                <w:color w:val="000000" w:themeColor="text1"/>
                <w:kern w:val="0"/>
                <w:sz w:val="24"/>
                <w:highlight w:val="none"/>
                <w:lang w:bidi="ar"/>
                <w14:textFill>
                  <w14:solidFill>
                    <w14:schemeClr w14:val="tx1"/>
                  </w14:solidFill>
                </w14:textFill>
              </w:rPr>
              <w:t>②车速与冲力成正比，为减少事故的发生概率及造成的损失，在</w:t>
            </w:r>
            <w:r>
              <w:rPr>
                <w:rFonts w:hint="eastAsia" w:ascii="Times New Roman" w:hAnsi="Times New Roman"/>
                <w:color w:val="000000" w:themeColor="text1"/>
                <w:kern w:val="0"/>
                <w:sz w:val="24"/>
                <w:highlight w:val="none"/>
                <w:lang w:val="en-US" w:eastAsia="zh-CN" w:bidi="ar"/>
                <w14:textFill>
                  <w14:solidFill>
                    <w14:schemeClr w14:val="tx1"/>
                  </w14:solidFill>
                </w14:textFill>
              </w:rPr>
              <w:t>桥梁、匝道</w:t>
            </w:r>
            <w:r>
              <w:rPr>
                <w:rFonts w:hint="eastAsia" w:ascii="Times New Roman" w:hAnsi="Times New Roman"/>
                <w:color w:val="000000" w:themeColor="text1"/>
                <w:kern w:val="0"/>
                <w:sz w:val="24"/>
                <w:highlight w:val="none"/>
                <w:lang w:bidi="ar"/>
                <w14:textFill>
                  <w14:solidFill>
                    <w14:schemeClr w14:val="tx1"/>
                  </w14:solidFill>
                </w14:textFill>
              </w:rPr>
              <w:t>路段设置限速标识，严禁车辆超速行驶。</w:t>
            </w:r>
          </w:p>
          <w:p>
            <w:pPr>
              <w:keepNext w:val="0"/>
              <w:keepLines w:val="0"/>
              <w:suppressLineNumbers w:val="0"/>
              <w:spacing w:before="0" w:beforeAutospacing="0" w:after="0" w:afterAutospacing="0" w:line="360" w:lineRule="auto"/>
              <w:ind w:left="0" w:right="120" w:rightChars="57" w:firstLine="480" w:firstLineChars="200"/>
              <w:rPr>
                <w:rFonts w:hint="eastAsia" w:ascii="Times New Roman" w:hAnsi="Times New Roman"/>
                <w:color w:val="000000" w:themeColor="text1"/>
                <w:kern w:val="0"/>
                <w:sz w:val="24"/>
                <w:highlight w:val="none"/>
                <w:lang w:bidi="ar"/>
                <w14:textFill>
                  <w14:solidFill>
                    <w14:schemeClr w14:val="tx1"/>
                  </w14:solidFill>
                </w14:textFill>
              </w:rPr>
            </w:pPr>
            <w:r>
              <w:rPr>
                <w:rFonts w:hint="eastAsia" w:ascii="Times New Roman" w:hAnsi="Times New Roman"/>
                <w:color w:val="000000" w:themeColor="text1"/>
                <w:kern w:val="0"/>
                <w:sz w:val="24"/>
                <w:highlight w:val="none"/>
                <w:lang w:bidi="ar"/>
                <w14:textFill>
                  <w14:solidFill>
                    <w14:schemeClr w14:val="tx1"/>
                  </w14:solidFill>
                </w14:textFill>
              </w:rPr>
              <w:t>③在</w:t>
            </w:r>
            <w:r>
              <w:rPr>
                <w:rFonts w:hint="eastAsia" w:ascii="Times New Roman" w:hAnsi="Times New Roman"/>
                <w:color w:val="000000" w:themeColor="text1"/>
                <w:kern w:val="0"/>
                <w:sz w:val="24"/>
                <w:highlight w:val="none"/>
                <w:lang w:val="en-US" w:eastAsia="zh-CN" w:bidi="ar"/>
                <w14:textFill>
                  <w14:solidFill>
                    <w14:schemeClr w14:val="tx1"/>
                  </w14:solidFill>
                </w14:textFill>
              </w:rPr>
              <w:t>桥梁、匝道</w:t>
            </w:r>
            <w:r>
              <w:rPr>
                <w:rFonts w:hint="eastAsia" w:ascii="Times New Roman" w:hAnsi="Times New Roman"/>
                <w:color w:val="000000" w:themeColor="text1"/>
                <w:kern w:val="0"/>
                <w:sz w:val="24"/>
                <w:highlight w:val="none"/>
                <w:lang w:bidi="ar"/>
                <w14:textFill>
                  <w14:solidFill>
                    <w14:schemeClr w14:val="tx1"/>
                  </w14:solidFill>
                </w14:textFill>
              </w:rPr>
              <w:t>两侧设置高强度防撞拦，并严格按照《公路交通安全设施设计规范》(JTGD81-2006)》以及《公路交通安全设施施工技术规范》(JTGF71-2006)》设计施工，尽可能的减小车体冲出车行道，进而发生坠下桥梁的事件。</w:t>
            </w:r>
          </w:p>
          <w:p>
            <w:pPr>
              <w:keepNext w:val="0"/>
              <w:keepLines w:val="0"/>
              <w:suppressLineNumbers w:val="0"/>
              <w:spacing w:before="0" w:beforeAutospacing="0" w:after="0" w:afterAutospacing="0" w:line="360" w:lineRule="auto"/>
              <w:ind w:left="0" w:right="120" w:rightChars="57" w:firstLine="480" w:firstLineChars="200"/>
              <w:rPr>
                <w:rFonts w:hint="eastAsia" w:ascii="Times New Roman" w:hAnsi="Times New Roman"/>
                <w:color w:val="000000" w:themeColor="text1"/>
                <w:kern w:val="0"/>
                <w:sz w:val="24"/>
                <w:highlight w:val="none"/>
                <w:lang w:bidi="ar"/>
                <w14:textFill>
                  <w14:solidFill>
                    <w14:schemeClr w14:val="tx1"/>
                  </w14:solidFill>
                </w14:textFill>
              </w:rPr>
            </w:pPr>
            <w:r>
              <w:rPr>
                <w:rFonts w:hint="eastAsia" w:ascii="Times New Roman" w:hAnsi="Times New Roman"/>
                <w:color w:val="000000" w:themeColor="text1"/>
                <w:kern w:val="0"/>
                <w:sz w:val="24"/>
                <w:highlight w:val="none"/>
                <w:lang w:bidi="ar"/>
                <w14:textFill>
                  <w14:solidFill>
                    <w14:schemeClr w14:val="tx1"/>
                  </w14:solidFill>
                </w14:textFill>
              </w:rPr>
              <w:t>④针对事故对人体、动植物、土壤、水源、空气造成的现实危害和可能产生的危害，迅速采取封闭、隔离、洗消等措施。</w:t>
            </w:r>
          </w:p>
          <w:p>
            <w:pPr>
              <w:keepNext w:val="0"/>
              <w:keepLines w:val="0"/>
              <w:suppressLineNumbers w:val="0"/>
              <w:spacing w:before="0" w:beforeAutospacing="0" w:after="0" w:afterAutospacing="0" w:line="360" w:lineRule="auto"/>
              <w:ind w:left="0" w:right="120" w:rightChars="57" w:firstLine="480" w:firstLineChars="200"/>
              <w:rPr>
                <w:rFonts w:hint="eastAsia" w:ascii="Times New Roman" w:hAnsi="Times New Roman" w:eastAsia="宋体"/>
                <w:color w:val="000000" w:themeColor="text1"/>
                <w:kern w:val="0"/>
                <w:sz w:val="24"/>
                <w:highlight w:val="none"/>
                <w:lang w:eastAsia="zh-CN" w:bidi="ar"/>
                <w14:textFill>
                  <w14:solidFill>
                    <w14:schemeClr w14:val="tx1"/>
                  </w14:solidFill>
                </w14:textFill>
              </w:rPr>
            </w:pPr>
            <w:r>
              <w:rPr>
                <w:rFonts w:hint="eastAsia" w:ascii="Times New Roman" w:hAnsi="Times New Roman"/>
                <w:color w:val="000000" w:themeColor="text1"/>
                <w:kern w:val="0"/>
                <w:sz w:val="24"/>
                <w:highlight w:val="none"/>
                <w:lang w:bidi="ar"/>
                <w14:textFill>
                  <w14:solidFill>
                    <w14:schemeClr w14:val="tx1"/>
                  </w14:solidFill>
                </w14:textFill>
              </w:rPr>
              <w:t>⑤事故废水进入</w:t>
            </w:r>
            <w:r>
              <w:rPr>
                <w:rFonts w:hint="eastAsia" w:ascii="Times New Roman" w:hAnsi="Times New Roman"/>
                <w:color w:val="000000" w:themeColor="text1"/>
                <w:kern w:val="0"/>
                <w:sz w:val="24"/>
                <w:highlight w:val="none"/>
                <w:lang w:val="en-US" w:eastAsia="zh-CN" w:bidi="ar"/>
                <w14:textFill>
                  <w14:solidFill>
                    <w14:schemeClr w14:val="tx1"/>
                  </w14:solidFill>
                </w14:textFill>
              </w:rPr>
              <w:t>土壤及周边沟渠</w:t>
            </w:r>
            <w:r>
              <w:rPr>
                <w:rFonts w:hint="eastAsia" w:ascii="Times New Roman" w:hAnsi="Times New Roman"/>
                <w:color w:val="000000" w:themeColor="text1"/>
                <w:kern w:val="0"/>
                <w:sz w:val="24"/>
                <w:highlight w:val="none"/>
                <w:lang w:bidi="ar"/>
                <w14:textFill>
                  <w14:solidFill>
                    <w14:schemeClr w14:val="tx1"/>
                  </w14:solidFill>
                </w14:textFill>
              </w:rPr>
              <w:t>时，应及时采取合理方式堵住泄漏点，如围堤堵截或引流方式，避免扩大影响范围，根据泄漏物类型及时采取处置措施。</w:t>
            </w:r>
          </w:p>
          <w:p>
            <w:pPr>
              <w:keepNext w:val="0"/>
              <w:keepLines w:val="0"/>
              <w:suppressLineNumbers w:val="0"/>
              <w:spacing w:before="0" w:beforeAutospacing="0" w:after="0" w:afterAutospacing="0" w:line="360" w:lineRule="auto"/>
              <w:ind w:left="0" w:right="120" w:rightChars="57" w:firstLine="482" w:firstLineChars="200"/>
              <w:rPr>
                <w:rFonts w:hint="eastAsia" w:ascii="Times New Roman" w:hAnsi="Times New Roman" w:eastAsia="宋体"/>
                <w:color w:val="000000" w:themeColor="text1"/>
                <w:kern w:val="0"/>
                <w:sz w:val="24"/>
                <w:highlight w:val="none"/>
                <w:lang w:eastAsia="zh-CN" w:bidi="ar"/>
                <w14:textFill>
                  <w14:solidFill>
                    <w14:schemeClr w14:val="tx1"/>
                  </w14:solidFill>
                </w14:textFill>
              </w:rPr>
            </w:pPr>
            <w:r>
              <w:rPr>
                <w:rFonts w:hint="eastAsia" w:ascii="Times New Roman" w:hAnsi="Times New Roman"/>
                <w:b/>
                <w:bCs/>
                <w:color w:val="000000" w:themeColor="text1"/>
                <w:kern w:val="0"/>
                <w:sz w:val="24"/>
                <w:highlight w:val="none"/>
                <w:lang w:bidi="ar"/>
                <w14:textFill>
                  <w14:solidFill>
                    <w14:schemeClr w14:val="tx1"/>
                  </w14:solidFill>
                </w14:textFill>
              </w:rPr>
              <w:t>（6）风险结论</w:t>
            </w:r>
          </w:p>
          <w:p>
            <w:pPr>
              <w:keepNext w:val="0"/>
              <w:keepLines w:val="0"/>
              <w:suppressLineNumbers w:val="0"/>
              <w:spacing w:before="0" w:beforeAutospacing="0" w:after="0" w:afterAutospacing="0" w:line="360" w:lineRule="auto"/>
              <w:ind w:left="0" w:right="120" w:rightChars="57" w:firstLine="480" w:firstLineChars="200"/>
              <w:rPr>
                <w:rFonts w:hint="default" w:eastAsia="宋体"/>
                <w:color w:val="000000" w:themeColor="text1"/>
                <w:kern w:val="0"/>
                <w:sz w:val="24"/>
                <w:highlight w:val="none"/>
                <w:lang w:val="en-US" w:eastAsia="zh-CN"/>
                <w14:textFill>
                  <w14:solidFill>
                    <w14:schemeClr w14:val="tx1"/>
                  </w14:solidFill>
                </w14:textFill>
              </w:rPr>
            </w:pPr>
            <w:r>
              <w:rPr>
                <w:rFonts w:hint="eastAsia" w:ascii="Times New Roman" w:hAnsi="Times New Roman"/>
                <w:color w:val="000000" w:themeColor="text1"/>
                <w:kern w:val="0"/>
                <w:sz w:val="24"/>
                <w:highlight w:val="none"/>
                <w:lang w:bidi="ar"/>
                <w14:textFill>
                  <w14:solidFill>
                    <w14:schemeClr w14:val="tx1"/>
                  </w14:solidFill>
                </w14:textFill>
              </w:rPr>
              <w:t>根据前述分析，本项目环境风险为交通事故产生的物料泄露，从而引发的环境问题。通过本报告提出的风险防范措施后，可将风险事故造成的危害降至最低，从环境风险角度分析，本项目风险水平在可接受范围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879" w:type="dxa"/>
            <w:vAlign w:val="center"/>
          </w:tcPr>
          <w:p>
            <w:pPr>
              <w:pStyle w:val="19"/>
              <w:keepNext w:val="0"/>
              <w:keepLines w:val="0"/>
              <w:suppressLineNumbers w:val="0"/>
              <w:adjustRightInd w:val="0"/>
              <w:snapToGrid w:val="0"/>
              <w:spacing w:before="0" w:beforeAutospacing="0" w:after="0" w:afterAutospacing="0"/>
              <w:ind w:left="0" w:right="0"/>
              <w:jc w:val="center"/>
              <w:rPr>
                <w:rFonts w:ascii="Times New Roman" w:hAnsi="Times New Roman"/>
                <w:bCs/>
                <w:color w:val="000000" w:themeColor="text1"/>
                <w:kern w:val="2"/>
                <w:highlight w:val="none"/>
                <w14:textFill>
                  <w14:solidFill>
                    <w14:schemeClr w14:val="tx1"/>
                  </w14:solidFill>
                </w14:textFill>
              </w:rPr>
            </w:pPr>
            <w:r>
              <w:rPr>
                <w:rFonts w:ascii="Times New Roman" w:hAnsi="Times New Roman"/>
                <w:bCs/>
                <w:color w:val="000000" w:themeColor="text1"/>
                <w:kern w:val="2"/>
                <w:highlight w:val="none"/>
                <w14:textFill>
                  <w14:solidFill>
                    <w14:schemeClr w14:val="tx1"/>
                  </w14:solidFill>
                </w14:textFill>
              </w:rPr>
              <w:t>选址选线环境合理性分析</w:t>
            </w:r>
          </w:p>
        </w:tc>
        <w:tc>
          <w:tcPr>
            <w:tcW w:w="8363" w:type="dxa"/>
          </w:tcPr>
          <w:p>
            <w:pPr>
              <w:keepNext w:val="0"/>
              <w:keepLines w:val="0"/>
              <w:suppressLineNumbers w:val="0"/>
              <w:adjustRightInd w:val="0"/>
              <w:snapToGrid w:val="0"/>
              <w:spacing w:before="0" w:beforeAutospacing="0" w:after="0" w:afterAutospacing="0" w:line="360" w:lineRule="auto"/>
              <w:ind w:left="0" w:right="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一）</w:t>
            </w:r>
            <w:r>
              <w:rPr>
                <w:color w:val="000000" w:themeColor="text1"/>
                <w:sz w:val="24"/>
                <w:szCs w:val="24"/>
                <w:highlight w:val="none"/>
                <w14:textFill>
                  <w14:solidFill>
                    <w14:schemeClr w14:val="tx1"/>
                  </w14:solidFill>
                </w14:textFill>
              </w:rPr>
              <w:t>选址</w:t>
            </w:r>
            <w:r>
              <w:rPr>
                <w:rFonts w:hint="eastAsia"/>
                <w:color w:val="000000" w:themeColor="text1"/>
                <w:sz w:val="24"/>
                <w:szCs w:val="24"/>
                <w:highlight w:val="none"/>
                <w:lang w:val="en-US" w:eastAsia="zh-CN"/>
                <w14:textFill>
                  <w14:solidFill>
                    <w14:schemeClr w14:val="tx1"/>
                  </w14:solidFill>
                </w14:textFill>
              </w:rPr>
              <w:t>选线</w:t>
            </w:r>
            <w:r>
              <w:rPr>
                <w:color w:val="000000" w:themeColor="text1"/>
                <w:sz w:val="24"/>
                <w:szCs w:val="24"/>
                <w:highlight w:val="none"/>
                <w14:textFill>
                  <w14:solidFill>
                    <w14:schemeClr w14:val="tx1"/>
                  </w14:solidFill>
                </w14:textFill>
              </w:rPr>
              <w:t>合理性分析</w:t>
            </w:r>
          </w:p>
          <w:p>
            <w:pPr>
              <w:keepNext w:val="0"/>
              <w:keepLines w:val="0"/>
              <w:suppressLineNumbers w:val="0"/>
              <w:adjustRightInd w:val="0"/>
              <w:snapToGrid w:val="0"/>
              <w:spacing w:before="0" w:beforeAutospacing="0" w:after="0" w:afterAutospacing="0" w:line="360" w:lineRule="auto"/>
              <w:ind w:left="0" w:right="0"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本项目线路起点接西延线三期道路（已建），终点与绕城高速（在建）西段连接线相接，道路全长2.1km，路线唯一。</w:t>
            </w:r>
          </w:p>
          <w:p>
            <w:pPr>
              <w:keepNext w:val="0"/>
              <w:keepLines w:val="0"/>
              <w:widowControl/>
              <w:suppressLineNumbers w:val="0"/>
              <w:adjustRightInd w:val="0"/>
              <w:snapToGrid w:val="0"/>
              <w:spacing w:before="0" w:beforeAutospacing="0" w:after="0" w:afterAutospacing="0" w:line="360" w:lineRule="auto"/>
              <w:ind w:left="0" w:right="0" w:firstLine="480" w:firstLineChars="200"/>
              <w:rPr>
                <w:rFonts w:hint="eastAsia"/>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根据现场踏勘，本项目道路沿线两侧200m范围内无珍稀古树名木和其</w:t>
            </w:r>
          </w:p>
          <w:p>
            <w:pPr>
              <w:keepNext w:val="0"/>
              <w:keepLines w:val="0"/>
              <w:widowControl/>
              <w:suppressLineNumbers w:val="0"/>
              <w:adjustRightInd w:val="0"/>
              <w:snapToGrid w:val="0"/>
              <w:spacing w:before="0" w:beforeAutospacing="0" w:after="0" w:afterAutospacing="0" w:line="360" w:lineRule="auto"/>
              <w:ind w:left="0" w:right="0"/>
              <w:rPr>
                <w:rFonts w:hint="eastAsia"/>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他需要保护的野生动植物，不涉及永久基本农田，无自然保护区、风景名胜区、文物古迹和其他需要特别保护的敏感目标。</w:t>
            </w:r>
          </w:p>
          <w:p>
            <w:pPr>
              <w:keepNext w:val="0"/>
              <w:keepLines w:val="0"/>
              <w:widowControl/>
              <w:suppressLineNumbers w:val="0"/>
              <w:adjustRightInd w:val="0"/>
              <w:snapToGrid w:val="0"/>
              <w:spacing w:before="0" w:beforeAutospacing="0" w:after="0" w:afterAutospacing="0" w:line="360" w:lineRule="auto"/>
              <w:ind w:left="0" w:right="0" w:firstLine="480" w:firstLineChars="200"/>
              <w:rPr>
                <w:rFonts w:hint="eastAsia"/>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此外，本项目的建设将有利于完善该区域交通基础设施，项目属于非污染生态类项目，运营期对区域环境影响较小。</w:t>
            </w:r>
          </w:p>
          <w:p>
            <w:pPr>
              <w:keepNext w:val="0"/>
              <w:keepLines w:val="0"/>
              <w:widowControl/>
              <w:suppressLineNumbers w:val="0"/>
              <w:adjustRightInd w:val="0"/>
              <w:snapToGrid w:val="0"/>
              <w:spacing w:before="0" w:beforeAutospacing="0" w:after="0" w:afterAutospacing="0" w:line="360" w:lineRule="auto"/>
              <w:ind w:left="0" w:right="0" w:firstLine="480" w:firstLineChars="200"/>
              <w:rPr>
                <w:rFonts w:hint="eastAsia"/>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综上所述，本项目</w:t>
            </w:r>
            <w:r>
              <w:rPr>
                <w:rFonts w:hint="eastAsia"/>
                <w:color w:val="000000" w:themeColor="text1"/>
                <w:sz w:val="24"/>
                <w:szCs w:val="24"/>
                <w:highlight w:val="none"/>
                <w:lang w:val="en-US" w:eastAsia="zh-CN"/>
                <w14:textFill>
                  <w14:solidFill>
                    <w14:schemeClr w14:val="tx1"/>
                  </w14:solidFill>
                </w14:textFill>
              </w:rPr>
              <w:t>线路</w:t>
            </w:r>
            <w:r>
              <w:rPr>
                <w:rFonts w:hint="eastAsia"/>
                <w:color w:val="000000" w:themeColor="text1"/>
                <w:sz w:val="24"/>
                <w:szCs w:val="24"/>
                <w:highlight w:val="none"/>
                <w:lang w:eastAsia="zh-CN"/>
                <w14:textFill>
                  <w14:solidFill>
                    <w14:schemeClr w14:val="tx1"/>
                  </w14:solidFill>
                </w14:textFill>
              </w:rPr>
              <w:t>合理。</w:t>
            </w:r>
          </w:p>
          <w:p>
            <w:pPr>
              <w:keepNext w:val="0"/>
              <w:keepLines w:val="0"/>
              <w:widowControl/>
              <w:suppressLineNumbers w:val="0"/>
              <w:adjustRightInd w:val="0"/>
              <w:snapToGrid w:val="0"/>
              <w:spacing w:before="0" w:beforeAutospacing="0" w:after="0" w:afterAutospacing="0" w:line="360" w:lineRule="auto"/>
              <w:ind w:left="0" w:right="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二）</w:t>
            </w:r>
            <w:r>
              <w:rPr>
                <w:color w:val="000000" w:themeColor="text1"/>
                <w:sz w:val="24"/>
                <w:szCs w:val="24"/>
                <w:highlight w:val="none"/>
                <w14:textFill>
                  <w14:solidFill>
                    <w14:schemeClr w14:val="tx1"/>
                  </w14:solidFill>
                </w14:textFill>
              </w:rPr>
              <w:t>临时</w:t>
            </w:r>
            <w:r>
              <w:rPr>
                <w:rFonts w:hint="eastAsia"/>
                <w:color w:val="000000" w:themeColor="text1"/>
                <w:sz w:val="24"/>
                <w:szCs w:val="24"/>
                <w:highlight w:val="none"/>
                <w:lang w:val="en-US" w:eastAsia="zh-CN"/>
                <w14:textFill>
                  <w14:solidFill>
                    <w14:schemeClr w14:val="tx1"/>
                  </w14:solidFill>
                </w14:textFill>
              </w:rPr>
              <w:t>工程</w:t>
            </w:r>
            <w:r>
              <w:rPr>
                <w:color w:val="000000" w:themeColor="text1"/>
                <w:sz w:val="24"/>
                <w:szCs w:val="24"/>
                <w:highlight w:val="none"/>
                <w14:textFill>
                  <w14:solidFill>
                    <w14:schemeClr w14:val="tx1"/>
                  </w14:solidFill>
                </w14:textFill>
              </w:rPr>
              <w:t>选址合理性分析</w:t>
            </w:r>
          </w:p>
          <w:p>
            <w:pPr>
              <w:pStyle w:val="19"/>
              <w:keepNext w:val="0"/>
              <w:keepLines w:val="0"/>
              <w:widowControl w:val="0"/>
              <w:suppressLineNumbers w:val="0"/>
              <w:spacing w:before="0" w:beforeAutospacing="0" w:after="0" w:afterAutospacing="0" w:line="360" w:lineRule="auto"/>
              <w:ind w:left="0" w:right="0" w:firstLine="240" w:firstLineChars="100"/>
              <w:jc w:val="left"/>
              <w:rPr>
                <w:rFonts w:hint="eastAsia" w:cs="Times New Roman"/>
                <w:b w:val="0"/>
                <w:bCs w:val="0"/>
                <w:color w:val="000000" w:themeColor="text1"/>
                <w:sz w:val="24"/>
                <w:highlight w:val="none"/>
                <w:lang w:val="en-US" w:eastAsia="zh-CN"/>
                <w14:textFill>
                  <w14:solidFill>
                    <w14:schemeClr w14:val="tx1"/>
                  </w14:solidFill>
                </w14:textFill>
              </w:rPr>
            </w:pPr>
            <w:r>
              <w:rPr>
                <w:rFonts w:hint="eastAsia" w:cs="Times New Roman"/>
                <w:b w:val="0"/>
                <w:bCs w:val="0"/>
                <w:color w:val="000000" w:themeColor="text1"/>
                <w:sz w:val="24"/>
                <w:highlight w:val="none"/>
                <w:lang w:val="en-US" w:eastAsia="zh-CN"/>
                <w14:textFill>
                  <w14:solidFill>
                    <w14:schemeClr w14:val="tx1"/>
                  </w14:solidFill>
                </w14:textFill>
              </w:rPr>
              <w:t>本次临时设施根据业主提供的资料综合考虑后设置，环境合理性分析如下：</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cs="Times New Roman"/>
                <w:b w:val="0"/>
                <w:bCs w:val="0"/>
                <w:color w:val="000000" w:themeColor="text1"/>
                <w:sz w:val="24"/>
                <w:highlight w:val="none"/>
                <w:lang w:val="en-US" w:eastAsia="zh-CN"/>
                <w14:textFill>
                  <w14:solidFill>
                    <w14:schemeClr w14:val="tx1"/>
                  </w14:solidFill>
                </w14:textFill>
              </w:rPr>
            </w:pPr>
            <w:r>
              <w:rPr>
                <w:rFonts w:hint="eastAsia" w:cs="Times New Roman"/>
                <w:b w:val="0"/>
                <w:bCs w:val="0"/>
                <w:color w:val="000000" w:themeColor="text1"/>
                <w:sz w:val="24"/>
                <w:highlight w:val="none"/>
                <w:lang w:val="en-US" w:eastAsia="zh-CN"/>
                <w14:textFill>
                  <w14:solidFill>
                    <w14:schemeClr w14:val="tx1"/>
                  </w14:solidFill>
                </w14:textFill>
              </w:rPr>
              <w:t>临时施工场地拟选址</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规划外环快速路与本项目相汇处东南侧</w:t>
            </w:r>
            <w:r>
              <w:rPr>
                <w:rFonts w:hint="eastAsia" w:ascii="Times New Roman" w:hAnsi="Times New Roman" w:cs="Times New Roman"/>
                <w:color w:val="000000" w:themeColor="text1"/>
                <w:szCs w:val="21"/>
                <w:highlight w:val="none"/>
                <w:lang w:val="en-US" w:eastAsia="zh-CN"/>
                <w14:textFill>
                  <w14:solidFill>
                    <w14:schemeClr w14:val="tx1"/>
                  </w14:solidFill>
                </w14:textFill>
              </w:rPr>
              <w:t>，</w:t>
            </w:r>
            <w:r>
              <w:rPr>
                <w:rFonts w:hint="eastAsia" w:cs="Times New Roman"/>
                <w:b w:val="0"/>
                <w:bCs w:val="0"/>
                <w:color w:val="000000" w:themeColor="text1"/>
                <w:sz w:val="24"/>
                <w:highlight w:val="none"/>
                <w:lang w:val="en-US" w:eastAsia="zh-CN"/>
                <w14:textFill>
                  <w14:solidFill>
                    <w14:schemeClr w14:val="tx1"/>
                  </w14:solidFill>
                </w14:textFill>
              </w:rPr>
              <w:t>临时堆土场</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紧邻临时施工场地西侧</w:t>
            </w:r>
            <w:r>
              <w:rPr>
                <w:rFonts w:hint="eastAsia" w:ascii="Times New Roman" w:hAnsi="Times New Roman" w:cs="Times New Roman"/>
                <w:color w:val="000000" w:themeColor="text1"/>
                <w:szCs w:val="21"/>
                <w:highlight w:val="none"/>
                <w:lang w:val="en-US" w:eastAsia="zh-CN"/>
                <w14:textFill>
                  <w14:solidFill>
                    <w14:schemeClr w14:val="tx1"/>
                  </w14:solidFill>
                </w14:textFill>
              </w:rPr>
              <w:t>，</w:t>
            </w:r>
            <w:r>
              <w:rPr>
                <w:rFonts w:hint="eastAsia" w:cs="Times New Roman"/>
                <w:b w:val="0"/>
                <w:bCs w:val="0"/>
                <w:color w:val="000000" w:themeColor="text1"/>
                <w:sz w:val="24"/>
                <w:highlight w:val="none"/>
                <w:lang w:val="en-US" w:eastAsia="zh-CN"/>
                <w14:textFill>
                  <w14:solidFill>
                    <w14:schemeClr w14:val="tx1"/>
                  </w14:solidFill>
                </w14:textFill>
              </w:rPr>
              <w:t>临时表土堆场</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紧邻临时堆土场南侧</w:t>
            </w:r>
            <w:r>
              <w:rPr>
                <w:rFonts w:hint="eastAsia" w:cs="Times New Roman"/>
                <w:b w:val="0"/>
                <w:bCs w:val="0"/>
                <w:color w:val="000000" w:themeColor="text1"/>
                <w:sz w:val="24"/>
                <w:highlight w:val="none"/>
                <w:lang w:val="en-US" w:eastAsia="zh-CN"/>
                <w14:textFill>
                  <w14:solidFill>
                    <w14:schemeClr w14:val="tx1"/>
                  </w14:solidFill>
                </w14:textFill>
              </w:rPr>
              <w:t>，此处即满足水土保持需要和物料综合运输距离，也远离了好一新市场村民聚集区；沿规划线路设置了施工便道，可运输物料直达临时设施区，减少地表扰动及对生态的破坏，故评价认为施工临时工程选址于此是从环境保护方面是合理的。</w:t>
            </w:r>
          </w:p>
          <w:p>
            <w:pPr>
              <w:pStyle w:val="19"/>
              <w:keepNext w:val="0"/>
              <w:keepLines w:val="0"/>
              <w:widowControl w:val="0"/>
              <w:suppressLineNumbers w:val="0"/>
              <w:spacing w:before="0" w:beforeAutospacing="0" w:after="0" w:afterAutospacing="0" w:line="360" w:lineRule="auto"/>
              <w:ind w:left="0" w:leftChars="0" w:right="0" w:firstLine="480" w:firstLineChars="200"/>
              <w:jc w:val="left"/>
              <w:rPr>
                <w:rFonts w:hint="eastAsia" w:cs="Times New Roman"/>
                <w:b w:val="0"/>
                <w:bCs w:val="0"/>
                <w:color w:val="000000" w:themeColor="text1"/>
                <w:sz w:val="24"/>
                <w:highlight w:val="none"/>
                <w:lang w:val="en-US" w:eastAsia="zh-CN"/>
                <w14:textFill>
                  <w14:solidFill>
                    <w14:schemeClr w14:val="tx1"/>
                  </w14:solidFill>
                </w14:textFill>
              </w:rPr>
            </w:pPr>
            <w:r>
              <w:rPr>
                <w:rFonts w:hint="eastAsia" w:cs="Times New Roman"/>
                <w:b w:val="0"/>
                <w:bCs w:val="0"/>
                <w:color w:val="000000" w:themeColor="text1"/>
                <w:sz w:val="24"/>
                <w:highlight w:val="none"/>
                <w:lang w:val="en-US" w:eastAsia="zh-CN"/>
                <w14:textFill>
                  <w14:solidFill>
                    <w14:schemeClr w14:val="tx1"/>
                  </w14:solidFill>
                </w14:textFill>
              </w:rPr>
              <w:t>项目建设期主要污染为施工噪声、施工扬尘、施工废水。本项目施工期应注意避免对周边敏感点造成影响。施工期施工废水经沉淀池处理后回用，不外排；施工噪声通过采取相应措施可以得到控制。搅拌站设置有防尘、降尘设施以及车辆出入清洗设施等环保措施并加强施工场地环保管理，不会对周围环境造成明显的影响。施工场地内不设置现场预制及混凝土、沥青砼搅拌，项目购买当地商品砼及沥青砼，委托周边预制厂进行相关构件预制。</w:t>
            </w:r>
          </w:p>
          <w:p>
            <w:pPr>
              <w:pStyle w:val="13"/>
              <w:rPr>
                <w:rFonts w:hint="eastAsia"/>
                <w:color w:val="000000" w:themeColor="text1"/>
                <w:kern w:val="0"/>
                <w:sz w:val="24"/>
                <w:highlight w:val="none"/>
                <w:lang w:val="zh-CN"/>
                <w14:textFill>
                  <w14:solidFill>
                    <w14:schemeClr w14:val="tx1"/>
                  </w14:solidFill>
                </w14:textFill>
              </w:rPr>
            </w:pPr>
            <w:r>
              <w:rPr>
                <w:rFonts w:hint="eastAsia" w:cs="Times New Roman"/>
                <w:b w:val="0"/>
                <w:bCs w:val="0"/>
                <w:color w:val="000000" w:themeColor="text1"/>
                <w:sz w:val="24"/>
                <w:highlight w:val="none"/>
                <w:lang w:val="en-US" w:eastAsia="zh-CN"/>
                <w14:textFill>
                  <w14:solidFill>
                    <w14:schemeClr w14:val="tx1"/>
                  </w14:solidFill>
                </w14:textFill>
              </w:rPr>
              <w:t>综上，在严格执行环评提出的环保措施前提下，环评认为本项目临时工程选址合理。</w:t>
            </w:r>
          </w:p>
        </w:tc>
      </w:tr>
    </w:tbl>
    <w:p>
      <w:pPr>
        <w:pStyle w:val="19"/>
        <w:jc w:val="center"/>
        <w:rPr>
          <w:rFonts w:ascii="Times New Roman" w:hAnsi="Times New Roman" w:eastAsia="黑体"/>
          <w:snapToGrid w:val="0"/>
          <w:color w:val="000000" w:themeColor="text1"/>
          <w:sz w:val="36"/>
          <w:szCs w:val="36"/>
          <w:highlight w:val="none"/>
          <w14:textFill>
            <w14:solidFill>
              <w14:schemeClr w14:val="tx1"/>
            </w14:solidFill>
          </w14:textFill>
        </w:rPr>
        <w:sectPr>
          <w:pgSz w:w="11906" w:h="16838"/>
          <w:pgMar w:top="1440" w:right="1800" w:bottom="1440" w:left="1800" w:header="851" w:footer="1077" w:gutter="0"/>
          <w:cols w:space="425" w:num="1"/>
          <w:docGrid w:linePitch="312" w:charSpace="0"/>
        </w:sectPr>
      </w:pPr>
    </w:p>
    <w:p>
      <w:pPr>
        <w:pStyle w:val="19"/>
        <w:jc w:val="center"/>
        <w:outlineLvl w:val="0"/>
        <w:rPr>
          <w:rFonts w:ascii="Times New Roman" w:hAnsi="Times New Roman"/>
          <w:b/>
          <w:bCs/>
          <w:snapToGrid w:val="0"/>
          <w:color w:val="000000" w:themeColor="text1"/>
          <w:sz w:val="30"/>
          <w:szCs w:val="30"/>
          <w:highlight w:val="none"/>
          <w14:textFill>
            <w14:solidFill>
              <w14:schemeClr w14:val="tx1"/>
            </w14:solidFill>
          </w14:textFill>
        </w:rPr>
      </w:pPr>
      <w:r>
        <w:rPr>
          <w:rFonts w:hint="eastAsia" w:ascii="Times New Roman" w:hAnsi="Times New Roman"/>
          <w:b/>
          <w:bCs/>
          <w:snapToGrid w:val="0"/>
          <w:color w:val="000000" w:themeColor="text1"/>
          <w:sz w:val="30"/>
          <w:szCs w:val="30"/>
          <w:highlight w:val="none"/>
          <w:lang w:val="en-US" w:eastAsia="zh-CN"/>
          <w14:textFill>
            <w14:solidFill>
              <w14:schemeClr w14:val="tx1"/>
            </w14:solidFill>
          </w14:textFill>
        </w:rPr>
        <w:t>五</w:t>
      </w:r>
      <w:r>
        <w:rPr>
          <w:rFonts w:ascii="Times New Roman" w:hAnsi="Times New Roman"/>
          <w:b/>
          <w:bCs/>
          <w:snapToGrid w:val="0"/>
          <w:color w:val="000000" w:themeColor="text1"/>
          <w:sz w:val="30"/>
          <w:szCs w:val="30"/>
          <w:highlight w:val="none"/>
          <w14:textFill>
            <w14:solidFill>
              <w14:schemeClr w14:val="tx1"/>
            </w14:solidFill>
          </w14:textFill>
        </w:rPr>
        <w:t>、主要生态环境保护措施</w:t>
      </w:r>
    </w:p>
    <w:tbl>
      <w:tblPr>
        <w:tblStyle w:val="24"/>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8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1" w:hRule="atLeast"/>
          <w:jc w:val="center"/>
        </w:trPr>
        <w:tc>
          <w:tcPr>
            <w:tcW w:w="753" w:type="dxa"/>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bCs/>
                <w:color w:val="000000" w:themeColor="text1"/>
                <w:sz w:val="24"/>
                <w:highlight w:val="none"/>
                <w14:textFill>
                  <w14:solidFill>
                    <w14:schemeClr w14:val="tx1"/>
                  </w14:solidFill>
                </w14:textFill>
              </w:rPr>
            </w:pPr>
            <w:r>
              <w:rPr>
                <w:bCs/>
                <w:color w:val="000000" w:themeColor="text1"/>
                <w:spacing w:val="10"/>
                <w:sz w:val="24"/>
                <w:highlight w:val="none"/>
                <w14:textFill>
                  <w14:solidFill>
                    <w14:schemeClr w14:val="tx1"/>
                  </w14:solidFill>
                </w14:textFill>
              </w:rPr>
              <w:t>施工期生态环境保护措施</w:t>
            </w:r>
          </w:p>
        </w:tc>
        <w:tc>
          <w:tcPr>
            <w:tcW w:w="8457" w:type="dxa"/>
          </w:tcPr>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firstLine="522" w:firstLineChars="200"/>
              <w:textAlignment w:val="auto"/>
              <w:rPr>
                <w:rFonts w:hint="eastAsia"/>
                <w:b/>
                <w:bCs w:val="0"/>
                <w:color w:val="000000" w:themeColor="text1"/>
                <w:spacing w:val="10"/>
                <w:sz w:val="24"/>
                <w:highlight w:val="none"/>
                <w14:textFill>
                  <w14:solidFill>
                    <w14:schemeClr w14:val="tx1"/>
                  </w14:solidFill>
                </w14:textFill>
              </w:rPr>
            </w:pPr>
            <w:r>
              <w:rPr>
                <w:rFonts w:hint="eastAsia"/>
                <w:b/>
                <w:bCs w:val="0"/>
                <w:color w:val="000000" w:themeColor="text1"/>
                <w:spacing w:val="10"/>
                <w:sz w:val="24"/>
                <w:highlight w:val="none"/>
                <w:lang w:val="en-US" w:eastAsia="zh-CN"/>
                <w14:textFill>
                  <w14:solidFill>
                    <w14:schemeClr w14:val="tx1"/>
                  </w14:solidFill>
                </w14:textFill>
              </w:rPr>
              <w:t>1、</w:t>
            </w:r>
            <w:r>
              <w:rPr>
                <w:rFonts w:hint="eastAsia"/>
                <w:b/>
                <w:bCs w:val="0"/>
                <w:color w:val="000000" w:themeColor="text1"/>
                <w:spacing w:val="10"/>
                <w:sz w:val="24"/>
                <w:highlight w:val="none"/>
                <w14:textFill>
                  <w14:solidFill>
                    <w14:schemeClr w14:val="tx1"/>
                  </w14:solidFill>
                </w14:textFill>
              </w:rPr>
              <w:t>施工期生态保护措施</w:t>
            </w:r>
          </w:p>
          <w:p>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color w:val="000000" w:themeColor="text1"/>
                <w:spacing w:val="10"/>
                <w:sz w:val="24"/>
                <w:highlight w:val="none"/>
                <w14:textFill>
                  <w14:solidFill>
                    <w14:schemeClr w14:val="tx1"/>
                  </w14:solidFill>
                </w14:textFill>
              </w:rPr>
            </w:pPr>
            <w:r>
              <w:rPr>
                <w:rFonts w:hint="eastAsia"/>
                <w:b w:val="0"/>
                <w:bCs/>
                <w:color w:val="000000" w:themeColor="text1"/>
                <w:spacing w:val="10"/>
                <w:sz w:val="24"/>
                <w:highlight w:val="none"/>
                <w14:textFill>
                  <w14:solidFill>
                    <w14:schemeClr w14:val="tx1"/>
                  </w14:solidFill>
                </w14:textFill>
              </w:rPr>
              <w:t>（1）严格控制项目建设用地</w:t>
            </w:r>
          </w:p>
          <w:p>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color w:val="000000" w:themeColor="text1"/>
                <w:spacing w:val="10"/>
                <w:sz w:val="24"/>
                <w:highlight w:val="none"/>
                <w14:textFill>
                  <w14:solidFill>
                    <w14:schemeClr w14:val="tx1"/>
                  </w14:solidFill>
                </w14:textFill>
              </w:rPr>
            </w:pPr>
            <w:r>
              <w:rPr>
                <w:rFonts w:hint="eastAsia"/>
                <w:b w:val="0"/>
                <w:bCs/>
                <w:color w:val="000000" w:themeColor="text1"/>
                <w:spacing w:val="10"/>
                <w:sz w:val="24"/>
                <w:highlight w:val="none"/>
                <w14:textFill>
                  <w14:solidFill>
                    <w14:schemeClr w14:val="tx1"/>
                  </w14:solidFill>
                </w14:textFill>
              </w:rPr>
              <w:t>优化施工道路的布设，施工便道利用现有道路或前期拆迁道路作为施工道路。</w:t>
            </w:r>
          </w:p>
          <w:p>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color w:val="000000" w:themeColor="text1"/>
                <w:spacing w:val="10"/>
                <w:sz w:val="24"/>
                <w:highlight w:val="none"/>
                <w14:textFill>
                  <w14:solidFill>
                    <w14:schemeClr w14:val="tx1"/>
                  </w14:solidFill>
                </w14:textFill>
              </w:rPr>
            </w:pPr>
            <w:r>
              <w:rPr>
                <w:rFonts w:hint="eastAsia"/>
                <w:b w:val="0"/>
                <w:bCs/>
                <w:color w:val="000000" w:themeColor="text1"/>
                <w:spacing w:val="10"/>
                <w:sz w:val="24"/>
                <w:highlight w:val="none"/>
                <w14:textFill>
                  <w14:solidFill>
                    <w14:schemeClr w14:val="tx1"/>
                  </w14:solidFill>
                </w14:textFill>
              </w:rPr>
              <w:t>（2）强化施工环境管理</w:t>
            </w:r>
          </w:p>
          <w:p>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color w:val="000000" w:themeColor="text1"/>
                <w:spacing w:val="10"/>
                <w:sz w:val="24"/>
                <w:highlight w:val="none"/>
                <w14:textFill>
                  <w14:solidFill>
                    <w14:schemeClr w14:val="tx1"/>
                  </w14:solidFill>
                </w14:textFill>
              </w:rPr>
            </w:pPr>
            <w:r>
              <w:rPr>
                <w:rFonts w:hint="eastAsia"/>
                <w:b w:val="0"/>
                <w:bCs/>
                <w:color w:val="000000" w:themeColor="text1"/>
                <w:spacing w:val="10"/>
                <w:sz w:val="24"/>
                <w:highlight w:val="none"/>
                <w:lang w:val="en-US" w:eastAsia="zh-CN"/>
                <w14:textFill>
                  <w14:solidFill>
                    <w14:schemeClr w14:val="tx1"/>
                  </w14:solidFill>
                </w14:textFill>
              </w:rPr>
              <w:t>施工期间</w:t>
            </w:r>
            <w:r>
              <w:rPr>
                <w:rFonts w:hint="eastAsia"/>
                <w:b w:val="0"/>
                <w:bCs/>
                <w:color w:val="000000" w:themeColor="text1"/>
                <w:spacing w:val="10"/>
                <w:sz w:val="24"/>
                <w:highlight w:val="none"/>
                <w14:textFill>
                  <w14:solidFill>
                    <w14:schemeClr w14:val="tx1"/>
                  </w14:solidFill>
                </w14:textFill>
              </w:rPr>
              <w:t>须做好防护，尤其要加强路基施工区污废水、泥浆的管控。施工作业结束后，要及时清理施工场地，以防施工废料等随雨水</w:t>
            </w:r>
            <w:r>
              <w:rPr>
                <w:rFonts w:hint="eastAsia"/>
                <w:b w:val="0"/>
                <w:bCs/>
                <w:color w:val="000000" w:themeColor="text1"/>
                <w:spacing w:val="10"/>
                <w:sz w:val="24"/>
                <w:highlight w:val="none"/>
                <w:lang w:val="en-US" w:eastAsia="zh-CN"/>
                <w14:textFill>
                  <w14:solidFill>
                    <w14:schemeClr w14:val="tx1"/>
                  </w14:solidFill>
                </w14:textFill>
              </w:rPr>
              <w:t>排入周边沟渠，污染地表水和土壤环境</w:t>
            </w:r>
            <w:r>
              <w:rPr>
                <w:rFonts w:hint="eastAsia"/>
                <w:b w:val="0"/>
                <w:bCs/>
                <w:color w:val="000000" w:themeColor="text1"/>
                <w:spacing w:val="10"/>
                <w:sz w:val="24"/>
                <w:highlight w:val="none"/>
                <w14:textFill>
                  <w14:solidFill>
                    <w14:schemeClr w14:val="tx1"/>
                  </w14:solidFill>
                </w14:textFill>
              </w:rPr>
              <w:t>。加强施工期</w:t>
            </w:r>
            <w:r>
              <w:rPr>
                <w:rFonts w:hint="eastAsia"/>
                <w:b w:val="0"/>
                <w:bCs/>
                <w:color w:val="000000" w:themeColor="text1"/>
                <w:spacing w:val="10"/>
                <w:sz w:val="24"/>
                <w:highlight w:val="none"/>
                <w:lang w:val="en-US" w:eastAsia="zh-CN"/>
                <w14:textFill>
                  <w14:solidFill>
                    <w14:schemeClr w14:val="tx1"/>
                  </w14:solidFill>
                </w14:textFill>
              </w:rPr>
              <w:t>废弃</w:t>
            </w:r>
            <w:r>
              <w:rPr>
                <w:rFonts w:hint="eastAsia"/>
                <w:b w:val="0"/>
                <w:bCs/>
                <w:color w:val="000000" w:themeColor="text1"/>
                <w:spacing w:val="10"/>
                <w:sz w:val="24"/>
                <w:highlight w:val="none"/>
                <w14:textFill>
                  <w14:solidFill>
                    <w14:schemeClr w14:val="tx1"/>
                  </w14:solidFill>
                </w14:textFill>
              </w:rPr>
              <w:t>材料的管理，妥善放置，及时清理，以防对</w:t>
            </w:r>
            <w:r>
              <w:rPr>
                <w:rFonts w:hint="eastAsia"/>
                <w:b w:val="0"/>
                <w:bCs/>
                <w:color w:val="000000" w:themeColor="text1"/>
                <w:spacing w:val="10"/>
                <w:sz w:val="24"/>
                <w:highlight w:val="none"/>
                <w:lang w:val="en-US" w:eastAsia="zh-CN"/>
                <w14:textFill>
                  <w14:solidFill>
                    <w14:schemeClr w14:val="tx1"/>
                  </w14:solidFill>
                </w14:textFill>
              </w:rPr>
              <w:t>环境</w:t>
            </w:r>
            <w:r>
              <w:rPr>
                <w:rFonts w:hint="eastAsia"/>
                <w:b w:val="0"/>
                <w:bCs/>
                <w:color w:val="000000" w:themeColor="text1"/>
                <w:spacing w:val="10"/>
                <w:sz w:val="24"/>
                <w:highlight w:val="none"/>
                <w14:textFill>
                  <w14:solidFill>
                    <w14:schemeClr w14:val="tx1"/>
                  </w14:solidFill>
                </w14:textFill>
              </w:rPr>
              <w:t>造成污染。施工过程中，如路基部分发现保护植物，应采取尽量移栽的保护措施。</w:t>
            </w:r>
          </w:p>
          <w:p>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color w:val="000000" w:themeColor="text1"/>
                <w:spacing w:val="10"/>
                <w:sz w:val="24"/>
                <w:highlight w:val="none"/>
                <w14:textFill>
                  <w14:solidFill>
                    <w14:schemeClr w14:val="tx1"/>
                  </w14:solidFill>
                </w14:textFill>
              </w:rPr>
            </w:pPr>
            <w:r>
              <w:rPr>
                <w:rFonts w:hint="eastAsia"/>
                <w:b w:val="0"/>
                <w:bCs/>
                <w:color w:val="000000" w:themeColor="text1"/>
                <w:spacing w:val="10"/>
                <w:sz w:val="24"/>
                <w:highlight w:val="none"/>
                <w14:textFill>
                  <w14:solidFill>
                    <w14:schemeClr w14:val="tx1"/>
                  </w14:solidFill>
                </w14:textFill>
              </w:rPr>
              <w:t>（3）加强施工人员管理</w:t>
            </w:r>
          </w:p>
          <w:p>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color w:val="000000" w:themeColor="text1"/>
                <w:spacing w:val="10"/>
                <w:sz w:val="24"/>
                <w:highlight w:val="none"/>
                <w14:textFill>
                  <w14:solidFill>
                    <w14:schemeClr w14:val="tx1"/>
                  </w14:solidFill>
                </w14:textFill>
              </w:rPr>
            </w:pPr>
            <w:r>
              <w:rPr>
                <w:rFonts w:hint="eastAsia"/>
                <w:b w:val="0"/>
                <w:bCs/>
                <w:color w:val="000000" w:themeColor="text1"/>
                <w:spacing w:val="10"/>
                <w:sz w:val="24"/>
                <w:highlight w:val="none"/>
                <w14:textFill>
                  <w14:solidFill>
                    <w14:schemeClr w14:val="tx1"/>
                  </w14:solidFill>
                </w14:textFill>
              </w:rPr>
              <w:t>施工</w:t>
            </w:r>
            <w:r>
              <w:rPr>
                <w:rFonts w:hint="eastAsia"/>
                <w:b w:val="0"/>
                <w:bCs/>
                <w:color w:val="000000" w:themeColor="text1"/>
                <w:spacing w:val="10"/>
                <w:sz w:val="24"/>
                <w:highlight w:val="none"/>
                <w:lang w:val="en-US" w:eastAsia="zh-CN"/>
                <w14:textFill>
                  <w14:solidFill>
                    <w14:schemeClr w14:val="tx1"/>
                  </w14:solidFill>
                </w14:textFill>
              </w:rPr>
              <w:t>期间</w:t>
            </w:r>
            <w:r>
              <w:rPr>
                <w:rFonts w:hint="eastAsia"/>
                <w:b w:val="0"/>
                <w:bCs/>
                <w:color w:val="000000" w:themeColor="text1"/>
                <w:spacing w:val="10"/>
                <w:sz w:val="24"/>
                <w:highlight w:val="none"/>
                <w14:textFill>
                  <w14:solidFill>
                    <w14:schemeClr w14:val="tx1"/>
                  </w14:solidFill>
                </w14:textFill>
              </w:rPr>
              <w:t>须严格控制施工红线，严禁施工人员砍伐树木、破坏植被。</w:t>
            </w:r>
            <w:r>
              <w:rPr>
                <w:rFonts w:hint="eastAsia"/>
                <w:b w:val="0"/>
                <w:bCs/>
                <w:color w:val="000000" w:themeColor="text1"/>
                <w:spacing w:val="10"/>
                <w:sz w:val="24"/>
                <w:highlight w:val="none"/>
                <w:lang w:val="en-US" w:eastAsia="zh-CN"/>
                <w14:textFill>
                  <w14:solidFill>
                    <w14:schemeClr w14:val="tx1"/>
                  </w14:solidFill>
                </w14:textFill>
              </w:rPr>
              <w:t>建设</w:t>
            </w:r>
            <w:r>
              <w:rPr>
                <w:rFonts w:hint="eastAsia"/>
                <w:b w:val="0"/>
                <w:bCs/>
                <w:color w:val="000000" w:themeColor="text1"/>
                <w:spacing w:val="10"/>
                <w:sz w:val="24"/>
                <w:highlight w:val="none"/>
                <w14:textFill>
                  <w14:solidFill>
                    <w14:schemeClr w14:val="tx1"/>
                  </w14:solidFill>
                </w14:textFill>
              </w:rPr>
              <w:t>单位应加强护林防火的宣传工作，强化火源管理，降低火灾隐患。</w:t>
            </w:r>
          </w:p>
          <w:p>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color w:val="000000" w:themeColor="text1"/>
                <w:spacing w:val="10"/>
                <w:sz w:val="24"/>
                <w:highlight w:val="none"/>
                <w14:textFill>
                  <w14:solidFill>
                    <w14:schemeClr w14:val="tx1"/>
                  </w14:solidFill>
                </w14:textFill>
              </w:rPr>
            </w:pPr>
            <w:r>
              <w:rPr>
                <w:rFonts w:hint="eastAsia"/>
                <w:b w:val="0"/>
                <w:bCs/>
                <w:color w:val="000000" w:themeColor="text1"/>
                <w:spacing w:val="10"/>
                <w:sz w:val="24"/>
                <w:highlight w:val="none"/>
                <w14:textFill>
                  <w14:solidFill>
                    <w14:schemeClr w14:val="tx1"/>
                  </w14:solidFill>
                </w14:textFill>
              </w:rPr>
              <w:t>（4）加强对</w:t>
            </w:r>
            <w:r>
              <w:rPr>
                <w:rFonts w:hint="eastAsia"/>
                <w:b w:val="0"/>
                <w:bCs/>
                <w:color w:val="000000" w:themeColor="text1"/>
                <w:spacing w:val="10"/>
                <w:sz w:val="24"/>
                <w:highlight w:val="none"/>
                <w:lang w:val="en-US" w:eastAsia="zh-CN"/>
                <w14:textFill>
                  <w14:solidFill>
                    <w14:schemeClr w14:val="tx1"/>
                  </w14:solidFill>
                </w14:textFill>
              </w:rPr>
              <w:t>区域野生</w:t>
            </w:r>
            <w:r>
              <w:rPr>
                <w:rFonts w:hint="eastAsia"/>
                <w:b w:val="0"/>
                <w:bCs/>
                <w:color w:val="000000" w:themeColor="text1"/>
                <w:spacing w:val="10"/>
                <w:sz w:val="24"/>
                <w:highlight w:val="none"/>
                <w14:textFill>
                  <w14:solidFill>
                    <w14:schemeClr w14:val="tx1"/>
                  </w14:solidFill>
                </w14:textFill>
              </w:rPr>
              <w:t>动物的保护</w:t>
            </w:r>
          </w:p>
          <w:p>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color w:val="000000" w:themeColor="text1"/>
                <w:spacing w:val="10"/>
                <w:sz w:val="24"/>
                <w:highlight w:val="none"/>
                <w14:textFill>
                  <w14:solidFill>
                    <w14:schemeClr w14:val="tx1"/>
                  </w14:solidFill>
                </w14:textFill>
              </w:rPr>
            </w:pPr>
            <w:r>
              <w:rPr>
                <w:rFonts w:hint="eastAsia"/>
                <w:b w:val="0"/>
                <w:bCs/>
                <w:color w:val="000000" w:themeColor="text1"/>
                <w:spacing w:val="10"/>
                <w:sz w:val="24"/>
                <w:highlight w:val="none"/>
                <w:lang w:val="en-US" w:eastAsia="zh-CN"/>
                <w14:textFill>
                  <w14:solidFill>
                    <w14:schemeClr w14:val="tx1"/>
                  </w14:solidFill>
                </w14:textFill>
              </w:rPr>
              <w:t>施工期间须</w:t>
            </w:r>
            <w:r>
              <w:rPr>
                <w:rFonts w:hint="eastAsia"/>
                <w:b w:val="0"/>
                <w:bCs/>
                <w:color w:val="000000" w:themeColor="text1"/>
                <w:spacing w:val="10"/>
                <w:sz w:val="24"/>
                <w:highlight w:val="none"/>
                <w14:textFill>
                  <w14:solidFill>
                    <w14:schemeClr w14:val="tx1"/>
                  </w14:solidFill>
                </w14:textFill>
              </w:rPr>
              <w:t>保护野生动物、特别是重点保护动物的食源、水源、繁殖地、庇护所、栖息地</w:t>
            </w:r>
            <w:r>
              <w:rPr>
                <w:rFonts w:hint="eastAsia"/>
                <w:b w:val="0"/>
                <w:bCs/>
                <w:color w:val="000000" w:themeColor="text1"/>
                <w:spacing w:val="10"/>
                <w:sz w:val="24"/>
                <w:highlight w:val="none"/>
                <w:lang w:val="en-US" w:eastAsia="zh-CN"/>
                <w14:textFill>
                  <w14:solidFill>
                    <w14:schemeClr w14:val="tx1"/>
                  </w14:solidFill>
                </w14:textFill>
              </w:rPr>
              <w:t>等，</w:t>
            </w:r>
            <w:r>
              <w:rPr>
                <w:rFonts w:hint="eastAsia"/>
                <w:b w:val="0"/>
                <w:bCs/>
                <w:color w:val="000000" w:themeColor="text1"/>
                <w:spacing w:val="10"/>
                <w:sz w:val="24"/>
                <w:highlight w:val="none"/>
                <w14:textFill>
                  <w14:solidFill>
                    <w14:schemeClr w14:val="tx1"/>
                  </w14:solidFill>
                </w14:textFill>
              </w:rPr>
              <w:t>保障其迁徙路线的畅通。对偶尔出现在施工区的野生动物不得猎杀，应</w:t>
            </w:r>
            <w:r>
              <w:rPr>
                <w:rFonts w:hint="eastAsia"/>
                <w:b w:val="0"/>
                <w:bCs/>
                <w:color w:val="000000" w:themeColor="text1"/>
                <w:spacing w:val="10"/>
                <w:sz w:val="24"/>
                <w:highlight w:val="none"/>
                <w:lang w:val="en-US" w:eastAsia="zh-CN"/>
                <w14:textFill>
                  <w14:solidFill>
                    <w14:schemeClr w14:val="tx1"/>
                  </w14:solidFill>
                </w14:textFill>
              </w:rPr>
              <w:t>加以</w:t>
            </w:r>
            <w:r>
              <w:rPr>
                <w:rFonts w:hint="eastAsia"/>
                <w:b w:val="0"/>
                <w:bCs/>
                <w:color w:val="000000" w:themeColor="text1"/>
                <w:spacing w:val="10"/>
                <w:sz w:val="24"/>
                <w:highlight w:val="none"/>
                <w14:textFill>
                  <w14:solidFill>
                    <w14:schemeClr w14:val="tx1"/>
                  </w14:solidFill>
                </w14:textFill>
              </w:rPr>
              <w:t>保护。对受伤的野生动物要积极救护。对于鸟类，要进行鸟类驱赶，并避开鸟类的繁殖季节进行施工。</w:t>
            </w:r>
          </w:p>
          <w:p>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color w:val="000000" w:themeColor="text1"/>
                <w:spacing w:val="10"/>
                <w:sz w:val="24"/>
                <w:highlight w:val="none"/>
                <w14:textFill>
                  <w14:solidFill>
                    <w14:schemeClr w14:val="tx1"/>
                  </w14:solidFill>
                </w14:textFill>
              </w:rPr>
            </w:pPr>
            <w:r>
              <w:rPr>
                <w:rFonts w:hint="eastAsia"/>
                <w:b w:val="0"/>
                <w:bCs/>
                <w:color w:val="000000" w:themeColor="text1"/>
                <w:spacing w:val="10"/>
                <w:sz w:val="24"/>
                <w:highlight w:val="none"/>
                <w14:textFill>
                  <w14:solidFill>
                    <w14:schemeClr w14:val="tx1"/>
                  </w14:solidFill>
                </w14:textFill>
              </w:rPr>
              <w:t>（</w:t>
            </w:r>
            <w:r>
              <w:rPr>
                <w:rFonts w:hint="eastAsia"/>
                <w:b w:val="0"/>
                <w:bCs/>
                <w:color w:val="000000" w:themeColor="text1"/>
                <w:spacing w:val="10"/>
                <w:sz w:val="24"/>
                <w:highlight w:val="none"/>
                <w:lang w:val="en-US" w:eastAsia="zh-CN"/>
                <w14:textFill>
                  <w14:solidFill>
                    <w14:schemeClr w14:val="tx1"/>
                  </w14:solidFill>
                </w14:textFill>
              </w:rPr>
              <w:t>5</w:t>
            </w:r>
            <w:r>
              <w:rPr>
                <w:rFonts w:hint="eastAsia"/>
                <w:b w:val="0"/>
                <w:bCs/>
                <w:color w:val="000000" w:themeColor="text1"/>
                <w:spacing w:val="10"/>
                <w:sz w:val="24"/>
                <w:highlight w:val="none"/>
                <w14:textFill>
                  <w14:solidFill>
                    <w14:schemeClr w14:val="tx1"/>
                  </w14:solidFill>
                </w14:textFill>
              </w:rPr>
              <w:t>）水土流失保护措施</w:t>
            </w:r>
          </w:p>
          <w:p>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color w:val="000000" w:themeColor="text1"/>
                <w:spacing w:val="10"/>
                <w:sz w:val="24"/>
                <w:highlight w:val="none"/>
                <w14:textFill>
                  <w14:solidFill>
                    <w14:schemeClr w14:val="tx1"/>
                  </w14:solidFill>
                </w14:textFill>
              </w:rPr>
            </w:pPr>
            <w:r>
              <w:rPr>
                <w:rFonts w:hint="eastAsia"/>
                <w:b w:val="0"/>
                <w:bCs/>
                <w:color w:val="000000" w:themeColor="text1"/>
                <w:spacing w:val="10"/>
                <w:sz w:val="24"/>
                <w:highlight w:val="none"/>
                <w14:textFill>
                  <w14:solidFill>
                    <w14:schemeClr w14:val="tx1"/>
                  </w14:solidFill>
                </w14:textFill>
              </w:rPr>
              <w:t>施工期间</w:t>
            </w:r>
            <w:r>
              <w:rPr>
                <w:rFonts w:hint="eastAsia"/>
                <w:b w:val="0"/>
                <w:bCs/>
                <w:color w:val="000000" w:themeColor="text1"/>
                <w:spacing w:val="10"/>
                <w:sz w:val="24"/>
                <w:highlight w:val="none"/>
                <w:lang w:val="en-US" w:eastAsia="zh-CN"/>
                <w14:textFill>
                  <w14:solidFill>
                    <w14:schemeClr w14:val="tx1"/>
                  </w14:solidFill>
                </w14:textFill>
              </w:rPr>
              <w:t>路基开挖</w:t>
            </w:r>
            <w:r>
              <w:rPr>
                <w:rFonts w:hint="eastAsia"/>
                <w:b w:val="0"/>
                <w:bCs/>
                <w:color w:val="000000" w:themeColor="text1"/>
                <w:spacing w:val="10"/>
                <w:sz w:val="24"/>
                <w:highlight w:val="none"/>
                <w14:textFill>
                  <w14:solidFill>
                    <w14:schemeClr w14:val="tx1"/>
                  </w14:solidFill>
                </w14:textFill>
              </w:rPr>
              <w:t>会产生水土流失问题，裸露的地表在雨水及地表径流的作用下将造成大量的水土流失，影响局部的水文条件和陆生生态系统的稳定性。</w:t>
            </w:r>
          </w:p>
          <w:p>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color w:val="000000" w:themeColor="text1"/>
                <w:spacing w:val="10"/>
                <w:sz w:val="24"/>
                <w:highlight w:val="none"/>
                <w14:textFill>
                  <w14:solidFill>
                    <w14:schemeClr w14:val="tx1"/>
                  </w14:solidFill>
                </w14:textFill>
              </w:rPr>
            </w:pPr>
            <w:r>
              <w:rPr>
                <w:rFonts w:hint="eastAsia"/>
                <w:b w:val="0"/>
                <w:bCs/>
                <w:color w:val="000000" w:themeColor="text1"/>
                <w:spacing w:val="10"/>
                <w:sz w:val="24"/>
                <w:highlight w:val="none"/>
                <w14:textFill>
                  <w14:solidFill>
                    <w14:schemeClr w14:val="tx1"/>
                  </w14:solidFill>
                </w14:textFill>
              </w:rPr>
              <w:t>为了将施工对区域生态的影响降至最低，需采取以下措施：</w:t>
            </w:r>
          </w:p>
          <w:p>
            <w:pPr>
              <w:keepNext w:val="0"/>
              <w:keepLines w:val="0"/>
              <w:suppressLineNumbers w:val="0"/>
              <w:adjustRightInd w:val="0"/>
              <w:snapToGrid w:val="0"/>
              <w:spacing w:before="0" w:beforeAutospacing="0" w:after="0" w:afterAutospacing="0" w:line="360" w:lineRule="auto"/>
              <w:ind w:left="0" w:right="0" w:firstLine="520" w:firstLineChars="200"/>
              <w:rPr>
                <w:rFonts w:hint="eastAsia" w:eastAsia="宋体"/>
                <w:b w:val="0"/>
                <w:bCs/>
                <w:color w:val="000000" w:themeColor="text1"/>
                <w:spacing w:val="10"/>
                <w:sz w:val="24"/>
                <w:highlight w:val="none"/>
                <w:lang w:eastAsia="zh-CN"/>
                <w14:textFill>
                  <w14:solidFill>
                    <w14:schemeClr w14:val="tx1"/>
                  </w14:solidFill>
                </w14:textFill>
              </w:rPr>
            </w:pPr>
            <w:r>
              <w:rPr>
                <w:rFonts w:hint="eastAsia"/>
                <w:b w:val="0"/>
                <w:bCs/>
                <w:color w:val="000000" w:themeColor="text1"/>
                <w:spacing w:val="10"/>
                <w:sz w:val="24"/>
                <w:highlight w:val="none"/>
                <w14:textFill>
                  <w14:solidFill>
                    <w14:schemeClr w14:val="tx1"/>
                  </w14:solidFill>
                </w14:textFill>
              </w:rPr>
              <w:t>①尽量避开当地雨季施工，采取分段施工，提高工程施工效率，缩短施工工期，以减少施工期间的水土流失</w:t>
            </w:r>
            <w:r>
              <w:rPr>
                <w:rFonts w:hint="eastAsia"/>
                <w:b w:val="0"/>
                <w:bCs/>
                <w:color w:val="000000" w:themeColor="text1"/>
                <w:spacing w:val="10"/>
                <w:sz w:val="24"/>
                <w:highlight w:val="none"/>
                <w:lang w:eastAsia="zh-CN"/>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520" w:firstLineChars="200"/>
              <w:rPr>
                <w:rFonts w:hint="eastAsia" w:eastAsia="宋体"/>
                <w:b w:val="0"/>
                <w:bCs/>
                <w:color w:val="000000" w:themeColor="text1"/>
                <w:spacing w:val="10"/>
                <w:sz w:val="24"/>
                <w:highlight w:val="none"/>
                <w:lang w:eastAsia="zh-CN"/>
                <w14:textFill>
                  <w14:solidFill>
                    <w14:schemeClr w14:val="tx1"/>
                  </w14:solidFill>
                </w14:textFill>
              </w:rPr>
            </w:pPr>
            <w:r>
              <w:rPr>
                <w:rFonts w:hint="eastAsia"/>
                <w:b w:val="0"/>
                <w:bCs/>
                <w:color w:val="000000" w:themeColor="text1"/>
                <w:spacing w:val="10"/>
                <w:sz w:val="24"/>
                <w:highlight w:val="none"/>
                <w14:textFill>
                  <w14:solidFill>
                    <w14:schemeClr w14:val="tx1"/>
                  </w14:solidFill>
                </w14:textFill>
              </w:rPr>
              <w:t>②施工期挖土要有次序地分片动工，避免沿线景观凌乱，有碍景观，可设档防板作围障，减少景观污染</w:t>
            </w:r>
            <w:r>
              <w:rPr>
                <w:rFonts w:hint="eastAsia"/>
                <w:b w:val="0"/>
                <w:bCs/>
                <w:color w:val="000000" w:themeColor="text1"/>
                <w:spacing w:val="10"/>
                <w:sz w:val="24"/>
                <w:highlight w:val="none"/>
                <w:lang w:eastAsia="zh-CN"/>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520" w:firstLineChars="200"/>
              <w:rPr>
                <w:rFonts w:hint="eastAsia" w:eastAsia="宋体"/>
                <w:b w:val="0"/>
                <w:bCs/>
                <w:color w:val="000000" w:themeColor="text1"/>
                <w:spacing w:val="10"/>
                <w:sz w:val="24"/>
                <w:highlight w:val="none"/>
                <w:lang w:eastAsia="zh-CN"/>
                <w14:textFill>
                  <w14:solidFill>
                    <w14:schemeClr w14:val="tx1"/>
                  </w14:solidFill>
                </w14:textFill>
              </w:rPr>
            </w:pPr>
            <w:r>
              <w:rPr>
                <w:rFonts w:hint="eastAsia"/>
                <w:b w:val="0"/>
                <w:bCs/>
                <w:color w:val="000000" w:themeColor="text1"/>
                <w:spacing w:val="10"/>
                <w:sz w:val="24"/>
                <w:highlight w:val="none"/>
                <w14:textFill>
                  <w14:solidFill>
                    <w14:schemeClr w14:val="tx1"/>
                  </w14:solidFill>
                </w14:textFill>
              </w:rPr>
              <w:t>③施工地点应做好安排，防止施工废水与路面冲刷废水直接排入水体，避免对周围生态环境造成负面影响</w:t>
            </w:r>
            <w:r>
              <w:rPr>
                <w:rFonts w:hint="eastAsia"/>
                <w:b w:val="0"/>
                <w:bCs/>
                <w:color w:val="000000" w:themeColor="text1"/>
                <w:spacing w:val="10"/>
                <w:sz w:val="24"/>
                <w:highlight w:val="none"/>
                <w:lang w:eastAsia="zh-CN"/>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520" w:firstLineChars="200"/>
              <w:rPr>
                <w:rFonts w:hint="eastAsia" w:eastAsia="宋体"/>
                <w:b w:val="0"/>
                <w:bCs/>
                <w:color w:val="000000" w:themeColor="text1"/>
                <w:spacing w:val="10"/>
                <w:sz w:val="24"/>
                <w:highlight w:val="none"/>
                <w:lang w:eastAsia="zh-CN"/>
                <w14:textFill>
                  <w14:solidFill>
                    <w14:schemeClr w14:val="tx1"/>
                  </w14:solidFill>
                </w14:textFill>
              </w:rPr>
            </w:pPr>
            <w:r>
              <w:rPr>
                <w:rFonts w:hint="eastAsia"/>
                <w:b w:val="0"/>
                <w:bCs/>
                <w:color w:val="000000" w:themeColor="text1"/>
                <w:spacing w:val="10"/>
                <w:sz w:val="24"/>
                <w:highlight w:val="none"/>
                <w14:textFill>
                  <w14:solidFill>
                    <w14:schemeClr w14:val="tx1"/>
                  </w14:solidFill>
                </w14:textFill>
              </w:rPr>
              <w:t>④施工单位应随时跟踪气象预报，事先了解降雨时间和特点，以便在降雨前将施工点的泥土清运、填铺的路面压实，并作好防护措施</w:t>
            </w:r>
            <w:r>
              <w:rPr>
                <w:rFonts w:hint="eastAsia"/>
                <w:b w:val="0"/>
                <w:bCs/>
                <w:color w:val="000000" w:themeColor="text1"/>
                <w:spacing w:val="10"/>
                <w:sz w:val="24"/>
                <w:highlight w:val="none"/>
                <w:lang w:eastAsia="zh-CN"/>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520" w:firstLineChars="200"/>
              <w:rPr>
                <w:rFonts w:hint="eastAsia" w:eastAsia="宋体"/>
                <w:b w:val="0"/>
                <w:bCs/>
                <w:color w:val="000000" w:themeColor="text1"/>
                <w:spacing w:val="10"/>
                <w:sz w:val="24"/>
                <w:highlight w:val="none"/>
                <w:lang w:eastAsia="zh-CN"/>
                <w14:textFill>
                  <w14:solidFill>
                    <w14:schemeClr w14:val="tx1"/>
                  </w14:solidFill>
                </w14:textFill>
              </w:rPr>
            </w:pPr>
            <w:r>
              <w:rPr>
                <w:rFonts w:hint="eastAsia"/>
                <w:b w:val="0"/>
                <w:bCs/>
                <w:color w:val="000000" w:themeColor="text1"/>
                <w:spacing w:val="10"/>
                <w:sz w:val="24"/>
                <w:highlight w:val="none"/>
                <w14:textFill>
                  <w14:solidFill>
                    <w14:schemeClr w14:val="tx1"/>
                  </w14:solidFill>
                </w14:textFill>
              </w:rPr>
              <w:t>⑤</w:t>
            </w:r>
            <w:r>
              <w:rPr>
                <w:rFonts w:hint="eastAsia"/>
                <w:b w:val="0"/>
                <w:bCs/>
                <w:color w:val="000000" w:themeColor="text1"/>
                <w:spacing w:val="10"/>
                <w:sz w:val="24"/>
                <w:highlight w:val="none"/>
                <w:lang w:val="en-US" w:eastAsia="zh-CN"/>
                <w14:textFill>
                  <w14:solidFill>
                    <w14:schemeClr w14:val="tx1"/>
                  </w14:solidFill>
                </w14:textFill>
              </w:rPr>
              <w:t>建设</w:t>
            </w:r>
            <w:r>
              <w:rPr>
                <w:rFonts w:hint="eastAsia"/>
                <w:b w:val="0"/>
                <w:bCs/>
                <w:color w:val="000000" w:themeColor="text1"/>
                <w:spacing w:val="10"/>
                <w:sz w:val="24"/>
                <w:highlight w:val="none"/>
                <w14:textFill>
                  <w14:solidFill>
                    <w14:schemeClr w14:val="tx1"/>
                  </w14:solidFill>
                </w14:textFill>
              </w:rPr>
              <w:t>单位在施工过程中应注意水土流失防护，对临时占地区加强临时措施布置</w:t>
            </w:r>
            <w:r>
              <w:rPr>
                <w:rFonts w:hint="eastAsia"/>
                <w:b w:val="0"/>
                <w:bCs/>
                <w:color w:val="000000" w:themeColor="text1"/>
                <w:spacing w:val="10"/>
                <w:sz w:val="24"/>
                <w:highlight w:val="none"/>
                <w:lang w:eastAsia="zh-CN"/>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color w:val="000000" w:themeColor="text1"/>
                <w:spacing w:val="10"/>
                <w:sz w:val="24"/>
                <w:highlight w:val="none"/>
                <w14:textFill>
                  <w14:solidFill>
                    <w14:schemeClr w14:val="tx1"/>
                  </w14:solidFill>
                </w14:textFill>
              </w:rPr>
            </w:pPr>
            <w:r>
              <w:rPr>
                <w:rFonts w:hint="eastAsia"/>
                <w:b w:val="0"/>
                <w:bCs/>
                <w:color w:val="000000" w:themeColor="text1"/>
                <w:spacing w:val="10"/>
                <w:sz w:val="24"/>
                <w:highlight w:val="none"/>
                <w14:textFill>
                  <w14:solidFill>
                    <w14:schemeClr w14:val="tx1"/>
                  </w14:solidFill>
                </w14:textFill>
              </w:rPr>
              <w:t>⑥在施工过程中应派专人对各项防护措施及其防护效果进行定期检查，对出现问题的措施应及时整改和补救。</w:t>
            </w:r>
          </w:p>
          <w:p>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color w:val="000000" w:themeColor="text1"/>
                <w:spacing w:val="10"/>
                <w:sz w:val="24"/>
                <w:highlight w:val="none"/>
                <w14:textFill>
                  <w14:solidFill>
                    <w14:schemeClr w14:val="tx1"/>
                  </w14:solidFill>
                </w14:textFill>
              </w:rPr>
            </w:pPr>
            <w:r>
              <w:rPr>
                <w:rFonts w:hint="eastAsia"/>
                <w:b w:val="0"/>
                <w:bCs/>
                <w:color w:val="000000" w:themeColor="text1"/>
                <w:spacing w:val="10"/>
                <w:sz w:val="24"/>
                <w:highlight w:val="none"/>
                <w14:textFill>
                  <w14:solidFill>
                    <w14:schemeClr w14:val="tx1"/>
                  </w14:solidFill>
                </w14:textFill>
              </w:rPr>
              <w:t>（</w:t>
            </w:r>
            <w:r>
              <w:rPr>
                <w:rFonts w:hint="eastAsia"/>
                <w:b w:val="0"/>
                <w:bCs/>
                <w:color w:val="000000" w:themeColor="text1"/>
                <w:spacing w:val="10"/>
                <w:sz w:val="24"/>
                <w:highlight w:val="none"/>
                <w:lang w:val="en-US" w:eastAsia="zh-CN"/>
                <w14:textFill>
                  <w14:solidFill>
                    <w14:schemeClr w14:val="tx1"/>
                  </w14:solidFill>
                </w14:textFill>
              </w:rPr>
              <w:t>6</w:t>
            </w:r>
            <w:r>
              <w:rPr>
                <w:rFonts w:hint="eastAsia"/>
                <w:b w:val="0"/>
                <w:bCs/>
                <w:color w:val="000000" w:themeColor="text1"/>
                <w:spacing w:val="10"/>
                <w:sz w:val="24"/>
                <w:highlight w:val="none"/>
                <w14:textFill>
                  <w14:solidFill>
                    <w14:schemeClr w14:val="tx1"/>
                  </w14:solidFill>
                </w14:textFill>
              </w:rPr>
              <w:t>）加强宣传教育和监督管理</w:t>
            </w:r>
          </w:p>
          <w:p>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color w:val="000000" w:themeColor="text1"/>
                <w:spacing w:val="10"/>
                <w:sz w:val="24"/>
                <w:highlight w:val="none"/>
                <w14:textFill>
                  <w14:solidFill>
                    <w14:schemeClr w14:val="tx1"/>
                  </w14:solidFill>
                </w14:textFill>
              </w:rPr>
            </w:pPr>
            <w:r>
              <w:rPr>
                <w:rFonts w:hint="eastAsia"/>
                <w:b w:val="0"/>
                <w:bCs/>
                <w:color w:val="000000" w:themeColor="text1"/>
                <w:spacing w:val="10"/>
                <w:sz w:val="24"/>
                <w:highlight w:val="none"/>
                <w:lang w:val="en-US" w:eastAsia="zh-CN"/>
                <w14:textFill>
                  <w14:solidFill>
                    <w14:schemeClr w14:val="tx1"/>
                  </w14:solidFill>
                </w14:textFill>
              </w:rPr>
              <w:t>建设</w:t>
            </w:r>
            <w:r>
              <w:rPr>
                <w:rFonts w:hint="eastAsia"/>
                <w:b w:val="0"/>
                <w:bCs/>
                <w:color w:val="000000" w:themeColor="text1"/>
                <w:spacing w:val="10"/>
                <w:sz w:val="24"/>
                <w:highlight w:val="none"/>
                <w14:textFill>
                  <w14:solidFill>
                    <w14:schemeClr w14:val="tx1"/>
                  </w14:solidFill>
                </w14:textFill>
              </w:rPr>
              <w:t>单位在线路工程点设置宣传牌，加强动植物保护宣传，警示不要捕捉野生动物。同时，加强对</w:t>
            </w:r>
            <w:r>
              <w:rPr>
                <w:rFonts w:hint="eastAsia"/>
                <w:b w:val="0"/>
                <w:bCs/>
                <w:color w:val="000000" w:themeColor="text1"/>
                <w:spacing w:val="10"/>
                <w:sz w:val="24"/>
                <w:highlight w:val="none"/>
                <w:lang w:val="en-US" w:eastAsia="zh-CN"/>
                <w14:textFill>
                  <w14:solidFill>
                    <w14:schemeClr w14:val="tx1"/>
                  </w14:solidFill>
                </w14:textFill>
              </w:rPr>
              <w:t>建设</w:t>
            </w:r>
            <w:r>
              <w:rPr>
                <w:rFonts w:hint="eastAsia"/>
                <w:b w:val="0"/>
                <w:bCs/>
                <w:color w:val="000000" w:themeColor="text1"/>
                <w:spacing w:val="10"/>
                <w:sz w:val="24"/>
                <w:highlight w:val="none"/>
                <w14:textFill>
                  <w14:solidFill>
                    <w14:schemeClr w14:val="tx1"/>
                  </w14:solidFill>
                </w14:textFill>
              </w:rPr>
              <w:t>单位和</w:t>
            </w:r>
            <w:r>
              <w:rPr>
                <w:rFonts w:hint="eastAsia"/>
                <w:b w:val="0"/>
                <w:bCs/>
                <w:color w:val="000000" w:themeColor="text1"/>
                <w:spacing w:val="10"/>
                <w:sz w:val="24"/>
                <w:highlight w:val="none"/>
                <w:lang w:val="en-US" w:eastAsia="zh-CN"/>
                <w14:textFill>
                  <w14:solidFill>
                    <w14:schemeClr w14:val="tx1"/>
                  </w14:solidFill>
                </w14:textFill>
              </w:rPr>
              <w:t>施工</w:t>
            </w:r>
            <w:r>
              <w:rPr>
                <w:rFonts w:hint="eastAsia"/>
                <w:b w:val="0"/>
                <w:bCs/>
                <w:color w:val="000000" w:themeColor="text1"/>
                <w:spacing w:val="10"/>
                <w:sz w:val="24"/>
                <w:highlight w:val="none"/>
                <w14:textFill>
                  <w14:solidFill>
                    <w14:schemeClr w14:val="tx1"/>
                  </w14:solidFill>
                </w14:textFill>
              </w:rPr>
              <w:t>人员保护生物多样性重要性的宣传教育，并加强监督管理。</w:t>
            </w:r>
          </w:p>
          <w:p>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color w:val="000000" w:themeColor="text1"/>
                <w:spacing w:val="10"/>
                <w:sz w:val="24"/>
                <w:highlight w:val="none"/>
                <w14:textFill>
                  <w14:solidFill>
                    <w14:schemeClr w14:val="tx1"/>
                  </w14:solidFill>
                </w14:textFill>
              </w:rPr>
            </w:pPr>
            <w:r>
              <w:rPr>
                <w:rFonts w:hint="eastAsia"/>
                <w:b w:val="0"/>
                <w:bCs/>
                <w:color w:val="000000" w:themeColor="text1"/>
                <w:spacing w:val="10"/>
                <w:sz w:val="24"/>
                <w:highlight w:val="none"/>
                <w:lang w:val="en-US" w:eastAsia="zh-CN"/>
                <w14:textFill>
                  <w14:solidFill>
                    <w14:schemeClr w14:val="tx1"/>
                  </w14:solidFill>
                </w14:textFill>
              </w:rPr>
              <w:t>综上，</w:t>
            </w:r>
            <w:r>
              <w:rPr>
                <w:rFonts w:hint="eastAsia"/>
                <w:b w:val="0"/>
                <w:bCs/>
                <w:color w:val="000000" w:themeColor="text1"/>
                <w:spacing w:val="10"/>
                <w:sz w:val="24"/>
                <w:highlight w:val="none"/>
                <w14:textFill>
                  <w14:solidFill>
                    <w14:schemeClr w14:val="tx1"/>
                  </w14:solidFill>
                </w14:textFill>
              </w:rPr>
              <w:t>本项目施工过程对生态环境的影响是暂时的，影响较小，施工期结束后，影响能够逐渐消除。</w:t>
            </w:r>
          </w:p>
          <w:p>
            <w:pPr>
              <w:keepNext w:val="0"/>
              <w:keepLines w:val="0"/>
              <w:suppressLineNumbers w:val="0"/>
              <w:adjustRightInd w:val="0"/>
              <w:snapToGrid w:val="0"/>
              <w:spacing w:before="0" w:beforeAutospacing="0" w:after="0" w:afterAutospacing="0" w:line="360" w:lineRule="auto"/>
              <w:ind w:left="0" w:right="0" w:firstLine="522" w:firstLineChars="200"/>
              <w:rPr>
                <w:b/>
                <w:bCs w:val="0"/>
                <w:color w:val="000000" w:themeColor="text1"/>
                <w:spacing w:val="10"/>
                <w:sz w:val="24"/>
                <w:highlight w:val="none"/>
                <w14:textFill>
                  <w14:solidFill>
                    <w14:schemeClr w14:val="tx1"/>
                  </w14:solidFill>
                </w14:textFill>
              </w:rPr>
            </w:pPr>
            <w:r>
              <w:rPr>
                <w:rFonts w:hint="eastAsia"/>
                <w:b/>
                <w:bCs w:val="0"/>
                <w:color w:val="000000" w:themeColor="text1"/>
                <w:spacing w:val="10"/>
                <w:sz w:val="24"/>
                <w:highlight w:val="none"/>
                <w14:textFill>
                  <w14:solidFill>
                    <w14:schemeClr w14:val="tx1"/>
                  </w14:solidFill>
                </w14:textFill>
              </w:rPr>
              <w:t>2、施工期废水污染防治措施</w:t>
            </w:r>
          </w:p>
          <w:p>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color w:val="000000" w:themeColor="text1"/>
                <w:spacing w:val="10"/>
                <w:sz w:val="24"/>
                <w:highlight w:val="none"/>
                <w:lang w:val="en-US" w:eastAsia="zh-CN"/>
                <w14:textFill>
                  <w14:solidFill>
                    <w14:schemeClr w14:val="tx1"/>
                  </w14:solidFill>
                </w14:textFill>
              </w:rPr>
            </w:pPr>
            <w:r>
              <w:rPr>
                <w:rFonts w:hint="eastAsia"/>
                <w:b w:val="0"/>
                <w:bCs/>
                <w:color w:val="000000" w:themeColor="text1"/>
                <w:spacing w:val="10"/>
                <w:sz w:val="24"/>
                <w:highlight w:val="none"/>
                <w:lang w:val="en-US" w:eastAsia="zh-CN"/>
                <w14:textFill>
                  <w14:solidFill>
                    <w14:schemeClr w14:val="tx1"/>
                  </w14:solidFill>
                </w14:textFill>
              </w:rPr>
              <w:t>（</w:t>
            </w:r>
            <w:r>
              <w:rPr>
                <w:rFonts w:hint="default"/>
                <w:b w:val="0"/>
                <w:bCs/>
                <w:color w:val="000000" w:themeColor="text1"/>
                <w:spacing w:val="10"/>
                <w:sz w:val="24"/>
                <w:highlight w:val="none"/>
                <w:lang w:val="en-US" w:eastAsia="zh-CN"/>
                <w14:textFill>
                  <w14:solidFill>
                    <w14:schemeClr w14:val="tx1"/>
                  </w14:solidFill>
                </w14:textFill>
              </w:rPr>
              <w:t>1</w:t>
            </w:r>
            <w:r>
              <w:rPr>
                <w:rFonts w:hint="eastAsia"/>
                <w:b w:val="0"/>
                <w:bCs/>
                <w:color w:val="000000" w:themeColor="text1"/>
                <w:spacing w:val="10"/>
                <w:sz w:val="24"/>
                <w:highlight w:val="none"/>
                <w:lang w:val="en-US" w:eastAsia="zh-CN"/>
                <w14:textFill>
                  <w14:solidFill>
                    <w14:schemeClr w14:val="tx1"/>
                  </w14:solidFill>
                </w14:textFill>
              </w:rPr>
              <w:t>）生活污水</w:t>
            </w:r>
          </w:p>
          <w:p>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color w:val="000000" w:themeColor="text1"/>
                <w:spacing w:val="10"/>
                <w:sz w:val="24"/>
                <w:highlight w:val="none"/>
                <w:lang w:val="en-US" w:eastAsia="zh-CN"/>
                <w14:textFill>
                  <w14:solidFill>
                    <w14:schemeClr w14:val="tx1"/>
                  </w14:solidFill>
                </w14:textFill>
              </w:rPr>
            </w:pPr>
            <w:r>
              <w:rPr>
                <w:rFonts w:hint="eastAsia"/>
                <w:b w:val="0"/>
                <w:bCs/>
                <w:color w:val="000000" w:themeColor="text1"/>
                <w:spacing w:val="10"/>
                <w:sz w:val="24"/>
                <w:highlight w:val="none"/>
                <w:lang w:val="en-US" w:eastAsia="zh-CN"/>
                <w14:textFill>
                  <w14:solidFill>
                    <w14:schemeClr w14:val="tx1"/>
                  </w14:solidFill>
                </w14:textFill>
              </w:rPr>
              <w:t>施工期施工人员</w:t>
            </w:r>
            <w:r>
              <w:rPr>
                <w:rFonts w:hint="eastAsia"/>
                <w:bCs/>
                <w:color w:val="000000" w:themeColor="text1"/>
                <w:sz w:val="24"/>
                <w:highlight w:val="none"/>
                <w:lang w:val="en-US" w:eastAsia="zh-CN"/>
                <w14:textFill>
                  <w14:solidFill>
                    <w14:schemeClr w14:val="tx1"/>
                  </w14:solidFill>
                </w14:textFill>
              </w:rPr>
              <w:t>食宿通过</w:t>
            </w:r>
            <w:r>
              <w:rPr>
                <w:rFonts w:hint="eastAsia"/>
                <w:bCs/>
                <w:color w:val="000000" w:themeColor="text1"/>
                <w:sz w:val="24"/>
                <w:highlight w:val="none"/>
                <w14:textFill>
                  <w14:solidFill>
                    <w14:schemeClr w14:val="tx1"/>
                  </w14:solidFill>
                </w14:textFill>
              </w:rPr>
              <w:t>租用附近民房</w:t>
            </w:r>
            <w:r>
              <w:rPr>
                <w:rFonts w:hint="eastAsia"/>
                <w:bCs/>
                <w:color w:val="000000" w:themeColor="text1"/>
                <w:sz w:val="24"/>
                <w:highlight w:val="none"/>
                <w:lang w:val="en-US" w:eastAsia="zh-CN"/>
                <w14:textFill>
                  <w14:solidFill>
                    <w14:schemeClr w14:val="tx1"/>
                  </w14:solidFill>
                </w14:textFill>
              </w:rPr>
              <w:t>解决，因而产生的</w:t>
            </w:r>
            <w:r>
              <w:rPr>
                <w:rFonts w:hint="eastAsia"/>
                <w:b w:val="0"/>
                <w:bCs/>
                <w:color w:val="000000" w:themeColor="text1"/>
                <w:spacing w:val="10"/>
                <w:sz w:val="24"/>
                <w:highlight w:val="none"/>
                <w:lang w:val="en-US" w:eastAsia="zh-CN"/>
                <w14:textFill>
                  <w14:solidFill>
                    <w14:schemeClr w14:val="tx1"/>
                  </w14:solidFill>
                </w14:textFill>
              </w:rPr>
              <w:t>生活污水依托民房已建污水处理设施处理，严禁施工人员生活污水超标和随意外排，避免对地表水环境造成污染。</w:t>
            </w:r>
          </w:p>
          <w:p>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color w:val="000000" w:themeColor="text1"/>
                <w:spacing w:val="10"/>
                <w:sz w:val="24"/>
                <w:highlight w:val="none"/>
                <w:lang w:val="en-US" w:eastAsia="zh-CN"/>
                <w14:textFill>
                  <w14:solidFill>
                    <w14:schemeClr w14:val="tx1"/>
                  </w14:solidFill>
                </w14:textFill>
              </w:rPr>
            </w:pPr>
            <w:r>
              <w:rPr>
                <w:rFonts w:hint="eastAsia"/>
                <w:b w:val="0"/>
                <w:bCs/>
                <w:color w:val="000000" w:themeColor="text1"/>
                <w:spacing w:val="10"/>
                <w:sz w:val="24"/>
                <w:highlight w:val="none"/>
                <w:lang w:val="en-US" w:eastAsia="zh-CN"/>
                <w14:textFill>
                  <w14:solidFill>
                    <w14:schemeClr w14:val="tx1"/>
                  </w14:solidFill>
                </w14:textFill>
              </w:rPr>
              <w:t>（</w:t>
            </w:r>
            <w:r>
              <w:rPr>
                <w:rFonts w:hint="default"/>
                <w:b w:val="0"/>
                <w:bCs/>
                <w:color w:val="000000" w:themeColor="text1"/>
                <w:spacing w:val="10"/>
                <w:sz w:val="24"/>
                <w:highlight w:val="none"/>
                <w:lang w:val="en-US" w:eastAsia="zh-CN"/>
                <w14:textFill>
                  <w14:solidFill>
                    <w14:schemeClr w14:val="tx1"/>
                  </w14:solidFill>
                </w14:textFill>
              </w:rPr>
              <w:t>2</w:t>
            </w:r>
            <w:r>
              <w:rPr>
                <w:rFonts w:hint="eastAsia"/>
                <w:b w:val="0"/>
                <w:bCs/>
                <w:color w:val="000000" w:themeColor="text1"/>
                <w:spacing w:val="10"/>
                <w:sz w:val="24"/>
                <w:highlight w:val="none"/>
                <w:lang w:val="en-US" w:eastAsia="zh-CN"/>
                <w14:textFill>
                  <w14:solidFill>
                    <w14:schemeClr w14:val="tx1"/>
                  </w14:solidFill>
                </w14:textFill>
              </w:rPr>
              <w:t>）施工废水</w:t>
            </w:r>
          </w:p>
          <w:p>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color w:val="000000" w:themeColor="text1"/>
                <w:spacing w:val="10"/>
                <w:sz w:val="24"/>
                <w:highlight w:val="none"/>
                <w:lang w:val="en-US" w:eastAsia="zh-CN"/>
                <w14:textFill>
                  <w14:solidFill>
                    <w14:schemeClr w14:val="tx1"/>
                  </w14:solidFill>
                </w14:textFill>
              </w:rPr>
            </w:pPr>
            <w:r>
              <w:rPr>
                <w:rFonts w:hint="eastAsia"/>
                <w:b w:val="0"/>
                <w:bCs/>
                <w:color w:val="000000" w:themeColor="text1"/>
                <w:spacing w:val="10"/>
                <w:sz w:val="24"/>
                <w:highlight w:val="none"/>
                <w:lang w:val="en-US" w:eastAsia="zh-CN"/>
                <w14:textFill>
                  <w14:solidFill>
                    <w14:schemeClr w14:val="tx1"/>
                  </w14:solidFill>
                </w14:textFill>
              </w:rPr>
              <w:t>项目拟在临时施工场地内设置1座临时隔油沉淀池，</w:t>
            </w:r>
            <w:r>
              <w:rPr>
                <w:rFonts w:hint="eastAsia"/>
                <w:bCs/>
                <w:color w:val="000000" w:themeColor="text1"/>
                <w:sz w:val="24"/>
                <w:highlight w:val="none"/>
                <w14:textFill>
                  <w14:solidFill>
                    <w14:schemeClr w14:val="tx1"/>
                  </w14:solidFill>
                </w14:textFill>
              </w:rPr>
              <w:t>车辆</w:t>
            </w:r>
            <w:r>
              <w:rPr>
                <w:rFonts w:hint="eastAsia"/>
                <w:bCs/>
                <w:color w:val="000000" w:themeColor="text1"/>
                <w:sz w:val="24"/>
                <w:highlight w:val="none"/>
                <w:lang w:val="en-US" w:eastAsia="zh-CN"/>
                <w14:textFill>
                  <w14:solidFill>
                    <w14:schemeClr w14:val="tx1"/>
                  </w14:solidFill>
                </w14:textFill>
              </w:rPr>
              <w:t>及</w:t>
            </w:r>
            <w:r>
              <w:rPr>
                <w:rFonts w:hint="eastAsia"/>
                <w:bCs/>
                <w:color w:val="000000" w:themeColor="text1"/>
                <w:sz w:val="24"/>
                <w:highlight w:val="none"/>
                <w14:textFill>
                  <w14:solidFill>
                    <w14:schemeClr w14:val="tx1"/>
                  </w14:solidFill>
                </w14:textFill>
              </w:rPr>
              <w:t>机械设备</w:t>
            </w:r>
            <w:r>
              <w:rPr>
                <w:rFonts w:hint="eastAsia"/>
                <w:bCs/>
                <w:color w:val="000000" w:themeColor="text1"/>
                <w:sz w:val="24"/>
                <w:highlight w:val="none"/>
                <w:lang w:val="en-US" w:eastAsia="zh-CN"/>
                <w14:textFill>
                  <w14:solidFill>
                    <w14:schemeClr w14:val="tx1"/>
                  </w14:solidFill>
                </w14:textFill>
              </w:rPr>
              <w:t>的</w:t>
            </w:r>
            <w:r>
              <w:rPr>
                <w:rFonts w:hint="eastAsia"/>
                <w:b w:val="0"/>
                <w:bCs/>
                <w:color w:val="000000" w:themeColor="text1"/>
                <w:spacing w:val="10"/>
                <w:sz w:val="24"/>
                <w:highlight w:val="none"/>
                <w:lang w:val="en-US" w:eastAsia="zh-CN"/>
                <w14:textFill>
                  <w14:solidFill>
                    <w14:schemeClr w14:val="tx1"/>
                  </w14:solidFill>
                </w14:textFill>
              </w:rPr>
              <w:t>冲洗废水随地势流入临时隔油沉淀池，经隔油沉淀处理后回用洒水降尘，</w:t>
            </w:r>
            <w:r>
              <w:rPr>
                <w:rFonts w:hint="eastAsia"/>
                <w:bCs/>
                <w:color w:val="000000" w:themeColor="text1"/>
                <w:sz w:val="24"/>
                <w:highlight w:val="none"/>
                <w:lang w:val="en-US" w:eastAsia="zh-CN"/>
                <w14:textFill>
                  <w14:solidFill>
                    <w14:schemeClr w14:val="tx1"/>
                  </w14:solidFill>
                </w14:textFill>
              </w:rPr>
              <w:t>产生的浮油</w:t>
            </w:r>
            <w:r>
              <w:rPr>
                <w:rFonts w:hint="eastAsia"/>
                <w:bCs/>
                <w:color w:val="000000" w:themeColor="text1"/>
                <w:sz w:val="24"/>
                <w:highlight w:val="none"/>
                <w14:textFill>
                  <w14:solidFill>
                    <w14:schemeClr w14:val="tx1"/>
                  </w14:solidFill>
                </w14:textFill>
              </w:rPr>
              <w:t>交由相应资质单位处理</w:t>
            </w:r>
            <w:r>
              <w:rPr>
                <w:rFonts w:hint="eastAsia"/>
                <w:b w:val="0"/>
                <w:bCs/>
                <w:color w:val="000000" w:themeColor="text1"/>
                <w:spacing w:val="10"/>
                <w:sz w:val="24"/>
                <w:highlight w:val="none"/>
                <w:lang w:val="en-US" w:eastAsia="zh-CN"/>
                <w14:textFill>
                  <w14:solidFill>
                    <w14:schemeClr w14:val="tx1"/>
                  </w14:solidFill>
                </w14:textFill>
              </w:rPr>
              <w:t>，同时沉淀池底部泥沙可作为建筑砂浆回用</w:t>
            </w: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均不外排</w:t>
            </w:r>
            <w:r>
              <w:rPr>
                <w:rFonts w:hint="eastAsia"/>
                <w:b w:val="0"/>
                <w:bCs/>
                <w:color w:val="000000" w:themeColor="text1"/>
                <w:spacing w:val="10"/>
                <w:sz w:val="24"/>
                <w:highlight w:val="none"/>
                <w:lang w:val="en-US" w:eastAsia="zh-CN"/>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color w:val="000000" w:themeColor="text1"/>
                <w:spacing w:val="10"/>
                <w:sz w:val="24"/>
                <w:highlight w:val="none"/>
                <w:lang w:val="en-US" w:eastAsia="zh-CN"/>
                <w14:textFill>
                  <w14:solidFill>
                    <w14:schemeClr w14:val="tx1"/>
                  </w14:solidFill>
                </w14:textFill>
              </w:rPr>
            </w:pPr>
            <w:r>
              <w:rPr>
                <w:rFonts w:hint="eastAsia"/>
                <w:b w:val="0"/>
                <w:bCs/>
                <w:color w:val="000000" w:themeColor="text1"/>
                <w:spacing w:val="10"/>
                <w:sz w:val="24"/>
                <w:highlight w:val="none"/>
                <w:lang w:val="en-US" w:eastAsia="zh-CN"/>
                <w14:textFill>
                  <w14:solidFill>
                    <w14:schemeClr w14:val="tx1"/>
                  </w14:solidFill>
                </w14:textFill>
              </w:rPr>
              <w:t>此外，进入施工现场的机械设备和运输车辆应加强检修，尽量杜绝</w:t>
            </w:r>
            <w:r>
              <w:rPr>
                <w:rFonts w:hint="default"/>
                <w:b w:val="0"/>
                <w:bCs/>
                <w:color w:val="000000" w:themeColor="text1"/>
                <w:spacing w:val="10"/>
                <w:sz w:val="24"/>
                <w:highlight w:val="none"/>
                <w:lang w:val="en-US" w:eastAsia="zh-CN"/>
                <w14:textFill>
                  <w14:solidFill>
                    <w14:schemeClr w14:val="tx1"/>
                  </w14:solidFill>
                </w14:textFill>
              </w:rPr>
              <w:t>“</w:t>
            </w:r>
            <w:r>
              <w:rPr>
                <w:rFonts w:hint="eastAsia"/>
                <w:b w:val="0"/>
                <w:bCs/>
                <w:color w:val="000000" w:themeColor="text1"/>
                <w:spacing w:val="10"/>
                <w:sz w:val="24"/>
                <w:highlight w:val="none"/>
                <w:lang w:val="en-US" w:eastAsia="zh-CN"/>
                <w14:textFill>
                  <w14:solidFill>
                    <w14:schemeClr w14:val="tx1"/>
                  </w14:solidFill>
                </w14:textFill>
              </w:rPr>
              <w:t>跑、冒、滴、漏</w:t>
            </w:r>
            <w:r>
              <w:rPr>
                <w:rFonts w:hint="default"/>
                <w:b w:val="0"/>
                <w:bCs/>
                <w:color w:val="000000" w:themeColor="text1"/>
                <w:spacing w:val="10"/>
                <w:sz w:val="24"/>
                <w:highlight w:val="none"/>
                <w:lang w:val="en-US" w:eastAsia="zh-CN"/>
                <w14:textFill>
                  <w14:solidFill>
                    <w14:schemeClr w14:val="tx1"/>
                  </w14:solidFill>
                </w14:textFill>
              </w:rPr>
              <w:t>”</w:t>
            </w:r>
            <w:r>
              <w:rPr>
                <w:rFonts w:hint="eastAsia"/>
                <w:b w:val="0"/>
                <w:bCs/>
                <w:color w:val="000000" w:themeColor="text1"/>
                <w:spacing w:val="10"/>
                <w:sz w:val="24"/>
                <w:highlight w:val="none"/>
                <w:lang w:val="en-US" w:eastAsia="zh-CN"/>
                <w14:textFill>
                  <w14:solidFill>
                    <w14:schemeClr w14:val="tx1"/>
                  </w14:solidFill>
                </w14:textFill>
              </w:rPr>
              <w:t>等问题；施工期所有机械均运至专门的维修场所进行检修，施工现场不设机械检修，主要利用</w:t>
            </w:r>
            <w:r>
              <w:rPr>
                <w:rFonts w:hint="eastAsia"/>
                <w:bCs/>
                <w:color w:val="000000" w:themeColor="text1"/>
                <w:sz w:val="24"/>
                <w:highlight w:val="none"/>
                <w:lang w:val="en-US" w:eastAsia="zh-CN"/>
                <w14:textFill>
                  <w14:solidFill>
                    <w14:schemeClr w14:val="tx1"/>
                  </w14:solidFill>
                </w14:textFill>
              </w:rPr>
              <w:t>马踏洞新区</w:t>
            </w:r>
            <w:r>
              <w:rPr>
                <w:rFonts w:hint="eastAsia"/>
                <w:bCs/>
                <w:color w:val="000000" w:themeColor="text1"/>
                <w:sz w:val="24"/>
                <w:highlight w:val="none"/>
                <w14:textFill>
                  <w14:solidFill>
                    <w14:schemeClr w14:val="tx1"/>
                  </w14:solidFill>
                </w14:textFill>
              </w:rPr>
              <w:t>既有的汽修厂</w:t>
            </w:r>
            <w:r>
              <w:rPr>
                <w:rFonts w:hint="eastAsia"/>
                <w:bCs/>
                <w:color w:val="000000" w:themeColor="text1"/>
                <w:sz w:val="24"/>
                <w:highlight w:val="none"/>
                <w:lang w:val="en-US" w:eastAsia="zh-CN"/>
                <w14:textFill>
                  <w14:solidFill>
                    <w14:schemeClr w14:val="tx1"/>
                  </w14:solidFill>
                </w14:textFill>
              </w:rPr>
              <w:t>就近</w:t>
            </w:r>
            <w:r>
              <w:rPr>
                <w:rFonts w:hint="eastAsia"/>
                <w:bCs/>
                <w:color w:val="000000" w:themeColor="text1"/>
                <w:sz w:val="24"/>
                <w:highlight w:val="none"/>
                <w14:textFill>
                  <w14:solidFill>
                    <w14:schemeClr w14:val="tx1"/>
                  </w14:solidFill>
                </w14:textFill>
              </w:rPr>
              <w:t>解决机械维修、保养问题</w:t>
            </w:r>
            <w:r>
              <w:rPr>
                <w:rFonts w:hint="eastAsia"/>
                <w:b w:val="0"/>
                <w:bCs/>
                <w:color w:val="000000" w:themeColor="text1"/>
                <w:spacing w:val="10"/>
                <w:sz w:val="24"/>
                <w:highlight w:val="none"/>
                <w:lang w:val="en-US" w:eastAsia="zh-CN"/>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color w:val="000000" w:themeColor="text1"/>
                <w:spacing w:val="10"/>
                <w:sz w:val="24"/>
                <w:highlight w:val="none"/>
                <w:lang w:val="en-US" w:eastAsia="zh-CN"/>
                <w14:textFill>
                  <w14:solidFill>
                    <w14:schemeClr w14:val="tx1"/>
                  </w14:solidFill>
                </w14:textFill>
              </w:rPr>
            </w:pPr>
            <w:r>
              <w:rPr>
                <w:rFonts w:hint="eastAsia"/>
                <w:b w:val="0"/>
                <w:bCs/>
                <w:color w:val="000000" w:themeColor="text1"/>
                <w:spacing w:val="10"/>
                <w:sz w:val="24"/>
                <w:highlight w:val="none"/>
                <w:lang w:val="en-US" w:eastAsia="zh-CN"/>
                <w14:textFill>
                  <w14:solidFill>
                    <w14:schemeClr w14:val="tx1"/>
                  </w14:solidFill>
                </w14:textFill>
              </w:rPr>
              <w:t>（</w:t>
            </w:r>
            <w:r>
              <w:rPr>
                <w:rFonts w:hint="default"/>
                <w:b w:val="0"/>
                <w:bCs/>
                <w:color w:val="000000" w:themeColor="text1"/>
                <w:spacing w:val="10"/>
                <w:sz w:val="24"/>
                <w:highlight w:val="none"/>
                <w:lang w:val="en-US" w:eastAsia="zh-CN"/>
                <w14:textFill>
                  <w14:solidFill>
                    <w14:schemeClr w14:val="tx1"/>
                  </w14:solidFill>
                </w14:textFill>
              </w:rPr>
              <w:t>3</w:t>
            </w:r>
            <w:r>
              <w:rPr>
                <w:rFonts w:hint="eastAsia"/>
                <w:b w:val="0"/>
                <w:bCs/>
                <w:color w:val="000000" w:themeColor="text1"/>
                <w:spacing w:val="10"/>
                <w:sz w:val="24"/>
                <w:highlight w:val="none"/>
                <w:lang w:val="en-US" w:eastAsia="zh-CN"/>
                <w14:textFill>
                  <w14:solidFill>
                    <w14:schemeClr w14:val="tx1"/>
                  </w14:solidFill>
                </w14:textFill>
              </w:rPr>
              <w:t>）雨季冲刷污水</w:t>
            </w:r>
          </w:p>
          <w:p>
            <w:pPr>
              <w:keepNext w:val="0"/>
              <w:keepLines w:val="0"/>
              <w:suppressLineNumbers w:val="0"/>
              <w:adjustRightInd w:val="0"/>
              <w:snapToGrid w:val="0"/>
              <w:spacing w:before="0" w:beforeAutospacing="0" w:after="0" w:afterAutospacing="0" w:line="360" w:lineRule="auto"/>
              <w:ind w:left="0" w:right="0" w:firstLine="520" w:firstLineChars="200"/>
              <w:rPr>
                <w:rFonts w:hint="eastAsia"/>
                <w:b w:val="0"/>
                <w:bCs/>
                <w:color w:val="000000" w:themeColor="text1"/>
                <w:spacing w:val="10"/>
                <w:sz w:val="24"/>
                <w:highlight w:val="none"/>
                <w:lang w:val="en-US" w:eastAsia="zh-CN"/>
                <w14:textFill>
                  <w14:solidFill>
                    <w14:schemeClr w14:val="tx1"/>
                  </w14:solidFill>
                </w14:textFill>
              </w:rPr>
            </w:pPr>
            <w:r>
              <w:rPr>
                <w:rFonts w:hint="eastAsia"/>
                <w:b w:val="0"/>
                <w:bCs/>
                <w:color w:val="000000" w:themeColor="text1"/>
                <w:spacing w:val="10"/>
                <w:sz w:val="24"/>
                <w:highlight w:val="none"/>
                <w:lang w:val="en-US" w:eastAsia="zh-CN"/>
                <w14:textFill>
                  <w14:solidFill>
                    <w14:schemeClr w14:val="tx1"/>
                  </w14:solidFill>
                </w14:textFill>
              </w:rPr>
              <w:t>雨季时，降雨将持续和高强度冲刷浮土、建筑砂石及土石方等，尤其</w:t>
            </w:r>
            <w:r>
              <w:rPr>
                <w:rFonts w:hint="eastAsia"/>
                <w:bCs/>
                <w:color w:val="000000" w:themeColor="text1"/>
                <w:sz w:val="24"/>
                <w:highlight w:val="none"/>
                <w:lang w:val="en-US" w:eastAsia="zh-CN"/>
                <w14:textFill>
                  <w14:solidFill>
                    <w14:schemeClr w14:val="tx1"/>
                  </w14:solidFill>
                </w14:textFill>
              </w:rPr>
              <w:t>临时堆土场</w:t>
            </w:r>
            <w:r>
              <w:rPr>
                <w:rFonts w:hint="eastAsia"/>
                <w:bCs/>
                <w:color w:val="000000" w:themeColor="text1"/>
                <w:sz w:val="24"/>
                <w:highlight w:val="none"/>
                <w14:textFill>
                  <w14:solidFill>
                    <w14:schemeClr w14:val="tx1"/>
                  </w14:solidFill>
                </w14:textFill>
              </w:rPr>
              <w:t>及</w:t>
            </w:r>
            <w:r>
              <w:rPr>
                <w:rFonts w:hint="eastAsia"/>
                <w:bCs/>
                <w:color w:val="000000" w:themeColor="text1"/>
                <w:sz w:val="24"/>
                <w:highlight w:val="none"/>
                <w:lang w:val="en-US" w:eastAsia="zh-CN"/>
                <w14:textFill>
                  <w14:solidFill>
                    <w14:schemeClr w14:val="tx1"/>
                  </w14:solidFill>
                </w14:textFill>
              </w:rPr>
              <w:t>临时</w:t>
            </w:r>
            <w:r>
              <w:rPr>
                <w:rFonts w:hint="eastAsia"/>
                <w:bCs/>
                <w:color w:val="000000" w:themeColor="text1"/>
                <w:sz w:val="24"/>
                <w:highlight w:val="none"/>
                <w14:textFill>
                  <w14:solidFill>
                    <w14:schemeClr w14:val="tx1"/>
                  </w14:solidFill>
                </w14:textFill>
              </w:rPr>
              <w:t>表土堆</w:t>
            </w:r>
            <w:r>
              <w:rPr>
                <w:rFonts w:hint="eastAsia"/>
                <w:bCs/>
                <w:color w:val="000000" w:themeColor="text1"/>
                <w:sz w:val="24"/>
                <w:highlight w:val="none"/>
                <w:lang w:val="en-US" w:eastAsia="zh-CN"/>
                <w14:textFill>
                  <w14:solidFill>
                    <w14:schemeClr w14:val="tx1"/>
                  </w14:solidFill>
                </w14:textFill>
              </w:rPr>
              <w:t>场</w:t>
            </w:r>
            <w:r>
              <w:rPr>
                <w:rFonts w:hint="eastAsia"/>
                <w:bCs/>
                <w:color w:val="000000" w:themeColor="text1"/>
                <w:sz w:val="24"/>
                <w:highlight w:val="none"/>
                <w14:textFill>
                  <w14:solidFill>
                    <w14:schemeClr w14:val="tx1"/>
                  </w14:solidFill>
                </w14:textFill>
              </w:rPr>
              <w:t>遇雨天容易形成含泥雨水</w:t>
            </w:r>
            <w:r>
              <w:rPr>
                <w:rFonts w:hint="eastAsia"/>
                <w:b w:val="0"/>
                <w:bCs/>
                <w:color w:val="000000" w:themeColor="text1"/>
                <w:spacing w:val="10"/>
                <w:sz w:val="24"/>
                <w:highlight w:val="none"/>
                <w:lang w:val="en-US" w:eastAsia="zh-CN"/>
                <w14:textFill>
                  <w14:solidFill>
                    <w14:schemeClr w14:val="tx1"/>
                  </w14:solidFill>
                </w14:textFill>
              </w:rPr>
              <w:t>，其中会夹带大量渣土和泥沙等各种污染物，该部分废水中</w:t>
            </w:r>
            <w:r>
              <w:rPr>
                <w:rFonts w:hint="default"/>
                <w:b w:val="0"/>
                <w:bCs/>
                <w:color w:val="000000" w:themeColor="text1"/>
                <w:spacing w:val="10"/>
                <w:sz w:val="24"/>
                <w:highlight w:val="none"/>
                <w:lang w:val="en-US" w:eastAsia="zh-CN"/>
                <w14:textFill>
                  <w14:solidFill>
                    <w14:schemeClr w14:val="tx1"/>
                  </w14:solidFill>
                </w14:textFill>
              </w:rPr>
              <w:t>SS</w:t>
            </w:r>
            <w:r>
              <w:rPr>
                <w:rFonts w:hint="eastAsia"/>
                <w:b w:val="0"/>
                <w:bCs/>
                <w:color w:val="000000" w:themeColor="text1"/>
                <w:spacing w:val="10"/>
                <w:sz w:val="24"/>
                <w:highlight w:val="none"/>
                <w:lang w:val="en-US" w:eastAsia="zh-CN"/>
                <w14:textFill>
                  <w14:solidFill>
                    <w14:schemeClr w14:val="tx1"/>
                  </w14:solidFill>
                </w14:textFill>
              </w:rPr>
              <w:t>浓度较高。项目拟在</w:t>
            </w:r>
            <w:r>
              <w:rPr>
                <w:rFonts w:hint="eastAsia"/>
                <w:bCs/>
                <w:color w:val="000000" w:themeColor="text1"/>
                <w:sz w:val="24"/>
                <w:highlight w:val="none"/>
                <w:lang w:val="en-US" w:eastAsia="zh-CN"/>
                <w14:textFill>
                  <w14:solidFill>
                    <w14:schemeClr w14:val="tx1"/>
                  </w14:solidFill>
                </w14:textFill>
              </w:rPr>
              <w:t>临时堆土场和临时</w:t>
            </w:r>
            <w:r>
              <w:rPr>
                <w:rFonts w:hint="eastAsia"/>
                <w:bCs/>
                <w:color w:val="000000" w:themeColor="text1"/>
                <w:sz w:val="24"/>
                <w:highlight w:val="none"/>
                <w14:textFill>
                  <w14:solidFill>
                    <w14:schemeClr w14:val="tx1"/>
                  </w14:solidFill>
                </w14:textFill>
              </w:rPr>
              <w:t>表土堆</w:t>
            </w:r>
            <w:r>
              <w:rPr>
                <w:rFonts w:hint="eastAsia"/>
                <w:bCs/>
                <w:color w:val="000000" w:themeColor="text1"/>
                <w:sz w:val="24"/>
                <w:highlight w:val="none"/>
                <w:lang w:val="en-US" w:eastAsia="zh-CN"/>
                <w14:textFill>
                  <w14:solidFill>
                    <w14:schemeClr w14:val="tx1"/>
                  </w14:solidFill>
                </w14:textFill>
              </w:rPr>
              <w:t>场四周各自修建置临时截水沟，并在临时截水沟出口处设置1个沉沙凼（沉沙凼规格为长×宽×深＝300cm×500cm×100cm，沉沙凼容积15m</w:t>
            </w:r>
            <w:r>
              <w:rPr>
                <w:rFonts w:hint="eastAsia"/>
                <w:bCs/>
                <w:color w:val="000000" w:themeColor="text1"/>
                <w:sz w:val="24"/>
                <w:highlight w:val="none"/>
                <w:vertAlign w:val="superscript"/>
                <w:lang w:val="en-US" w:eastAsia="zh-CN"/>
                <w14:textFill>
                  <w14:solidFill>
                    <w14:schemeClr w14:val="tx1"/>
                  </w14:solidFill>
                </w14:textFill>
              </w:rPr>
              <w:t>3</w:t>
            </w:r>
            <w:r>
              <w:rPr>
                <w:rFonts w:hint="eastAsia"/>
                <w:bCs/>
                <w:color w:val="000000" w:themeColor="text1"/>
                <w:sz w:val="24"/>
                <w:highlight w:val="none"/>
                <w:lang w:val="en-US" w:eastAsia="zh-CN"/>
                <w14:textFill>
                  <w14:solidFill>
                    <w14:schemeClr w14:val="tx1"/>
                  </w14:solidFill>
                </w14:textFill>
              </w:rPr>
              <w:t>，采用机砖衬砌，砂浆抹面），收集的废水经截水沟引入沉沙凼沉淀</w:t>
            </w:r>
            <w:r>
              <w:rPr>
                <w:rFonts w:hint="eastAsia"/>
                <w:bCs/>
                <w:color w:val="000000" w:themeColor="text1"/>
                <w:sz w:val="24"/>
                <w:highlight w:val="none"/>
                <w14:textFill>
                  <w14:solidFill>
                    <w14:schemeClr w14:val="tx1"/>
                  </w14:solidFill>
                </w14:textFill>
              </w:rPr>
              <w:t>后，用于施工场地的洒水降尘</w:t>
            </w: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14:textFill>
                  <w14:solidFill>
                    <w14:schemeClr w14:val="tx1"/>
                  </w14:solidFill>
                </w14:textFill>
              </w:rPr>
              <w:t>沉淀池</w:t>
            </w:r>
            <w:r>
              <w:rPr>
                <w:rFonts w:hint="eastAsia"/>
                <w:bCs/>
                <w:color w:val="000000" w:themeColor="text1"/>
                <w:sz w:val="24"/>
                <w:highlight w:val="none"/>
                <w:lang w:val="en-US" w:eastAsia="zh-CN"/>
                <w14:textFill>
                  <w14:solidFill>
                    <w14:schemeClr w14:val="tx1"/>
                  </w14:solidFill>
                </w14:textFill>
              </w:rPr>
              <w:t>底部</w:t>
            </w:r>
            <w:r>
              <w:rPr>
                <w:rFonts w:hint="eastAsia"/>
                <w:bCs/>
                <w:color w:val="000000" w:themeColor="text1"/>
                <w:sz w:val="24"/>
                <w:highlight w:val="none"/>
                <w14:textFill>
                  <w14:solidFill>
                    <w14:schemeClr w14:val="tx1"/>
                  </w14:solidFill>
                </w14:textFill>
              </w:rPr>
              <w:t>泥沙</w:t>
            </w:r>
            <w:r>
              <w:rPr>
                <w:rFonts w:hint="eastAsia"/>
                <w:bCs/>
                <w:color w:val="000000" w:themeColor="text1"/>
                <w:sz w:val="24"/>
                <w:highlight w:val="none"/>
                <w:lang w:val="en-US" w:eastAsia="zh-CN"/>
                <w14:textFill>
                  <w14:solidFill>
                    <w14:schemeClr w14:val="tx1"/>
                  </w14:solidFill>
                </w14:textFill>
              </w:rPr>
              <w:t>可</w:t>
            </w:r>
            <w:r>
              <w:rPr>
                <w:rFonts w:hint="eastAsia"/>
                <w:bCs/>
                <w:color w:val="000000" w:themeColor="text1"/>
                <w:sz w:val="24"/>
                <w:highlight w:val="none"/>
                <w14:textFill>
                  <w14:solidFill>
                    <w14:schemeClr w14:val="tx1"/>
                  </w14:solidFill>
                </w14:textFill>
              </w:rPr>
              <w:t>作为建筑砂浆回用</w:t>
            </w: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均不外排。</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lang w:val="en-US" w:eastAsia="zh-CN"/>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w:t>
            </w:r>
            <w:r>
              <w:rPr>
                <w:rFonts w:hint="default"/>
                <w:bCs/>
                <w:color w:val="000000" w:themeColor="text1"/>
                <w:sz w:val="24"/>
                <w:highlight w:val="none"/>
                <w:lang w:val="en-US" w:eastAsia="zh-CN"/>
                <w14:textFill>
                  <w14:solidFill>
                    <w14:schemeClr w14:val="tx1"/>
                  </w14:solidFill>
                </w14:textFill>
              </w:rPr>
              <w:t>4</w:t>
            </w:r>
            <w:r>
              <w:rPr>
                <w:rFonts w:hint="eastAsia"/>
                <w:bCs/>
                <w:color w:val="000000" w:themeColor="text1"/>
                <w:sz w:val="24"/>
                <w:highlight w:val="none"/>
                <w:lang w:val="en-US" w:eastAsia="zh-CN"/>
                <w14:textFill>
                  <w14:solidFill>
                    <w14:schemeClr w14:val="tx1"/>
                  </w14:solidFill>
                </w14:textFill>
              </w:rPr>
              <w:t>）道路养护水</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highlight w:val="none"/>
                <w:lang w:val="en-US" w:eastAsia="zh-CN"/>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道路养护用水为清水，最终将全部蒸发散失，无废水产生。</w:t>
            </w:r>
          </w:p>
          <w:p>
            <w:pPr>
              <w:keepNext w:val="0"/>
              <w:keepLines w:val="0"/>
              <w:suppressLineNumbers w:val="0"/>
              <w:adjustRightInd w:val="0"/>
              <w:snapToGrid w:val="0"/>
              <w:spacing w:before="0" w:beforeAutospacing="0" w:after="0" w:afterAutospacing="0" w:line="360" w:lineRule="auto"/>
              <w:ind w:left="0" w:right="0" w:firstLine="522" w:firstLineChars="200"/>
              <w:rPr>
                <w:b/>
                <w:color w:val="000000" w:themeColor="text1"/>
                <w:spacing w:val="10"/>
                <w:sz w:val="24"/>
                <w:highlight w:val="none"/>
                <w14:textFill>
                  <w14:solidFill>
                    <w14:schemeClr w14:val="tx1"/>
                  </w14:solidFill>
                </w14:textFill>
              </w:rPr>
            </w:pPr>
            <w:r>
              <w:rPr>
                <w:rFonts w:hint="eastAsia"/>
                <w:b/>
                <w:bCs w:val="0"/>
                <w:color w:val="000000" w:themeColor="text1"/>
                <w:spacing w:val="10"/>
                <w:sz w:val="24"/>
                <w:highlight w:val="none"/>
                <w:lang w:val="en-US" w:eastAsia="zh-CN"/>
                <w14:textFill>
                  <w14:solidFill>
                    <w14:schemeClr w14:val="tx1"/>
                  </w14:solidFill>
                </w14:textFill>
              </w:rPr>
              <w:t>3</w:t>
            </w:r>
            <w:r>
              <w:rPr>
                <w:b/>
                <w:color w:val="000000" w:themeColor="text1"/>
                <w:spacing w:val="10"/>
                <w:sz w:val="24"/>
                <w:highlight w:val="none"/>
                <w14:textFill>
                  <w14:solidFill>
                    <w14:schemeClr w14:val="tx1"/>
                  </w14:solidFill>
                </w14:textFill>
              </w:rPr>
              <w:t>、</w:t>
            </w:r>
            <w:r>
              <w:rPr>
                <w:rFonts w:hint="eastAsia"/>
                <w:b/>
                <w:color w:val="000000" w:themeColor="text1"/>
                <w:spacing w:val="10"/>
                <w:sz w:val="24"/>
                <w:highlight w:val="none"/>
                <w:lang w:val="en-US" w:eastAsia="zh-CN"/>
                <w14:textFill>
                  <w14:solidFill>
                    <w14:schemeClr w14:val="tx1"/>
                  </w14:solidFill>
                </w14:textFill>
              </w:rPr>
              <w:t>施工期大气污染防治</w:t>
            </w:r>
            <w:r>
              <w:rPr>
                <w:rFonts w:hint="eastAsia"/>
                <w:b/>
                <w:color w:val="000000" w:themeColor="text1"/>
                <w:spacing w:val="10"/>
                <w:sz w:val="24"/>
                <w:highlight w:val="none"/>
                <w14:textFill>
                  <w14:solidFill>
                    <w14:schemeClr w14:val="tx1"/>
                  </w14:solidFill>
                </w14:textFill>
              </w:rPr>
              <w:t>措施</w:t>
            </w:r>
          </w:p>
          <w:p>
            <w:pPr>
              <w:keepNext w:val="0"/>
              <w:keepLines w:val="0"/>
              <w:suppressLineNumbers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本项目</w:t>
            </w:r>
            <w:r>
              <w:rPr>
                <w:rFonts w:hint="eastAsia"/>
                <w:bCs/>
                <w:color w:val="000000" w:themeColor="text1"/>
                <w:sz w:val="24"/>
                <w:highlight w:val="none"/>
                <w:lang w:val="en-US" w:eastAsia="zh-CN"/>
                <w14:textFill>
                  <w14:solidFill>
                    <w14:schemeClr w14:val="tx1"/>
                  </w14:solidFill>
                </w14:textFill>
              </w:rPr>
              <w:t>施工期产生的废气主要</w:t>
            </w:r>
            <w:r>
              <w:rPr>
                <w:rFonts w:hint="eastAsia"/>
                <w:bCs/>
                <w:color w:val="000000" w:themeColor="text1"/>
                <w:sz w:val="24"/>
                <w:highlight w:val="none"/>
                <w14:textFill>
                  <w14:solidFill>
                    <w14:schemeClr w14:val="tx1"/>
                  </w14:solidFill>
                </w14:textFill>
              </w:rPr>
              <w:t>为施工扬尘、</w:t>
            </w:r>
            <w:r>
              <w:rPr>
                <w:rFonts w:hint="eastAsia"/>
                <w:bCs/>
                <w:color w:val="000000" w:themeColor="text1"/>
                <w:sz w:val="24"/>
                <w:highlight w:val="none"/>
                <w:lang w:eastAsia="zh-CN"/>
                <w14:textFill>
                  <w14:solidFill>
                    <w14:schemeClr w14:val="tx1"/>
                  </w14:solidFill>
                </w14:textFill>
              </w:rPr>
              <w:t>水稳拌合粉尘</w:t>
            </w:r>
            <w:r>
              <w:rPr>
                <w:rFonts w:hint="eastAsia"/>
                <w:bCs/>
                <w:color w:val="000000" w:themeColor="text1"/>
                <w:sz w:val="24"/>
                <w:highlight w:val="none"/>
                <w14:textFill>
                  <w14:solidFill>
                    <w14:schemeClr w14:val="tx1"/>
                  </w14:solidFill>
                </w14:textFill>
              </w:rPr>
              <w:t>、焊接烟尘、沥青烟气、车辆及施工机械</w:t>
            </w:r>
            <w:r>
              <w:rPr>
                <w:rFonts w:hint="eastAsia"/>
                <w:bCs/>
                <w:color w:val="000000" w:themeColor="text1"/>
                <w:sz w:val="24"/>
                <w:highlight w:val="none"/>
                <w:lang w:eastAsia="zh-CN"/>
                <w14:textFill>
                  <w14:solidFill>
                    <w14:schemeClr w14:val="tx1"/>
                  </w14:solidFill>
                </w14:textFill>
              </w:rPr>
              <w:t>燃油废气、</w:t>
            </w:r>
            <w:r>
              <w:rPr>
                <w:rFonts w:hint="eastAsia"/>
                <w:bCs/>
                <w:color w:val="000000" w:themeColor="text1"/>
                <w:sz w:val="24"/>
                <w:highlight w:val="none"/>
                <w14:textFill>
                  <w14:solidFill>
                    <w14:schemeClr w14:val="tx1"/>
                  </w14:solidFill>
                </w14:textFill>
              </w:rPr>
              <w:t>临时施工场地和临时堆土场</w:t>
            </w:r>
            <w:r>
              <w:rPr>
                <w:rFonts w:hint="eastAsia"/>
                <w:bCs/>
                <w:color w:val="000000" w:themeColor="text1"/>
                <w:sz w:val="24"/>
                <w:highlight w:val="none"/>
                <w:lang w:val="en-US" w:eastAsia="zh-CN"/>
                <w14:textFill>
                  <w14:solidFill>
                    <w14:schemeClr w14:val="tx1"/>
                  </w14:solidFill>
                </w14:textFill>
              </w:rPr>
              <w:t>扬尘</w:t>
            </w:r>
            <w:r>
              <w:rPr>
                <w:rFonts w:hint="eastAsia"/>
                <w:bCs/>
                <w:color w:val="000000" w:themeColor="text1"/>
                <w:sz w:val="24"/>
                <w:highlight w:val="none"/>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本项目在施工期间应严格按照《达州市扬尘污染防治暂行规定》、达州市</w:t>
            </w:r>
            <w:r>
              <w:rPr>
                <w:rFonts w:hint="default"/>
                <w:bCs/>
                <w:color w:val="000000" w:themeColor="text1"/>
                <w:sz w:val="24"/>
                <w:highlight w:val="none"/>
                <w:lang w:val="en-US"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五治</w:t>
            </w:r>
            <w:r>
              <w:rPr>
                <w:rFonts w:hint="default"/>
                <w:bCs/>
                <w:color w:val="000000" w:themeColor="text1"/>
                <w:sz w:val="24"/>
                <w:highlight w:val="none"/>
                <w:lang w:val="en-US"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要求及相关规定、《四川省灰霾污染防治实施方案》（川环发</w:t>
            </w:r>
            <w:r>
              <w:rPr>
                <w:rFonts w:hint="default"/>
                <w:bCs/>
                <w:color w:val="000000" w:themeColor="text1"/>
                <w:sz w:val="24"/>
                <w:highlight w:val="none"/>
                <w:lang w:val="en-US" w:eastAsia="zh-CN"/>
                <w14:textFill>
                  <w14:solidFill>
                    <w14:schemeClr w14:val="tx1"/>
                  </w14:solidFill>
                </w14:textFill>
              </w:rPr>
              <w:t>[2013]78</w:t>
            </w:r>
            <w:r>
              <w:rPr>
                <w:rFonts w:hint="eastAsia"/>
                <w:bCs/>
                <w:color w:val="000000" w:themeColor="text1"/>
                <w:sz w:val="24"/>
                <w:highlight w:val="none"/>
                <w:lang w:val="en-US" w:eastAsia="zh-CN"/>
                <w14:textFill>
                  <w14:solidFill>
                    <w14:schemeClr w14:val="tx1"/>
                  </w14:solidFill>
                </w14:textFill>
              </w:rPr>
              <w:t>号）等相关扬尘防治管理规定进行施工建设，最大程度减少大气污染物产生的环境污染。针对本项目特点和区域特征，道路红线外</w:t>
            </w:r>
            <w:r>
              <w:rPr>
                <w:rFonts w:hint="default"/>
                <w:bCs/>
                <w:color w:val="000000" w:themeColor="text1"/>
                <w:sz w:val="24"/>
                <w:highlight w:val="none"/>
                <w:lang w:val="en-US" w:eastAsia="zh-CN"/>
                <w14:textFill>
                  <w14:solidFill>
                    <w14:schemeClr w14:val="tx1"/>
                  </w14:solidFill>
                </w14:textFill>
              </w:rPr>
              <w:t>200m</w:t>
            </w:r>
            <w:r>
              <w:rPr>
                <w:rFonts w:hint="eastAsia"/>
                <w:bCs/>
                <w:color w:val="000000" w:themeColor="text1"/>
                <w:sz w:val="24"/>
                <w:highlight w:val="none"/>
                <w:lang w:val="en-US" w:eastAsia="zh-CN"/>
                <w14:textFill>
                  <w14:solidFill>
                    <w14:schemeClr w14:val="tx1"/>
                  </w14:solidFill>
                </w14:textFill>
              </w:rPr>
              <w:t>范围内存在农户聚集区和居民小区，本项目施工期间应严格落实以下大气污染物治理措施：</w:t>
            </w:r>
          </w:p>
          <w:p>
            <w:pPr>
              <w:keepNext w:val="0"/>
              <w:keepLines w:val="0"/>
              <w:suppressLineNumbers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①施工期扬尘控制根据《达州市扬尘污染防治暂行规定》、达州市</w:t>
            </w:r>
            <w:r>
              <w:rPr>
                <w:rFonts w:hint="default"/>
                <w:bCs/>
                <w:color w:val="000000" w:themeColor="text1"/>
                <w:sz w:val="24"/>
                <w:highlight w:val="none"/>
                <w:lang w:val="en-US"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五治</w:t>
            </w:r>
            <w:r>
              <w:rPr>
                <w:rFonts w:hint="default"/>
                <w:bCs/>
                <w:color w:val="000000" w:themeColor="text1"/>
                <w:sz w:val="24"/>
                <w:highlight w:val="none"/>
                <w:lang w:val="en-US"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要求及相关规定，落实好相应的扬尘控制措施；</w:t>
            </w:r>
          </w:p>
          <w:p>
            <w:pPr>
              <w:keepNext w:val="0"/>
              <w:keepLines w:val="0"/>
              <w:suppressLineNumbers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②施工全段设置不低于</w:t>
            </w:r>
            <w:r>
              <w:rPr>
                <w:rFonts w:hint="default"/>
                <w:bCs/>
                <w:color w:val="000000" w:themeColor="text1"/>
                <w:sz w:val="24"/>
                <w:highlight w:val="none"/>
                <w:lang w:val="en-US" w:eastAsia="zh-CN"/>
                <w14:textFill>
                  <w14:solidFill>
                    <w14:schemeClr w14:val="tx1"/>
                  </w14:solidFill>
                </w14:textFill>
              </w:rPr>
              <w:t>2m</w:t>
            </w:r>
            <w:r>
              <w:rPr>
                <w:rFonts w:hint="eastAsia"/>
                <w:bCs/>
                <w:color w:val="000000" w:themeColor="text1"/>
                <w:sz w:val="24"/>
                <w:highlight w:val="none"/>
                <w:lang w:val="en-US" w:eastAsia="zh-CN"/>
                <w14:textFill>
                  <w14:solidFill>
                    <w14:schemeClr w14:val="tx1"/>
                  </w14:solidFill>
                </w14:textFill>
              </w:rPr>
              <w:t>高度硬质围挡，围挡间隔</w:t>
            </w:r>
            <w:r>
              <w:rPr>
                <w:rFonts w:hint="default"/>
                <w:bCs/>
                <w:color w:val="000000" w:themeColor="text1"/>
                <w:sz w:val="24"/>
                <w:highlight w:val="none"/>
                <w:lang w:val="en-US" w:eastAsia="zh-CN"/>
                <w14:textFill>
                  <w14:solidFill>
                    <w14:schemeClr w14:val="tx1"/>
                  </w14:solidFill>
                </w14:textFill>
              </w:rPr>
              <w:t>3~5m</w:t>
            </w:r>
            <w:r>
              <w:rPr>
                <w:rFonts w:hint="eastAsia"/>
                <w:bCs/>
                <w:color w:val="000000" w:themeColor="text1"/>
                <w:sz w:val="24"/>
                <w:highlight w:val="none"/>
                <w:lang w:val="en-US" w:eastAsia="zh-CN"/>
                <w14:textFill>
                  <w14:solidFill>
                    <w14:schemeClr w14:val="tx1"/>
                  </w14:solidFill>
                </w14:textFill>
              </w:rPr>
              <w:t>设置喷雾降尘装置，严禁高空抛洒建渣；</w:t>
            </w:r>
          </w:p>
          <w:p>
            <w:pPr>
              <w:keepNext w:val="0"/>
              <w:keepLines w:val="0"/>
              <w:suppressLineNumbers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③粉状材料（水泥、石灰等）运输应罐装或袋装，禁止散装运输，严禁随意堆放散落；</w:t>
            </w:r>
          </w:p>
          <w:p>
            <w:pPr>
              <w:keepNext w:val="0"/>
              <w:keepLines w:val="0"/>
              <w:suppressLineNumbers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④桥梁施工作业产生的焊接烟尘采取选用无铅焊丝、规范操作等进行治理，临时施工场地内的少量结构件焊接作业设置移动式焊烟净化器进行治理；</w:t>
            </w:r>
          </w:p>
          <w:p>
            <w:pPr>
              <w:keepNext w:val="0"/>
              <w:keepLines w:val="0"/>
              <w:suppressLineNumbers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⑤在对道路水稳层进行施工时，碎石料拌合站必须设置在临时施工场地内，位置应远离周边居民点，并最大程度布置在当地居民集中居住区的下风向（临时场地内西南侧方向为宜），搅拌投料时禁止抛洒物料，并设置喷淋设施，可使扬尘量减少</w:t>
            </w:r>
            <w:r>
              <w:rPr>
                <w:rFonts w:hint="default"/>
                <w:bCs/>
                <w:color w:val="000000" w:themeColor="text1"/>
                <w:sz w:val="24"/>
                <w:highlight w:val="none"/>
                <w:lang w:val="en-US" w:eastAsia="zh-CN"/>
                <w14:textFill>
                  <w14:solidFill>
                    <w14:schemeClr w14:val="tx1"/>
                  </w14:solidFill>
                </w14:textFill>
              </w:rPr>
              <w:t>70%</w:t>
            </w:r>
            <w:r>
              <w:rPr>
                <w:rFonts w:hint="eastAsia"/>
                <w:bCs/>
                <w:color w:val="000000" w:themeColor="text1"/>
                <w:sz w:val="24"/>
                <w:highlight w:val="none"/>
                <w:lang w:val="en-US" w:eastAsia="zh-CN"/>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⑥加强工程车辆、工程机械行驶路面扬尘控制，严格控制车辆超载，尽量避免沙土洒漏，及时清扫散落在路面上的泥土和建筑材料，施工场地出口设置车辆冲洗平台，配套建设沉淀循环水池</w:t>
            </w:r>
            <w:r>
              <w:rPr>
                <w:rFonts w:hint="default"/>
                <w:bCs/>
                <w:color w:val="000000" w:themeColor="text1"/>
                <w:sz w:val="24"/>
                <w:highlight w:val="none"/>
                <w:lang w:val="en-US" w:eastAsia="zh-CN"/>
                <w14:textFill>
                  <w14:solidFill>
                    <w14:schemeClr w14:val="tx1"/>
                  </w14:solidFill>
                </w14:textFill>
              </w:rPr>
              <w:t>1</w:t>
            </w:r>
            <w:r>
              <w:rPr>
                <w:rFonts w:hint="eastAsia"/>
                <w:bCs/>
                <w:color w:val="000000" w:themeColor="text1"/>
                <w:sz w:val="24"/>
                <w:highlight w:val="none"/>
                <w:lang w:val="en-US" w:eastAsia="zh-CN"/>
                <w14:textFill>
                  <w14:solidFill>
                    <w14:schemeClr w14:val="tx1"/>
                  </w14:solidFill>
                </w14:textFill>
              </w:rPr>
              <w:t>口，容积</w:t>
            </w:r>
            <w:r>
              <w:rPr>
                <w:rFonts w:hint="default"/>
                <w:bCs/>
                <w:color w:val="000000" w:themeColor="text1"/>
                <w:sz w:val="24"/>
                <w:highlight w:val="none"/>
                <w:lang w:val="en-US" w:eastAsia="zh-CN"/>
                <w14:textFill>
                  <w14:solidFill>
                    <w14:schemeClr w14:val="tx1"/>
                  </w14:solidFill>
                </w14:textFill>
              </w:rPr>
              <w:t>10m</w:t>
            </w:r>
            <w:r>
              <w:rPr>
                <w:rFonts w:hint="default"/>
                <w:bCs/>
                <w:color w:val="000000" w:themeColor="text1"/>
                <w:sz w:val="24"/>
                <w:highlight w:val="none"/>
                <w:vertAlign w:val="superscript"/>
                <w:lang w:val="en-US" w:eastAsia="zh-CN"/>
                <w14:textFill>
                  <w14:solidFill>
                    <w14:schemeClr w14:val="tx1"/>
                  </w14:solidFill>
                </w14:textFill>
              </w:rPr>
              <w:t>3</w:t>
            </w:r>
            <w:r>
              <w:rPr>
                <w:rFonts w:hint="eastAsia"/>
                <w:bCs/>
                <w:color w:val="000000" w:themeColor="text1"/>
                <w:sz w:val="24"/>
                <w:highlight w:val="none"/>
                <w:lang w:val="en-US" w:eastAsia="zh-CN"/>
                <w14:textFill>
                  <w14:solidFill>
                    <w14:schemeClr w14:val="tx1"/>
                  </w14:solidFill>
                </w14:textFill>
              </w:rPr>
              <w:t>，出场车辆必须冲洗车身及轮胎，车辆不得带泥沙出现场，出场车辆物料采用毡布遮盖压实，减少二次扬尘产生；施工道路及场地拟采取洒水抑尘措施，每天洒水</w:t>
            </w:r>
            <w:r>
              <w:rPr>
                <w:rFonts w:hint="default"/>
                <w:bCs/>
                <w:color w:val="000000" w:themeColor="text1"/>
                <w:sz w:val="24"/>
                <w:highlight w:val="none"/>
                <w:lang w:val="en-US" w:eastAsia="zh-CN"/>
                <w14:textFill>
                  <w14:solidFill>
                    <w14:schemeClr w14:val="tx1"/>
                  </w14:solidFill>
                </w14:textFill>
              </w:rPr>
              <w:t>4</w:t>
            </w:r>
            <w:r>
              <w:rPr>
                <w:rFonts w:hint="eastAsia"/>
                <w:bCs/>
                <w:color w:val="000000" w:themeColor="text1"/>
                <w:sz w:val="24"/>
                <w:highlight w:val="none"/>
                <w:lang w:val="en-US" w:eastAsia="zh-CN"/>
                <w14:textFill>
                  <w14:solidFill>
                    <w14:schemeClr w14:val="tx1"/>
                  </w14:solidFill>
                </w14:textFill>
              </w:rPr>
              <w:t>～</w:t>
            </w:r>
            <w:r>
              <w:rPr>
                <w:rFonts w:hint="default"/>
                <w:bCs/>
                <w:color w:val="000000" w:themeColor="text1"/>
                <w:sz w:val="24"/>
                <w:highlight w:val="none"/>
                <w:lang w:val="en-US" w:eastAsia="zh-CN"/>
                <w14:textFill>
                  <w14:solidFill>
                    <w14:schemeClr w14:val="tx1"/>
                  </w14:solidFill>
                </w14:textFill>
              </w:rPr>
              <w:t>5</w:t>
            </w:r>
            <w:r>
              <w:rPr>
                <w:rFonts w:hint="eastAsia"/>
                <w:bCs/>
                <w:color w:val="000000" w:themeColor="text1"/>
                <w:sz w:val="24"/>
                <w:highlight w:val="none"/>
                <w:lang w:val="en-US" w:eastAsia="zh-CN"/>
                <w14:textFill>
                  <w14:solidFill>
                    <w14:schemeClr w14:val="tx1"/>
                  </w14:solidFill>
                </w14:textFill>
              </w:rPr>
              <w:t>次，可使扬尘量减少</w:t>
            </w:r>
            <w:r>
              <w:rPr>
                <w:rFonts w:hint="default"/>
                <w:bCs/>
                <w:color w:val="000000" w:themeColor="text1"/>
                <w:sz w:val="24"/>
                <w:highlight w:val="none"/>
                <w:lang w:val="en-US" w:eastAsia="zh-CN"/>
                <w14:textFill>
                  <w14:solidFill>
                    <w14:schemeClr w14:val="tx1"/>
                  </w14:solidFill>
                </w14:textFill>
              </w:rPr>
              <w:t>70%</w:t>
            </w:r>
            <w:r>
              <w:rPr>
                <w:rFonts w:hint="eastAsia"/>
                <w:bCs/>
                <w:color w:val="000000" w:themeColor="text1"/>
                <w:sz w:val="24"/>
                <w:highlight w:val="none"/>
                <w:lang w:val="en-US" w:eastAsia="zh-CN"/>
                <w14:textFill>
                  <w14:solidFill>
                    <w14:schemeClr w14:val="tx1"/>
                  </w14:solidFill>
                </w14:textFill>
              </w:rPr>
              <w:t>；运渣土车辆不得冒顶装载、必须全封闭，车辆运输路线选择尽量避绕居民小区、学校、医院等敏感点，途经沿线居民等处时加强沿线洒落物料清扫，采取必要洒水降尘措施，减轻车辆运输扬尘对项目沿线环境的影响；</w:t>
            </w:r>
          </w:p>
          <w:p>
            <w:pPr>
              <w:keepNext w:val="0"/>
              <w:keepLines w:val="0"/>
              <w:suppressLineNumbers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⑦通过对临时施工场地采取遮挡和洒水等措施可有效地抑制扬尘量。料场内的粉状材料必须采用筒（仓）储存，物料堆放必须采取覆盖措施，场内适时洒水；临时堆土场和临时表土堆场表面应尽量压实并以苫布遮盖，尽量避免在有风天、大风天进行转土作业；</w:t>
            </w:r>
          </w:p>
          <w:p>
            <w:pPr>
              <w:keepNext w:val="0"/>
              <w:keepLines w:val="0"/>
              <w:suppressLineNumbers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⑧项目所有运输车辆均应按照《四川省机动车排气污染防治办法》的规定要求，对机动车排气污染情况进行定期检验，如果汽车尾气无法达标排放，则需对其进行维修或淘汰；</w:t>
            </w:r>
          </w:p>
          <w:p>
            <w:pPr>
              <w:keepNext w:val="0"/>
              <w:keepLines w:val="0"/>
              <w:suppressLineNumbers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⑨注意施工人员的保护措施，施工时注意佩戴口罩，特别是土石方挖填时，以减轻扬尘对其的伤害；</w:t>
            </w:r>
          </w:p>
          <w:p>
            <w:pPr>
              <w:keepNext w:val="0"/>
              <w:keepLines w:val="0"/>
              <w:suppressLineNumbers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⑩建议施工方结合本项目特点和相关要求，编制施工管理手册。</w:t>
            </w:r>
          </w:p>
          <w:p>
            <w:pPr>
              <w:keepNext w:val="0"/>
              <w:keepLines w:val="0"/>
              <w:suppressLineNumbers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总之，施工时应</w:t>
            </w:r>
            <w:r>
              <w:rPr>
                <w:rFonts w:ascii="Times New Roman" w:hAnsi="Times New Roman"/>
                <w:color w:val="000000" w:themeColor="text1"/>
                <w:kern w:val="0"/>
                <w:sz w:val="24"/>
                <w:highlight w:val="none"/>
                <w14:textFill>
                  <w14:solidFill>
                    <w14:schemeClr w14:val="tx1"/>
                  </w14:solidFill>
                </w14:textFill>
              </w:rPr>
              <w:t>积极推行绿色施工；全面督查建设工地现场管理“六必须”、“六不准”执行情况，即：必须打围作业、必须硬化道路、必须设置冲洗设施、必须湿法作业、必须配齐保洁人员、必须定时清扫施工现场，不准车辆带泥出门、不准运渣车辆冒顶装载、不准高空抛撒建渣、不准现场搅拌混凝土、不准场地积水、不准现场焚烧废弃物；加强车辆保养和维护，减少超载，减少停车怠速时间</w:t>
            </w:r>
            <w:r>
              <w:rPr>
                <w:rFonts w:hint="eastAsia"/>
                <w:bCs/>
                <w:color w:val="000000" w:themeColor="text1"/>
                <w:sz w:val="24"/>
                <w:highlight w:val="none"/>
                <w:lang w:val="en-US" w:eastAsia="zh-CN"/>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522" w:firstLineChars="200"/>
              <w:rPr>
                <w:b/>
                <w:color w:val="000000" w:themeColor="text1"/>
                <w:spacing w:val="10"/>
                <w:sz w:val="24"/>
                <w:highlight w:val="none"/>
                <w14:textFill>
                  <w14:solidFill>
                    <w14:schemeClr w14:val="tx1"/>
                  </w14:solidFill>
                </w14:textFill>
              </w:rPr>
            </w:pPr>
            <w:r>
              <w:rPr>
                <w:rFonts w:hint="eastAsia"/>
                <w:b/>
                <w:color w:val="000000" w:themeColor="text1"/>
                <w:spacing w:val="10"/>
                <w:sz w:val="24"/>
                <w:highlight w:val="none"/>
                <w:lang w:val="en-US" w:eastAsia="zh-CN"/>
                <w14:textFill>
                  <w14:solidFill>
                    <w14:schemeClr w14:val="tx1"/>
                  </w14:solidFill>
                </w14:textFill>
              </w:rPr>
              <w:t>4</w:t>
            </w:r>
            <w:r>
              <w:rPr>
                <w:b/>
                <w:color w:val="000000" w:themeColor="text1"/>
                <w:spacing w:val="10"/>
                <w:sz w:val="24"/>
                <w:highlight w:val="none"/>
                <w14:textFill>
                  <w14:solidFill>
                    <w14:schemeClr w14:val="tx1"/>
                  </w14:solidFill>
                </w14:textFill>
              </w:rPr>
              <w:t>、</w:t>
            </w:r>
            <w:r>
              <w:rPr>
                <w:rFonts w:hint="eastAsia"/>
                <w:b/>
                <w:color w:val="000000" w:themeColor="text1"/>
                <w:spacing w:val="10"/>
                <w:sz w:val="24"/>
                <w:highlight w:val="none"/>
                <w:lang w:val="en-US" w:eastAsia="zh-CN"/>
                <w14:textFill>
                  <w14:solidFill>
                    <w14:schemeClr w14:val="tx1"/>
                  </w14:solidFill>
                </w14:textFill>
              </w:rPr>
              <w:t>施工期噪声污染防治措</w:t>
            </w:r>
            <w:r>
              <w:rPr>
                <w:rFonts w:hint="eastAsia"/>
                <w:b/>
                <w:color w:val="000000" w:themeColor="text1"/>
                <w:spacing w:val="10"/>
                <w:sz w:val="24"/>
                <w:highlight w:val="none"/>
                <w14:textFill>
                  <w14:solidFill>
                    <w14:schemeClr w14:val="tx1"/>
                  </w14:solidFill>
                </w14:textFill>
              </w:rPr>
              <w:t>施</w:t>
            </w:r>
          </w:p>
          <w:p>
            <w:pPr>
              <w:keepNext w:val="0"/>
              <w:keepLines w:val="0"/>
              <w:widowControl/>
              <w:suppressLineNumbers w:val="0"/>
              <w:autoSpaceDE w:val="0"/>
              <w:autoSpaceDN w:val="0"/>
              <w:adjustRightInd w:val="0"/>
              <w:spacing w:before="0" w:beforeAutospacing="0" w:after="0" w:afterAutospacing="0" w:line="360" w:lineRule="auto"/>
              <w:ind w:left="0" w:right="0"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结合本工程实际情况，对施工期声环境保护提出以下对策措施：</w:t>
            </w:r>
          </w:p>
          <w:p>
            <w:pPr>
              <w:keepNext w:val="0"/>
              <w:keepLines w:val="0"/>
              <w:widowControl/>
              <w:suppressLineNumbers w:val="0"/>
              <w:autoSpaceDE w:val="0"/>
              <w:autoSpaceDN w:val="0"/>
              <w:adjustRightInd w:val="0"/>
              <w:spacing w:before="0" w:beforeAutospacing="0" w:after="0" w:afterAutospacing="0" w:line="360" w:lineRule="auto"/>
              <w:ind w:left="0" w:right="0" w:firstLine="480" w:firstLineChars="200"/>
              <w:rPr>
                <w:rFonts w:hint="eastAsia" w:ascii="Times New Roman" w:hAnsi="Times New Roman" w:eastAsia="宋体" w:cs="Times New Roman"/>
                <w:caps/>
                <w:color w:val="000000" w:themeColor="text1"/>
                <w:kern w:val="2"/>
                <w:sz w:val="24"/>
                <w:szCs w:val="24"/>
                <w:highlight w:val="none"/>
                <w:lang w:val="zh-CN" w:eastAsia="zh-CN" w:bidi="ar"/>
                <w14:textFill>
                  <w14:solidFill>
                    <w14:schemeClr w14:val="tx1"/>
                  </w14:solidFill>
                </w14:textFill>
              </w:rPr>
            </w:pPr>
            <w:r>
              <w:rPr>
                <w:rFonts w:hint="eastAsia" w:ascii="Times New Roman" w:hAnsi="Times New Roman" w:eastAsia="宋体" w:cs="Times New Roman"/>
                <w:caps/>
                <w:color w:val="000000" w:themeColor="text1"/>
                <w:kern w:val="2"/>
                <w:sz w:val="24"/>
                <w:szCs w:val="24"/>
                <w:highlight w:val="none"/>
                <w:lang w:val="zh-CN" w:eastAsia="zh-CN" w:bidi="ar"/>
                <w14:textFill>
                  <w14:solidFill>
                    <w14:schemeClr w14:val="tx1"/>
                  </w14:solidFill>
                </w14:textFill>
              </w:rPr>
              <w:t>①建设单位、施工单位、设计单位、街道办联合成立专门的领导小组，设立24小时值守热线，并设置专门的联络员，做好施工宣传工作，加强与沿线居民的沟通，根据居民意见及时改进管理措施，以保证沿线居民的生活质量。</w:t>
            </w:r>
          </w:p>
          <w:p>
            <w:pPr>
              <w:keepNext w:val="0"/>
              <w:keepLines w:val="0"/>
              <w:widowControl/>
              <w:suppressLineNumbers w:val="0"/>
              <w:autoSpaceDE w:val="0"/>
              <w:autoSpaceDN w:val="0"/>
              <w:adjustRightInd w:val="0"/>
              <w:spacing w:before="0" w:beforeAutospacing="0" w:after="0" w:afterAutospacing="0" w:line="360" w:lineRule="auto"/>
              <w:ind w:left="0" w:right="0" w:firstLine="480" w:firstLineChars="200"/>
              <w:rPr>
                <w:rFonts w:hint="eastAsia" w:ascii="Times New Roman" w:hAnsi="Times New Roman" w:eastAsia="宋体" w:cs="Times New Roman"/>
                <w:caps/>
                <w:color w:val="000000" w:themeColor="text1"/>
                <w:kern w:val="2"/>
                <w:sz w:val="24"/>
                <w:szCs w:val="24"/>
                <w:highlight w:val="none"/>
                <w:lang w:val="zh-CN" w:eastAsia="zh-CN" w:bidi="ar"/>
                <w14:textFill>
                  <w14:solidFill>
                    <w14:schemeClr w14:val="tx1"/>
                  </w14:solidFill>
                </w14:textFill>
              </w:rPr>
            </w:pPr>
            <w:r>
              <w:rPr>
                <w:rFonts w:hint="eastAsia" w:ascii="Times New Roman" w:hAnsi="Times New Roman" w:eastAsia="宋体" w:cs="Times New Roman"/>
                <w:caps/>
                <w:color w:val="000000" w:themeColor="text1"/>
                <w:kern w:val="2"/>
                <w:sz w:val="24"/>
                <w:szCs w:val="24"/>
                <w:highlight w:val="none"/>
                <w:lang w:val="zh-CN" w:eastAsia="zh-CN" w:bidi="ar"/>
                <w14:textFill>
                  <w14:solidFill>
                    <w14:schemeClr w14:val="tx1"/>
                  </w14:solidFill>
                </w14:textFill>
              </w:rPr>
              <w:t>②优化施工方案，合理安排工期，将建筑施工环境噪声危害降到最低程度，在施工工程招投标时，将降低环境噪声污染的措施列为施工组织设计内容，并在签订的合同中予以明确。</w:t>
            </w:r>
          </w:p>
          <w:p>
            <w:pPr>
              <w:keepNext w:val="0"/>
              <w:keepLines w:val="0"/>
              <w:widowControl/>
              <w:suppressLineNumbers w:val="0"/>
              <w:autoSpaceDE w:val="0"/>
              <w:autoSpaceDN w:val="0"/>
              <w:adjustRightInd w:val="0"/>
              <w:spacing w:before="0" w:beforeAutospacing="0" w:after="0" w:afterAutospacing="0" w:line="360" w:lineRule="auto"/>
              <w:ind w:left="0" w:right="0" w:firstLine="480" w:firstLineChars="200"/>
              <w:rPr>
                <w:rFonts w:hint="eastAsia" w:ascii="Times New Roman" w:hAnsi="Times New Roman" w:eastAsia="宋体" w:cs="Times New Roman"/>
                <w:caps/>
                <w:color w:val="000000" w:themeColor="text1"/>
                <w:kern w:val="2"/>
                <w:sz w:val="24"/>
                <w:szCs w:val="24"/>
                <w:highlight w:val="none"/>
                <w:lang w:val="zh-CN" w:eastAsia="zh-CN" w:bidi="ar"/>
                <w14:textFill>
                  <w14:solidFill>
                    <w14:schemeClr w14:val="tx1"/>
                  </w14:solidFill>
                </w14:textFill>
              </w:rPr>
            </w:pPr>
            <w:r>
              <w:rPr>
                <w:rFonts w:hint="eastAsia" w:ascii="Times New Roman" w:hAnsi="Times New Roman" w:eastAsia="宋体" w:cs="Times New Roman"/>
                <w:caps/>
                <w:color w:val="000000" w:themeColor="text1"/>
                <w:kern w:val="2"/>
                <w:sz w:val="24"/>
                <w:szCs w:val="24"/>
                <w:highlight w:val="none"/>
                <w:lang w:val="zh-CN" w:eastAsia="zh-CN" w:bidi="ar"/>
                <w14:textFill>
                  <w14:solidFill>
                    <w14:schemeClr w14:val="tx1"/>
                  </w14:solidFill>
                </w14:textFill>
              </w:rPr>
              <w:t>③施工单位应选用符合国家标准的低噪声设备，严格按照规范操作，并加强对设备的维修保养，避免由于设备非正常工作而产生高噪声污染。</w:t>
            </w:r>
          </w:p>
          <w:p>
            <w:pPr>
              <w:keepNext w:val="0"/>
              <w:keepLines w:val="0"/>
              <w:widowControl/>
              <w:suppressLineNumbers w:val="0"/>
              <w:autoSpaceDE w:val="0"/>
              <w:autoSpaceDN w:val="0"/>
              <w:adjustRightInd w:val="0"/>
              <w:spacing w:before="0" w:beforeAutospacing="0" w:after="0" w:afterAutospacing="0" w:line="360" w:lineRule="auto"/>
              <w:ind w:left="0" w:right="0" w:firstLine="480" w:firstLineChars="200"/>
              <w:rPr>
                <w:rFonts w:hint="eastAsia" w:ascii="Times New Roman" w:hAnsi="Times New Roman" w:eastAsia="宋体" w:cs="Times New Roman"/>
                <w:caps/>
                <w:color w:val="000000" w:themeColor="text1"/>
                <w:kern w:val="2"/>
                <w:sz w:val="24"/>
                <w:szCs w:val="24"/>
                <w:highlight w:val="none"/>
                <w:lang w:val="zh-CN" w:eastAsia="zh-CN" w:bidi="ar"/>
                <w14:textFill>
                  <w14:solidFill>
                    <w14:schemeClr w14:val="tx1"/>
                  </w14:solidFill>
                </w14:textFill>
              </w:rPr>
            </w:pPr>
            <w:r>
              <w:rPr>
                <w:rFonts w:hint="eastAsia" w:ascii="Times New Roman" w:hAnsi="Times New Roman" w:eastAsia="宋体" w:cs="Times New Roman"/>
                <w:caps/>
                <w:color w:val="000000" w:themeColor="text1"/>
                <w:kern w:val="2"/>
                <w:sz w:val="24"/>
                <w:szCs w:val="24"/>
                <w:highlight w:val="none"/>
                <w:lang w:val="zh-CN" w:eastAsia="zh-CN" w:bidi="ar"/>
                <w14:textFill>
                  <w14:solidFill>
                    <w14:schemeClr w14:val="tx1"/>
                  </w14:solidFill>
                </w14:textFill>
              </w:rPr>
              <w:t>④项目区域内的现有道路将在项目施工期用于运输施工物资，应注意合理安排施工物料的运输时间及运输路径，在途经学校、居民点时，应减速慢行、禁止鸣笛。</w:t>
            </w:r>
          </w:p>
          <w:p>
            <w:pPr>
              <w:keepNext w:val="0"/>
              <w:keepLines w:val="0"/>
              <w:widowControl/>
              <w:suppressLineNumbers w:val="0"/>
              <w:autoSpaceDE w:val="0"/>
              <w:autoSpaceDN w:val="0"/>
              <w:adjustRightInd w:val="0"/>
              <w:spacing w:before="0" w:beforeAutospacing="0" w:after="0" w:afterAutospacing="0" w:line="360" w:lineRule="auto"/>
              <w:ind w:left="0" w:right="0" w:firstLine="480" w:firstLineChars="200"/>
              <w:rPr>
                <w:rFonts w:hint="eastAsia" w:ascii="Times New Roman" w:hAnsi="Times New Roman" w:eastAsia="宋体" w:cs="Times New Roman"/>
                <w:caps/>
                <w:color w:val="000000" w:themeColor="text1"/>
                <w:kern w:val="2"/>
                <w:sz w:val="24"/>
                <w:szCs w:val="24"/>
                <w:highlight w:val="none"/>
                <w:lang w:val="zh-CN" w:eastAsia="zh-CN" w:bidi="ar"/>
                <w14:textFill>
                  <w14:solidFill>
                    <w14:schemeClr w14:val="tx1"/>
                  </w14:solidFill>
                </w14:textFill>
              </w:rPr>
            </w:pPr>
            <w:r>
              <w:rPr>
                <w:rFonts w:hint="eastAsia" w:ascii="Times New Roman" w:hAnsi="Times New Roman" w:eastAsia="宋体" w:cs="Times New Roman"/>
                <w:caps/>
                <w:color w:val="000000" w:themeColor="text1"/>
                <w:kern w:val="2"/>
                <w:sz w:val="24"/>
                <w:szCs w:val="24"/>
                <w:highlight w:val="none"/>
                <w:lang w:val="zh-CN" w:eastAsia="zh-CN" w:bidi="ar"/>
                <w14:textFill>
                  <w14:solidFill>
                    <w14:schemeClr w14:val="tx1"/>
                  </w14:solidFill>
                </w14:textFill>
              </w:rPr>
              <w:t>⑤优化施工布局，高噪声施工场所尽量靠近场地中间，远离敏感点，尽量避免过多的高噪声设备同时使用，施工时加高围挡至3</w:t>
            </w:r>
            <w:r>
              <w:rPr>
                <w:rFonts w:hint="eastAsia" w:cs="Times New Roman"/>
                <w:caps/>
                <w:color w:val="000000" w:themeColor="text1"/>
                <w:kern w:val="2"/>
                <w:sz w:val="24"/>
                <w:szCs w:val="24"/>
                <w:highlight w:val="none"/>
                <w:lang w:val="en-US" w:eastAsia="zh-CN" w:bidi="ar"/>
                <w14:textFill>
                  <w14:solidFill>
                    <w14:schemeClr w14:val="tx1"/>
                  </w14:solidFill>
                </w14:textFill>
              </w:rPr>
              <w:t>M</w:t>
            </w:r>
            <w:r>
              <w:rPr>
                <w:rFonts w:hint="eastAsia" w:ascii="Times New Roman" w:hAnsi="Times New Roman" w:eastAsia="宋体" w:cs="Times New Roman"/>
                <w:caps/>
                <w:color w:val="000000" w:themeColor="text1"/>
                <w:kern w:val="2"/>
                <w:sz w:val="24"/>
                <w:szCs w:val="24"/>
                <w:highlight w:val="none"/>
                <w:lang w:val="zh-CN" w:eastAsia="zh-CN" w:bidi="ar"/>
                <w14:textFill>
                  <w14:solidFill>
                    <w14:schemeClr w14:val="tx1"/>
                  </w14:solidFill>
                </w14:textFill>
              </w:rPr>
              <w:t>作为临时隔声墙。</w:t>
            </w:r>
          </w:p>
          <w:p>
            <w:pPr>
              <w:keepNext w:val="0"/>
              <w:keepLines w:val="0"/>
              <w:widowControl/>
              <w:suppressLineNumbers w:val="0"/>
              <w:autoSpaceDE w:val="0"/>
              <w:autoSpaceDN w:val="0"/>
              <w:adjustRightInd w:val="0"/>
              <w:spacing w:before="0" w:beforeAutospacing="0" w:after="0" w:afterAutospacing="0" w:line="360" w:lineRule="auto"/>
              <w:ind w:left="0" w:right="0" w:firstLine="480" w:firstLineChars="200"/>
              <w:rPr>
                <w:rFonts w:hint="eastAsia" w:ascii="Times New Roman" w:hAnsi="Times New Roman" w:eastAsia="宋体" w:cs="Times New Roman"/>
                <w:caps/>
                <w:color w:val="000000" w:themeColor="text1"/>
                <w:kern w:val="2"/>
                <w:sz w:val="24"/>
                <w:szCs w:val="24"/>
                <w:highlight w:val="none"/>
                <w:lang w:val="zh-CN" w:eastAsia="zh-CN" w:bidi="ar"/>
                <w14:textFill>
                  <w14:solidFill>
                    <w14:schemeClr w14:val="tx1"/>
                  </w14:solidFill>
                </w14:textFill>
              </w:rPr>
            </w:pPr>
            <w:r>
              <w:rPr>
                <w:rFonts w:hint="eastAsia" w:ascii="Times New Roman" w:hAnsi="Times New Roman" w:eastAsia="宋体" w:cs="Times New Roman"/>
                <w:caps/>
                <w:color w:val="000000" w:themeColor="text1"/>
                <w:kern w:val="2"/>
                <w:sz w:val="24"/>
                <w:szCs w:val="24"/>
                <w:highlight w:val="none"/>
                <w:lang w:val="zh-CN" w:eastAsia="zh-CN" w:bidi="ar"/>
                <w14:textFill>
                  <w14:solidFill>
                    <w14:schemeClr w14:val="tx1"/>
                  </w14:solidFill>
                </w14:textFill>
              </w:rPr>
              <w:t>⑥路面清理、路基施工、路面摊铺三个阶段需涉及较多强噪声设备，由于</w:t>
            </w:r>
            <w:r>
              <w:rPr>
                <w:rFonts w:hint="eastAsia" w:cs="Times New Roman"/>
                <w:caps/>
                <w:color w:val="000000" w:themeColor="text1"/>
                <w:kern w:val="2"/>
                <w:sz w:val="24"/>
                <w:szCs w:val="24"/>
                <w:highlight w:val="none"/>
                <w:lang w:val="en-US" w:eastAsia="zh-CN" w:bidi="ar"/>
                <w14:textFill>
                  <w14:solidFill>
                    <w14:schemeClr w14:val="tx1"/>
                  </w14:solidFill>
                </w14:textFill>
              </w:rPr>
              <w:t>道路</w:t>
            </w:r>
            <w:r>
              <w:rPr>
                <w:rFonts w:hint="eastAsia" w:ascii="Times New Roman" w:hAnsi="Times New Roman" w:eastAsia="宋体" w:cs="Times New Roman"/>
                <w:caps/>
                <w:color w:val="000000" w:themeColor="text1"/>
                <w:kern w:val="2"/>
                <w:sz w:val="24"/>
                <w:szCs w:val="24"/>
                <w:highlight w:val="none"/>
                <w:lang w:val="zh-CN" w:eastAsia="zh-CN" w:bidi="ar"/>
                <w14:textFill>
                  <w14:solidFill>
                    <w14:schemeClr w14:val="tx1"/>
                  </w14:solidFill>
                </w14:textFill>
              </w:rPr>
              <w:t>沿线分布的</w:t>
            </w:r>
            <w:r>
              <w:rPr>
                <w:rFonts w:hint="eastAsia" w:cs="Times New Roman"/>
                <w:caps/>
                <w:color w:val="000000" w:themeColor="text1"/>
                <w:kern w:val="2"/>
                <w:sz w:val="24"/>
                <w:szCs w:val="24"/>
                <w:highlight w:val="none"/>
                <w:lang w:val="en-US" w:eastAsia="zh-CN" w:bidi="ar"/>
                <w14:textFill>
                  <w14:solidFill>
                    <w14:schemeClr w14:val="tx1"/>
                  </w14:solidFill>
                </w14:textFill>
              </w:rPr>
              <w:t>居民小区、农户聚集区、学校等</w:t>
            </w:r>
            <w:r>
              <w:rPr>
                <w:rFonts w:hint="eastAsia" w:ascii="Times New Roman" w:hAnsi="Times New Roman" w:eastAsia="宋体" w:cs="Times New Roman"/>
                <w:caps/>
                <w:color w:val="000000" w:themeColor="text1"/>
                <w:kern w:val="2"/>
                <w:sz w:val="24"/>
                <w:szCs w:val="24"/>
                <w:highlight w:val="none"/>
                <w:lang w:val="zh-CN" w:eastAsia="zh-CN" w:bidi="ar"/>
                <w14:textFill>
                  <w14:solidFill>
                    <w14:schemeClr w14:val="tx1"/>
                  </w14:solidFill>
                </w14:textFill>
              </w:rPr>
              <w:t>敏感点，需将高噪声设备布置远离居民、学校一侧，确需在居民、学校一侧施工的，设备周围需设临时</w:t>
            </w:r>
            <w:r>
              <w:rPr>
                <w:rFonts w:hint="eastAsia" w:cs="Times New Roman"/>
                <w:caps/>
                <w:color w:val="000000" w:themeColor="text1"/>
                <w:kern w:val="2"/>
                <w:sz w:val="24"/>
                <w:szCs w:val="24"/>
                <w:highlight w:val="none"/>
                <w:lang w:val="zh-CN" w:eastAsia="zh-CN" w:bidi="ar"/>
                <w14:textFill>
                  <w14:solidFill>
                    <w14:schemeClr w14:val="tx1"/>
                  </w14:solidFill>
                </w14:textFill>
              </w:rPr>
              <w:t>声屏障</w:t>
            </w:r>
            <w:r>
              <w:rPr>
                <w:rFonts w:hint="eastAsia" w:ascii="Times New Roman" w:hAnsi="Times New Roman" w:eastAsia="宋体" w:cs="Times New Roman"/>
                <w:caps/>
                <w:color w:val="000000" w:themeColor="text1"/>
                <w:kern w:val="2"/>
                <w:sz w:val="24"/>
                <w:szCs w:val="24"/>
                <w:highlight w:val="none"/>
                <w:lang w:val="zh-CN" w:eastAsia="zh-CN" w:bidi="ar"/>
                <w14:textFill>
                  <w14:solidFill>
                    <w14:schemeClr w14:val="tx1"/>
                  </w14:solidFill>
                </w14:textFill>
              </w:rPr>
              <w:t>障，通过采用临时</w:t>
            </w:r>
            <w:r>
              <w:rPr>
                <w:rFonts w:hint="eastAsia" w:cs="Times New Roman"/>
                <w:caps/>
                <w:color w:val="000000" w:themeColor="text1"/>
                <w:kern w:val="2"/>
                <w:sz w:val="24"/>
                <w:szCs w:val="24"/>
                <w:highlight w:val="none"/>
                <w:lang w:val="zh-CN" w:eastAsia="zh-CN" w:bidi="ar"/>
                <w14:textFill>
                  <w14:solidFill>
                    <w14:schemeClr w14:val="tx1"/>
                  </w14:solidFill>
                </w14:textFill>
              </w:rPr>
              <w:t>声屏障</w:t>
            </w:r>
            <w:r>
              <w:rPr>
                <w:rFonts w:hint="eastAsia" w:ascii="Times New Roman" w:hAnsi="Times New Roman" w:eastAsia="宋体" w:cs="Times New Roman"/>
                <w:caps/>
                <w:color w:val="000000" w:themeColor="text1"/>
                <w:kern w:val="2"/>
                <w:sz w:val="24"/>
                <w:szCs w:val="24"/>
                <w:highlight w:val="none"/>
                <w:lang w:val="zh-CN" w:eastAsia="zh-CN" w:bidi="ar"/>
                <w14:textFill>
                  <w14:solidFill>
                    <w14:schemeClr w14:val="tx1"/>
                  </w14:solidFill>
                </w14:textFill>
              </w:rPr>
              <w:t>障减少施工噪声对道路周边敏感点的影响。临时</w:t>
            </w:r>
            <w:r>
              <w:rPr>
                <w:rFonts w:hint="eastAsia" w:cs="Times New Roman"/>
                <w:caps/>
                <w:color w:val="000000" w:themeColor="text1"/>
                <w:kern w:val="2"/>
                <w:sz w:val="24"/>
                <w:szCs w:val="24"/>
                <w:highlight w:val="none"/>
                <w:lang w:val="zh-CN" w:eastAsia="zh-CN" w:bidi="ar"/>
                <w14:textFill>
                  <w14:solidFill>
                    <w14:schemeClr w14:val="tx1"/>
                  </w14:solidFill>
                </w14:textFill>
              </w:rPr>
              <w:t>声屏障</w:t>
            </w:r>
            <w:r>
              <w:rPr>
                <w:rFonts w:hint="eastAsia" w:ascii="Times New Roman" w:hAnsi="Times New Roman" w:eastAsia="宋体" w:cs="Times New Roman"/>
                <w:caps/>
                <w:color w:val="000000" w:themeColor="text1"/>
                <w:kern w:val="2"/>
                <w:sz w:val="24"/>
                <w:szCs w:val="24"/>
                <w:highlight w:val="none"/>
                <w:lang w:val="zh-CN" w:eastAsia="zh-CN" w:bidi="ar"/>
                <w14:textFill>
                  <w14:solidFill>
                    <w14:schemeClr w14:val="tx1"/>
                  </w14:solidFill>
                </w14:textFill>
              </w:rPr>
              <w:t>障采用可拆卸移动式声屏障，做到屏障利用地点最大化、利用时间最久化。</w:t>
            </w:r>
          </w:p>
          <w:p>
            <w:pPr>
              <w:keepNext w:val="0"/>
              <w:keepLines w:val="0"/>
              <w:widowControl/>
              <w:suppressLineNumbers w:val="0"/>
              <w:autoSpaceDE w:val="0"/>
              <w:autoSpaceDN w:val="0"/>
              <w:adjustRightInd w:val="0"/>
              <w:spacing w:before="0" w:beforeAutospacing="0" w:after="0" w:afterAutospacing="0" w:line="360" w:lineRule="auto"/>
              <w:ind w:left="0" w:right="0" w:firstLine="480" w:firstLineChars="200"/>
              <w:rPr>
                <w:rFonts w:hint="eastAsia" w:ascii="Times New Roman" w:hAnsi="Times New Roman" w:eastAsia="宋体" w:cs="Times New Roman"/>
                <w:caps/>
                <w:color w:val="000000" w:themeColor="text1"/>
                <w:kern w:val="2"/>
                <w:sz w:val="24"/>
                <w:szCs w:val="24"/>
                <w:highlight w:val="none"/>
                <w:lang w:val="zh-CN" w:eastAsia="zh-CN" w:bidi="ar"/>
                <w14:textFill>
                  <w14:solidFill>
                    <w14:schemeClr w14:val="tx1"/>
                  </w14:solidFill>
                </w14:textFill>
              </w:rPr>
            </w:pPr>
            <w:r>
              <w:rPr>
                <w:rFonts w:hint="eastAsia" w:ascii="Times New Roman" w:hAnsi="Times New Roman" w:eastAsia="宋体" w:cs="Times New Roman"/>
                <w:caps/>
                <w:color w:val="000000" w:themeColor="text1"/>
                <w:kern w:val="2"/>
                <w:sz w:val="24"/>
                <w:szCs w:val="24"/>
                <w:highlight w:val="none"/>
                <w:lang w:val="zh-CN" w:eastAsia="zh-CN" w:bidi="ar"/>
                <w14:textFill>
                  <w14:solidFill>
                    <w14:schemeClr w14:val="tx1"/>
                  </w14:solidFill>
                </w14:textFill>
              </w:rPr>
              <w:t>⑦</w:t>
            </w:r>
            <w:r>
              <w:rPr>
                <w:rFonts w:hint="eastAsia" w:cs="Times New Roman"/>
                <w:caps/>
                <w:color w:val="000000" w:themeColor="text1"/>
                <w:kern w:val="2"/>
                <w:sz w:val="24"/>
                <w:szCs w:val="24"/>
                <w:highlight w:val="none"/>
                <w:lang w:val="en-US" w:eastAsia="zh-CN" w:bidi="ar"/>
                <w14:textFill>
                  <w14:solidFill>
                    <w14:schemeClr w14:val="tx1"/>
                  </w14:solidFill>
                </w14:textFill>
              </w:rPr>
              <w:t>打桩</w:t>
            </w:r>
            <w:r>
              <w:rPr>
                <w:rFonts w:hint="eastAsia" w:ascii="Times New Roman" w:hAnsi="Times New Roman" w:eastAsia="宋体" w:cs="Times New Roman"/>
                <w:caps/>
                <w:color w:val="000000" w:themeColor="text1"/>
                <w:kern w:val="2"/>
                <w:sz w:val="24"/>
                <w:szCs w:val="24"/>
                <w:highlight w:val="none"/>
                <w:lang w:val="zh-CN" w:eastAsia="zh-CN" w:bidi="ar"/>
                <w14:textFill>
                  <w14:solidFill>
                    <w14:schemeClr w14:val="tx1"/>
                  </w14:solidFill>
                </w14:textFill>
              </w:rPr>
              <w:t>作业时间限制在7：00～12：00、14：00～22：00时间范围内</w:t>
            </w:r>
            <w:r>
              <w:rPr>
                <w:rFonts w:hint="eastAsia" w:cs="Times New Roman"/>
                <w:caps/>
                <w:color w:val="000000" w:themeColor="text1"/>
                <w:kern w:val="2"/>
                <w:sz w:val="24"/>
                <w:szCs w:val="24"/>
                <w:highlight w:val="none"/>
                <w:lang w:val="zh-CN" w:eastAsia="zh-CN" w:bidi="ar"/>
                <w14:textFill>
                  <w14:solidFill>
                    <w14:schemeClr w14:val="tx1"/>
                  </w14:solidFill>
                </w14:textFill>
              </w:rPr>
              <w:t>，</w:t>
            </w:r>
            <w:r>
              <w:rPr>
                <w:rFonts w:hint="eastAsia" w:ascii="Times New Roman" w:hAnsi="Times New Roman" w:eastAsia="宋体" w:cs="Times New Roman"/>
                <w:caps/>
                <w:color w:val="000000" w:themeColor="text1"/>
                <w:kern w:val="2"/>
                <w:sz w:val="24"/>
                <w:szCs w:val="24"/>
                <w:highlight w:val="none"/>
                <w:lang w:val="zh-CN" w:eastAsia="zh-CN" w:bidi="ar"/>
                <w14:textFill>
                  <w14:solidFill>
                    <w14:schemeClr w14:val="tx1"/>
                  </w14:solidFill>
                </w14:textFill>
              </w:rPr>
              <w:t>夜间禁止打桩，确需使用的，应报经</w:t>
            </w:r>
            <w:r>
              <w:rPr>
                <w:rFonts w:hint="eastAsia" w:cs="Times New Roman"/>
                <w:caps/>
                <w:color w:val="000000" w:themeColor="text1"/>
                <w:kern w:val="2"/>
                <w:sz w:val="24"/>
                <w:szCs w:val="24"/>
                <w:highlight w:val="none"/>
                <w:lang w:val="en-US" w:eastAsia="zh-CN" w:bidi="ar"/>
                <w14:textFill>
                  <w14:solidFill>
                    <w14:schemeClr w14:val="tx1"/>
                  </w14:solidFill>
                </w14:textFill>
              </w:rPr>
              <w:t>相应主管部门</w:t>
            </w:r>
            <w:r>
              <w:rPr>
                <w:rFonts w:hint="eastAsia" w:ascii="Times New Roman" w:hAnsi="Times New Roman" w:eastAsia="宋体" w:cs="Times New Roman"/>
                <w:caps/>
                <w:color w:val="000000" w:themeColor="text1"/>
                <w:kern w:val="2"/>
                <w:sz w:val="24"/>
                <w:szCs w:val="24"/>
                <w:highlight w:val="none"/>
                <w:lang w:val="zh-CN" w:eastAsia="zh-CN" w:bidi="ar"/>
                <w14:textFill>
                  <w14:solidFill>
                    <w14:schemeClr w14:val="tx1"/>
                  </w14:solidFill>
                </w14:textFill>
              </w:rPr>
              <w:t>批准。</w:t>
            </w:r>
          </w:p>
          <w:p>
            <w:pPr>
              <w:keepNext w:val="0"/>
              <w:keepLines w:val="0"/>
              <w:widowControl/>
              <w:suppressLineNumbers w:val="0"/>
              <w:autoSpaceDE w:val="0"/>
              <w:autoSpaceDN w:val="0"/>
              <w:adjustRightInd w:val="0"/>
              <w:spacing w:before="0" w:beforeAutospacing="0" w:after="0" w:afterAutospacing="0" w:line="360" w:lineRule="auto"/>
              <w:ind w:left="0" w:right="0" w:firstLine="480" w:firstLineChars="200"/>
              <w:rPr>
                <w:rFonts w:hint="eastAsia" w:ascii="Times New Roman" w:hAnsi="Times New Roman" w:eastAsia="宋体" w:cs="Times New Roman"/>
                <w:caps/>
                <w:color w:val="000000" w:themeColor="text1"/>
                <w:kern w:val="2"/>
                <w:sz w:val="24"/>
                <w:szCs w:val="24"/>
                <w:highlight w:val="none"/>
                <w:lang w:val="zh-CN" w:eastAsia="zh-CN" w:bidi="ar"/>
                <w14:textFill>
                  <w14:solidFill>
                    <w14:schemeClr w14:val="tx1"/>
                  </w14:solidFill>
                </w14:textFill>
              </w:rPr>
            </w:pPr>
            <w:r>
              <w:rPr>
                <w:rFonts w:hint="eastAsia" w:ascii="Times New Roman" w:hAnsi="Times New Roman" w:eastAsia="宋体" w:cs="Times New Roman"/>
                <w:caps/>
                <w:color w:val="000000" w:themeColor="text1"/>
                <w:kern w:val="2"/>
                <w:sz w:val="24"/>
                <w:szCs w:val="24"/>
                <w:highlight w:val="none"/>
                <w:lang w:val="zh-CN" w:eastAsia="zh-CN" w:bidi="ar"/>
                <w14:textFill>
                  <w14:solidFill>
                    <w14:schemeClr w14:val="tx1"/>
                  </w14:solidFill>
                </w14:textFill>
              </w:rPr>
              <w:t>⑧中考、期末考等考试期间，禁止施工。</w:t>
            </w:r>
          </w:p>
          <w:p>
            <w:pPr>
              <w:keepNext w:val="0"/>
              <w:keepLines w:val="0"/>
              <w:widowControl/>
              <w:suppressLineNumbers w:val="0"/>
              <w:autoSpaceDE w:val="0"/>
              <w:autoSpaceDN w:val="0"/>
              <w:adjustRightInd w:val="0"/>
              <w:spacing w:before="0" w:beforeAutospacing="0" w:after="0" w:afterAutospacing="0" w:line="360" w:lineRule="auto"/>
              <w:ind w:left="0" w:right="0" w:firstLine="480" w:firstLineChars="200"/>
              <w:rPr>
                <w:rFonts w:hint="eastAsia" w:ascii="Times New Roman" w:hAnsi="Times New Roman" w:eastAsia="宋体" w:cs="Times New Roman"/>
                <w:caps/>
                <w:color w:val="000000" w:themeColor="text1"/>
                <w:kern w:val="2"/>
                <w:sz w:val="24"/>
                <w:szCs w:val="24"/>
                <w:highlight w:val="none"/>
                <w:lang w:val="zh-CN" w:eastAsia="zh-CN" w:bidi="ar"/>
                <w14:textFill>
                  <w14:solidFill>
                    <w14:schemeClr w14:val="tx1"/>
                  </w14:solidFill>
                </w14:textFill>
              </w:rPr>
            </w:pPr>
            <w:r>
              <w:rPr>
                <w:rFonts w:hint="eastAsia" w:ascii="Times New Roman" w:hAnsi="Times New Roman" w:eastAsia="宋体" w:cs="Times New Roman"/>
                <w:caps/>
                <w:color w:val="000000" w:themeColor="text1"/>
                <w:kern w:val="2"/>
                <w:sz w:val="24"/>
                <w:szCs w:val="24"/>
                <w:highlight w:val="none"/>
                <w:lang w:val="zh-CN" w:eastAsia="zh-CN" w:bidi="ar"/>
                <w14:textFill>
                  <w14:solidFill>
                    <w14:schemeClr w14:val="tx1"/>
                  </w14:solidFill>
                </w14:textFill>
              </w:rPr>
              <w:t>⑨项目区域内的现有道路将在项目施工期用于运输施工物资，应注意合理安排施工物料的运输时间及运输路径，在途经学校、居民点时，应减速慢行、禁止鸣笛。</w:t>
            </w:r>
          </w:p>
          <w:p>
            <w:pPr>
              <w:keepNext w:val="0"/>
              <w:keepLines w:val="0"/>
              <w:widowControl/>
              <w:suppressLineNumbers w:val="0"/>
              <w:autoSpaceDE w:val="0"/>
              <w:autoSpaceDN w:val="0"/>
              <w:adjustRightInd w:val="0"/>
              <w:spacing w:before="0" w:beforeAutospacing="0" w:after="0" w:afterAutospacing="0" w:line="360" w:lineRule="auto"/>
              <w:ind w:left="0" w:right="0" w:firstLine="480" w:firstLineChars="200"/>
              <w:rPr>
                <w:rFonts w:hint="eastAsia" w:ascii="Times New Roman" w:hAnsi="Times New Roman" w:eastAsia="宋体" w:cs="Times New Roman"/>
                <w:caps/>
                <w:color w:val="000000" w:themeColor="text1"/>
                <w:kern w:val="2"/>
                <w:sz w:val="24"/>
                <w:szCs w:val="24"/>
                <w:highlight w:val="none"/>
                <w:lang w:val="zh-CN" w:eastAsia="zh-CN" w:bidi="ar"/>
                <w14:textFill>
                  <w14:solidFill>
                    <w14:schemeClr w14:val="tx1"/>
                  </w14:solidFill>
                </w14:textFill>
              </w:rPr>
            </w:pPr>
            <w:r>
              <w:rPr>
                <w:rFonts w:hint="eastAsia" w:ascii="Times New Roman" w:hAnsi="Times New Roman" w:eastAsia="宋体" w:cs="Times New Roman"/>
                <w:caps/>
                <w:color w:val="000000" w:themeColor="text1"/>
                <w:kern w:val="2"/>
                <w:sz w:val="24"/>
                <w:szCs w:val="24"/>
                <w:highlight w:val="none"/>
                <w:lang w:val="zh-CN" w:eastAsia="zh-CN" w:bidi="ar"/>
                <w14:textFill>
                  <w14:solidFill>
                    <w14:schemeClr w14:val="tx1"/>
                  </w14:solidFill>
                </w14:textFill>
              </w:rPr>
              <w:t>⑩加强施工管理，合理制定施工计划，做到文明施工、科学施工。监理单位应做好施工期噪声监理工作，配备一定数量的噪声测量仪器，对施工场所附近进行监测，以保证其不受噪声超标影响。</w:t>
            </w:r>
          </w:p>
          <w:p>
            <w:pPr>
              <w:keepNext w:val="0"/>
              <w:keepLines w:val="0"/>
              <w:suppressLineNumbers w:val="0"/>
              <w:adjustRightInd w:val="0"/>
              <w:snapToGrid w:val="0"/>
              <w:spacing w:before="0" w:beforeAutospacing="0" w:after="0" w:afterAutospacing="0" w:line="360" w:lineRule="auto"/>
              <w:ind w:left="0" w:right="0" w:firstLine="522" w:firstLineChars="200"/>
              <w:rPr>
                <w:b/>
                <w:color w:val="000000" w:themeColor="text1"/>
                <w:spacing w:val="10"/>
                <w:sz w:val="24"/>
                <w:highlight w:val="none"/>
                <w14:textFill>
                  <w14:solidFill>
                    <w14:schemeClr w14:val="tx1"/>
                  </w14:solidFill>
                </w14:textFill>
              </w:rPr>
            </w:pPr>
            <w:r>
              <w:rPr>
                <w:rFonts w:hint="eastAsia"/>
                <w:b/>
                <w:color w:val="000000" w:themeColor="text1"/>
                <w:spacing w:val="10"/>
                <w:sz w:val="24"/>
                <w:highlight w:val="none"/>
                <w:lang w:val="en-US" w:eastAsia="zh-CN"/>
                <w14:textFill>
                  <w14:solidFill>
                    <w14:schemeClr w14:val="tx1"/>
                  </w14:solidFill>
                </w14:textFill>
              </w:rPr>
              <w:t>5</w:t>
            </w:r>
            <w:r>
              <w:rPr>
                <w:b/>
                <w:color w:val="000000" w:themeColor="text1"/>
                <w:spacing w:val="10"/>
                <w:sz w:val="24"/>
                <w:highlight w:val="none"/>
                <w14:textFill>
                  <w14:solidFill>
                    <w14:schemeClr w14:val="tx1"/>
                  </w14:solidFill>
                </w14:textFill>
              </w:rPr>
              <w:t>、固废污染防治措施</w:t>
            </w:r>
          </w:p>
          <w:p>
            <w:pPr>
              <w:keepNext w:val="0"/>
              <w:keepLines w:val="0"/>
              <w:suppressLineNumbers w:val="0"/>
              <w:autoSpaceDE w:val="0"/>
              <w:autoSpaceDN w:val="0"/>
              <w:spacing w:before="0" w:beforeAutospacing="0" w:after="0" w:afterAutospacing="0" w:line="360" w:lineRule="auto"/>
              <w:ind w:left="0" w:right="0" w:firstLine="480"/>
              <w:rPr>
                <w:rFonts w:hint="eastAsia" w:eastAsia="宋体"/>
                <w:b/>
                <w:bCs/>
                <w:color w:val="000000" w:themeColor="text1"/>
                <w:kern w:val="0"/>
                <w:sz w:val="24"/>
                <w:highlight w:val="none"/>
                <w:lang w:val="en-US" w:eastAsia="zh-CN"/>
                <w14:textFill>
                  <w14:solidFill>
                    <w14:schemeClr w14:val="tx1"/>
                  </w14:solidFill>
                </w14:textFill>
              </w:rPr>
            </w:pPr>
            <w:r>
              <w:rPr>
                <w:rFonts w:hint="eastAsia"/>
                <w:b/>
                <w:bCs/>
                <w:color w:val="000000" w:themeColor="text1"/>
                <w:kern w:val="0"/>
                <w:sz w:val="24"/>
                <w:highlight w:val="none"/>
                <w:lang w:val="zh-CN"/>
                <w14:textFill>
                  <w14:solidFill>
                    <w14:schemeClr w14:val="tx1"/>
                  </w14:solidFill>
                </w14:textFill>
              </w:rPr>
              <w:t>（</w:t>
            </w:r>
            <w:r>
              <w:rPr>
                <w:b/>
                <w:bCs/>
                <w:color w:val="000000" w:themeColor="text1"/>
                <w:kern w:val="0"/>
                <w:sz w:val="24"/>
                <w:highlight w:val="none"/>
                <w:lang w:val="zh-CN"/>
                <w14:textFill>
                  <w14:solidFill>
                    <w14:schemeClr w14:val="tx1"/>
                  </w14:solidFill>
                </w14:textFill>
              </w:rPr>
              <w:t>1</w:t>
            </w:r>
            <w:r>
              <w:rPr>
                <w:rFonts w:hint="eastAsia"/>
                <w:b/>
                <w:bCs/>
                <w:color w:val="000000" w:themeColor="text1"/>
                <w:kern w:val="0"/>
                <w:sz w:val="24"/>
                <w:highlight w:val="none"/>
                <w:lang w:val="zh-CN"/>
                <w14:textFill>
                  <w14:solidFill>
                    <w14:schemeClr w14:val="tx1"/>
                  </w14:solidFill>
                </w14:textFill>
              </w:rPr>
              <w:t>）弃</w:t>
            </w:r>
            <w:r>
              <w:rPr>
                <w:rFonts w:hint="eastAsia"/>
                <w:b/>
                <w:bCs/>
                <w:color w:val="000000" w:themeColor="text1"/>
                <w:kern w:val="0"/>
                <w:sz w:val="24"/>
                <w:highlight w:val="none"/>
                <w:lang w:val="en-US" w:eastAsia="zh-CN"/>
                <w14:textFill>
                  <w14:solidFill>
                    <w14:schemeClr w14:val="tx1"/>
                  </w14:solidFill>
                </w14:textFill>
              </w:rPr>
              <w:t>土</w:t>
            </w:r>
          </w:p>
          <w:p>
            <w:pPr>
              <w:keepNext w:val="0"/>
              <w:keepLines w:val="0"/>
              <w:widowControl w:val="0"/>
              <w:suppressLineNumbers w:val="0"/>
              <w:spacing w:before="0" w:beforeAutospacing="0" w:after="0" w:afterAutospacing="0" w:line="360" w:lineRule="auto"/>
              <w:ind w:left="0" w:right="0" w:firstLine="480" w:firstLineChars="200"/>
              <w:jc w:val="both"/>
              <w:rPr>
                <w:rFonts w:hint="eastAsia" w:cs="宋体"/>
                <w:b w:val="0"/>
                <w:bCs w:val="0"/>
                <w:color w:val="000000" w:themeColor="text1"/>
                <w:kern w:val="2"/>
                <w:sz w:val="24"/>
                <w:szCs w:val="24"/>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根据项目水保资料中土石方平衡计算结果，</w:t>
            </w:r>
            <w:r>
              <w:rPr>
                <w:rFonts w:hint="eastAsia" w:cs="宋体"/>
                <w:color w:val="000000" w:themeColor="text1"/>
                <w:kern w:val="2"/>
                <w:sz w:val="24"/>
                <w:szCs w:val="24"/>
                <w:highlight w:val="none"/>
                <w:lang w:val="en-US" w:eastAsia="zh-CN" w:bidi="ar"/>
                <w14:textFill>
                  <w14:solidFill>
                    <w14:schemeClr w14:val="tx1"/>
                  </w14:solidFill>
                </w14:textFill>
              </w:rPr>
              <w:t>本项目施工期产生</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弃方</w:t>
            </w:r>
            <w:r>
              <w:rPr>
                <w:rFonts w:hint="eastAsia" w:cs="Times New Roman"/>
                <w:color w:val="000000" w:themeColor="text1"/>
                <w:kern w:val="2"/>
                <w:sz w:val="24"/>
                <w:szCs w:val="24"/>
                <w:highlight w:val="none"/>
                <w:lang w:val="en-US" w:eastAsia="zh-CN" w:bidi="ar"/>
                <w14:textFill>
                  <w14:solidFill>
                    <w14:schemeClr w14:val="tx1"/>
                  </w14:solidFill>
                </w14:textFill>
              </w:rPr>
              <w:t>7.26</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万</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m</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³</w:t>
            </w:r>
            <w:r>
              <w:rPr>
                <w:rFonts w:hint="eastAsia" w:cs="宋体"/>
                <w:color w:val="000000" w:themeColor="text1"/>
                <w:kern w:val="2"/>
                <w:sz w:val="24"/>
                <w:szCs w:val="24"/>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本项目不设弃渣场，</w:t>
            </w:r>
            <w:r>
              <w:rPr>
                <w:rFonts w:hint="eastAsia" w:cs="宋体"/>
                <w:color w:val="000000" w:themeColor="text1"/>
                <w:kern w:val="2"/>
                <w:sz w:val="24"/>
                <w:szCs w:val="24"/>
                <w:highlight w:val="none"/>
                <w:lang w:val="en-US" w:eastAsia="zh-CN" w:bidi="ar"/>
                <w14:textFill>
                  <w14:solidFill>
                    <w14:schemeClr w14:val="tx1"/>
                  </w14:solidFill>
                </w14:textFill>
              </w:rPr>
              <w:t>弃土在临时堆土场暂存，弃方均外运至政府指定弃渣场</w:t>
            </w:r>
            <w:r>
              <w:rPr>
                <w:rFonts w:hint="eastAsia" w:ascii="Times New Roman" w:hAnsi="Times New Roman" w:eastAsia="宋体" w:cs="宋体"/>
                <w:b w:val="0"/>
                <w:bCs w:val="0"/>
                <w:color w:val="000000" w:themeColor="text1"/>
                <w:kern w:val="2"/>
                <w:sz w:val="24"/>
                <w:szCs w:val="24"/>
                <w:highlight w:val="none"/>
                <w:lang w:val="en-US" w:eastAsia="zh-CN" w:bidi="ar"/>
                <w14:textFill>
                  <w14:solidFill>
                    <w14:schemeClr w14:val="tx1"/>
                  </w14:solidFill>
                </w14:textFill>
              </w:rPr>
              <w:t>。为有效防治</w:t>
            </w:r>
            <w:r>
              <w:rPr>
                <w:rFonts w:hint="eastAsia" w:cs="宋体"/>
                <w:b w:val="0"/>
                <w:bCs w:val="0"/>
                <w:color w:val="000000" w:themeColor="text1"/>
                <w:kern w:val="2"/>
                <w:sz w:val="24"/>
                <w:szCs w:val="24"/>
                <w:highlight w:val="none"/>
                <w:lang w:val="en-US" w:eastAsia="zh-CN" w:bidi="ar"/>
                <w14:textFill>
                  <w14:solidFill>
                    <w14:schemeClr w14:val="tx1"/>
                  </w14:solidFill>
                </w14:textFill>
              </w:rPr>
              <w:t>弃土</w:t>
            </w:r>
            <w:r>
              <w:rPr>
                <w:rFonts w:hint="eastAsia" w:ascii="Times New Roman" w:hAnsi="Times New Roman" w:eastAsia="宋体" w:cs="宋体"/>
                <w:b w:val="0"/>
                <w:bCs w:val="0"/>
                <w:color w:val="000000" w:themeColor="text1"/>
                <w:kern w:val="2"/>
                <w:sz w:val="24"/>
                <w:szCs w:val="24"/>
                <w:highlight w:val="none"/>
                <w:lang w:val="en-US" w:eastAsia="zh-CN" w:bidi="ar"/>
                <w14:textFill>
                  <w14:solidFill>
                    <w14:schemeClr w14:val="tx1"/>
                  </w14:solidFill>
                </w14:textFill>
              </w:rPr>
              <w:t>污染环境的现象，</w:t>
            </w:r>
            <w:r>
              <w:rPr>
                <w:rFonts w:hint="eastAsia" w:cs="宋体"/>
                <w:b w:val="0"/>
                <w:bCs w:val="0"/>
                <w:color w:val="000000" w:themeColor="text1"/>
                <w:kern w:val="2"/>
                <w:sz w:val="24"/>
                <w:szCs w:val="24"/>
                <w:highlight w:val="none"/>
                <w:lang w:val="en-US" w:eastAsia="zh-CN" w:bidi="ar"/>
                <w14:textFill>
                  <w14:solidFill>
                    <w14:schemeClr w14:val="tx1"/>
                  </w14:solidFill>
                </w14:textFill>
              </w:rPr>
              <w:t>拟采取以下措施：</w:t>
            </w:r>
          </w:p>
          <w:p>
            <w:pPr>
              <w:keepNext w:val="0"/>
              <w:keepLines w:val="0"/>
              <w:widowControl w:val="0"/>
              <w:suppressLineNumbers w:val="0"/>
              <w:spacing w:before="0" w:beforeAutospacing="0" w:after="0" w:afterAutospacing="0" w:line="360" w:lineRule="auto"/>
              <w:ind w:left="0" w:right="0" w:firstLine="480" w:firstLineChars="200"/>
              <w:jc w:val="both"/>
              <w:rPr>
                <w:rFonts w:hint="eastAsia" w:cs="宋体"/>
                <w:b w:val="0"/>
                <w:bCs w:val="0"/>
                <w:color w:val="000000" w:themeColor="text1"/>
                <w:kern w:val="2"/>
                <w:sz w:val="24"/>
                <w:szCs w:val="24"/>
                <w:highlight w:val="none"/>
                <w:lang w:val="en-US" w:eastAsia="zh-CN" w:bidi="ar"/>
                <w14:textFill>
                  <w14:solidFill>
                    <w14:schemeClr w14:val="tx1"/>
                  </w14:solidFill>
                </w14:textFill>
              </w:rPr>
            </w:pPr>
            <w:r>
              <w:rPr>
                <w:rFonts w:hint="default" w:cs="宋体"/>
                <w:b w:val="0"/>
                <w:bCs w:val="0"/>
                <w:color w:val="000000" w:themeColor="text1"/>
                <w:kern w:val="2"/>
                <w:sz w:val="24"/>
                <w:szCs w:val="24"/>
                <w:highlight w:val="none"/>
                <w:lang w:val="en-US" w:eastAsia="zh-CN" w:bidi="ar"/>
                <w14:textFill>
                  <w14:solidFill>
                    <w14:schemeClr w14:val="tx1"/>
                  </w14:solidFill>
                </w14:textFill>
              </w:rPr>
              <w:t>①</w:t>
            </w:r>
            <w:r>
              <w:rPr>
                <w:rFonts w:hint="eastAsia" w:cs="宋体"/>
                <w:b w:val="0"/>
                <w:bCs w:val="0"/>
                <w:color w:val="000000" w:themeColor="text1"/>
                <w:kern w:val="2"/>
                <w:sz w:val="24"/>
                <w:szCs w:val="24"/>
                <w:highlight w:val="none"/>
                <w:lang w:val="en-US" w:eastAsia="zh-CN" w:bidi="ar"/>
                <w14:textFill>
                  <w14:solidFill>
                    <w14:schemeClr w14:val="tx1"/>
                  </w14:solidFill>
                </w14:textFill>
              </w:rPr>
              <w:t>临时堆土场四周拟设置截水沟，并在截水沟出口处设置1个沉沙凼（沉沙凼规格为长×宽×深＝300cm×500cm×100cm，沉沙凼容积10m</w:t>
            </w:r>
            <w:r>
              <w:rPr>
                <w:rFonts w:hint="eastAsia" w:cs="宋体"/>
                <w:b w:val="0"/>
                <w:bCs w:val="0"/>
                <w:color w:val="000000" w:themeColor="text1"/>
                <w:kern w:val="2"/>
                <w:sz w:val="24"/>
                <w:szCs w:val="24"/>
                <w:highlight w:val="none"/>
                <w:vertAlign w:val="superscript"/>
                <w:lang w:val="en-US" w:eastAsia="zh-CN" w:bidi="ar"/>
                <w14:textFill>
                  <w14:solidFill>
                    <w14:schemeClr w14:val="tx1"/>
                  </w14:solidFill>
                </w14:textFill>
              </w:rPr>
              <w:t>3</w:t>
            </w:r>
            <w:r>
              <w:rPr>
                <w:rFonts w:hint="eastAsia" w:cs="宋体"/>
                <w:b w:val="0"/>
                <w:bCs w:val="0"/>
                <w:color w:val="000000" w:themeColor="text1"/>
                <w:kern w:val="2"/>
                <w:sz w:val="24"/>
                <w:szCs w:val="24"/>
                <w:highlight w:val="none"/>
                <w:lang w:val="en-US" w:eastAsia="zh-CN" w:bidi="ar"/>
                <w14:textFill>
                  <w14:solidFill>
                    <w14:schemeClr w14:val="tx1"/>
                  </w14:solidFill>
                </w14:textFill>
              </w:rPr>
              <w:t>，采用机砖衬砌，砂浆抹面）。</w:t>
            </w:r>
          </w:p>
          <w:p>
            <w:pPr>
              <w:keepNext w:val="0"/>
              <w:keepLines w:val="0"/>
              <w:widowControl w:val="0"/>
              <w:suppressLineNumbers w:val="0"/>
              <w:spacing w:before="0" w:beforeAutospacing="0" w:after="0" w:afterAutospacing="0" w:line="360" w:lineRule="auto"/>
              <w:ind w:left="0" w:right="0" w:firstLine="480" w:firstLineChars="200"/>
              <w:jc w:val="both"/>
              <w:rPr>
                <w:rFonts w:hint="eastAsia" w:eastAsia="宋体"/>
                <w:b w:val="0"/>
                <w:bCs w:val="0"/>
                <w:color w:val="000000" w:themeColor="text1"/>
                <w:sz w:val="24"/>
                <w:szCs w:val="24"/>
                <w:highlight w:val="none"/>
                <w:lang w:val="en-US" w:eastAsia="zh-CN"/>
                <w14:textFill>
                  <w14:solidFill>
                    <w14:schemeClr w14:val="tx1"/>
                  </w14:solidFill>
                </w14:textFill>
              </w:rPr>
            </w:pPr>
            <w:r>
              <w:rPr>
                <w:rFonts w:hint="default" w:cs="宋体"/>
                <w:b w:val="0"/>
                <w:bCs w:val="0"/>
                <w:color w:val="000000" w:themeColor="text1"/>
                <w:kern w:val="2"/>
                <w:sz w:val="24"/>
                <w:szCs w:val="24"/>
                <w:highlight w:val="none"/>
                <w:lang w:val="en-US" w:eastAsia="zh-CN" w:bidi="ar"/>
                <w14:textFill>
                  <w14:solidFill>
                    <w14:schemeClr w14:val="tx1"/>
                  </w14:solidFill>
                </w14:textFill>
              </w:rPr>
              <w:t>②</w:t>
            </w:r>
            <w:r>
              <w:rPr>
                <w:rFonts w:hint="eastAsia" w:cs="宋体"/>
                <w:b w:val="0"/>
                <w:bCs w:val="0"/>
                <w:color w:val="000000" w:themeColor="text1"/>
                <w:kern w:val="2"/>
                <w:sz w:val="24"/>
                <w:szCs w:val="24"/>
                <w:highlight w:val="none"/>
                <w:lang w:val="en-US" w:eastAsia="zh-CN" w:bidi="ar"/>
                <w14:textFill>
                  <w14:solidFill>
                    <w14:schemeClr w14:val="tx1"/>
                  </w14:solidFill>
                </w14:textFill>
              </w:rPr>
              <w:t>临时堆土场表面应压实并铺设</w:t>
            </w:r>
            <w:r>
              <w:rPr>
                <w:rFonts w:hint="eastAsia"/>
                <w:bCs/>
                <w:color w:val="000000" w:themeColor="text1"/>
                <w:sz w:val="24"/>
                <w:highlight w:val="none"/>
                <w14:textFill>
                  <w14:solidFill>
                    <w14:schemeClr w14:val="tx1"/>
                  </w14:solidFill>
                </w14:textFill>
              </w:rPr>
              <w:t>苫布</w:t>
            </w:r>
            <w:r>
              <w:rPr>
                <w:rFonts w:hint="eastAsia"/>
                <w:bCs/>
                <w:color w:val="000000" w:themeColor="text1"/>
                <w:sz w:val="24"/>
                <w:highlight w:val="none"/>
                <w:lang w:eastAsia="zh-CN"/>
                <w14:textFill>
                  <w14:solidFill>
                    <w14:schemeClr w14:val="tx1"/>
                  </w14:solidFill>
                </w14:textFill>
              </w:rPr>
              <w:t>。</w:t>
            </w:r>
          </w:p>
          <w:p>
            <w:pPr>
              <w:keepNext w:val="0"/>
              <w:keepLines w:val="0"/>
              <w:widowControl w:val="0"/>
              <w:suppressLineNumbers w:val="0"/>
              <w:tabs>
                <w:tab w:val="left" w:pos="900"/>
              </w:tabs>
              <w:spacing w:before="0" w:beforeAutospacing="0" w:after="0" w:afterAutospacing="0" w:line="360" w:lineRule="auto"/>
              <w:ind w:left="0" w:right="0" w:firstLine="480"/>
              <w:jc w:val="both"/>
              <w:textAlignment w:val="baseline"/>
              <w:rPr>
                <w:bCs/>
                <w:color w:val="000000" w:themeColor="text1"/>
                <w:sz w:val="24"/>
                <w:szCs w:val="24"/>
                <w:highlight w:val="none"/>
                <w:vertAlign w:val="baseline"/>
                <w:lang w:val="en-US"/>
                <w14:textFill>
                  <w14:solidFill>
                    <w14:schemeClr w14:val="tx1"/>
                  </w14:solidFill>
                </w14:textFill>
              </w:rPr>
            </w:pPr>
            <w:r>
              <w:rPr>
                <w:rFonts w:hint="default" w:cs="宋体"/>
                <w:b w:val="0"/>
                <w:bCs w:val="0"/>
                <w:color w:val="000000" w:themeColor="text1"/>
                <w:kern w:val="2"/>
                <w:sz w:val="24"/>
                <w:szCs w:val="24"/>
                <w:highlight w:val="none"/>
                <w:lang w:val="en-US" w:eastAsia="zh-CN" w:bidi="ar"/>
                <w14:textFill>
                  <w14:solidFill>
                    <w14:schemeClr w14:val="tx1"/>
                  </w14:solidFill>
                </w14:textFill>
              </w:rPr>
              <w:t>③</w:t>
            </w:r>
            <w:r>
              <w:rPr>
                <w:rFonts w:hint="eastAsia" w:ascii="Times New Roman" w:hAnsi="Times New Roman" w:eastAsia="宋体" w:cs="宋体"/>
                <w:bCs/>
                <w:color w:val="000000" w:themeColor="text1"/>
                <w:kern w:val="2"/>
                <w:sz w:val="24"/>
                <w:szCs w:val="24"/>
                <w:highlight w:val="none"/>
                <w:vertAlign w:val="baseline"/>
                <w:lang w:val="en-US" w:eastAsia="zh-CN" w:bidi="ar"/>
                <w14:textFill>
                  <w14:solidFill>
                    <w14:schemeClr w14:val="tx1"/>
                  </w14:solidFill>
                </w14:textFill>
              </w:rPr>
              <w:t>弃</w:t>
            </w:r>
            <w:r>
              <w:rPr>
                <w:rFonts w:hint="eastAsia" w:cs="宋体"/>
                <w:bCs/>
                <w:color w:val="000000" w:themeColor="text1"/>
                <w:kern w:val="2"/>
                <w:sz w:val="24"/>
                <w:szCs w:val="24"/>
                <w:highlight w:val="none"/>
                <w:vertAlign w:val="baseline"/>
                <w:lang w:val="en-US" w:eastAsia="zh-CN" w:bidi="ar"/>
                <w14:textFill>
                  <w14:solidFill>
                    <w14:schemeClr w14:val="tx1"/>
                  </w14:solidFill>
                </w14:textFill>
              </w:rPr>
              <w:t>土</w:t>
            </w:r>
            <w:r>
              <w:rPr>
                <w:rFonts w:hint="eastAsia" w:ascii="Times New Roman" w:hAnsi="Times New Roman" w:eastAsia="宋体" w:cs="宋体"/>
                <w:bCs/>
                <w:color w:val="000000" w:themeColor="text1"/>
                <w:kern w:val="2"/>
                <w:sz w:val="24"/>
                <w:szCs w:val="24"/>
                <w:highlight w:val="none"/>
                <w:vertAlign w:val="baseline"/>
                <w:lang w:val="en-US" w:eastAsia="zh-CN" w:bidi="ar"/>
                <w14:textFill>
                  <w14:solidFill>
                    <w14:schemeClr w14:val="tx1"/>
                  </w14:solidFill>
                </w14:textFill>
              </w:rPr>
              <w:t>运输时运输车辆在经过有居民、学校地段时减少或禁止鸣笛，最大限度地做到不扰民；通过路面洒水，尽量做到道路的清洁，以减少运输时产生扬尘。</w:t>
            </w:r>
          </w:p>
          <w:p>
            <w:pPr>
              <w:keepNext w:val="0"/>
              <w:keepLines w:val="0"/>
              <w:suppressLineNumbers w:val="0"/>
              <w:autoSpaceDE w:val="0"/>
              <w:autoSpaceDN w:val="0"/>
              <w:spacing w:before="0" w:beforeAutospacing="0" w:after="0" w:afterAutospacing="0" w:line="360" w:lineRule="auto"/>
              <w:ind w:left="0" w:right="0" w:firstLine="480"/>
              <w:rPr>
                <w:color w:val="000000" w:themeColor="text1"/>
                <w:kern w:val="0"/>
                <w:sz w:val="24"/>
                <w:highlight w:val="none"/>
                <w:lang w:val="zh-CN"/>
                <w14:textFill>
                  <w14:solidFill>
                    <w14:schemeClr w14:val="tx1"/>
                  </w14:solidFill>
                </w14:textFill>
              </w:rPr>
            </w:pPr>
            <w:r>
              <w:rPr>
                <w:rFonts w:hint="default" w:cs="宋体"/>
                <w:b w:val="0"/>
                <w:bCs w:val="0"/>
                <w:color w:val="000000" w:themeColor="text1"/>
                <w:kern w:val="2"/>
                <w:sz w:val="24"/>
                <w:szCs w:val="24"/>
                <w:highlight w:val="none"/>
                <w:lang w:val="en-US" w:eastAsia="zh-CN" w:bidi="ar"/>
                <w14:textFill>
                  <w14:solidFill>
                    <w14:schemeClr w14:val="tx1"/>
                  </w14:solidFill>
                </w14:textFill>
              </w:rPr>
              <w:t>④</w:t>
            </w:r>
            <w:r>
              <w:rPr>
                <w:rFonts w:hint="eastAsia" w:ascii="Times New Roman" w:hAnsi="Times New Roman" w:eastAsia="宋体" w:cs="宋体"/>
                <w:bCs/>
                <w:color w:val="000000" w:themeColor="text1"/>
                <w:kern w:val="2"/>
                <w:sz w:val="24"/>
                <w:szCs w:val="24"/>
                <w:highlight w:val="none"/>
                <w:vertAlign w:val="baseline"/>
                <w:lang w:val="en-US" w:eastAsia="zh-CN" w:bidi="ar"/>
                <w14:textFill>
                  <w14:solidFill>
                    <w14:schemeClr w14:val="tx1"/>
                  </w14:solidFill>
                </w14:textFill>
              </w:rPr>
              <w:t>必须保持运输车辆车况良好，车容车貌整洁，车箱完好无损，严禁车箱底板和四周以及缝隙泄漏泥、砂等污物；必须配备后车箱挡板，凡无后车箱档板的车辆，不准从事土石方运输业务。运输车辆不得超载、超宽、超高运输。运输车辆选择对周围环境影响较小的运输路线，运输车辆出场时必须覆盖篷布</w:t>
            </w:r>
            <w:r>
              <w:rPr>
                <w:rFonts w:hint="eastAsia" w:ascii="Times New Roman" w:hAnsi="Times New Roman" w:eastAsia="宋体" w:cs="宋体"/>
                <w:color w:val="000000" w:themeColor="text1"/>
                <w:kern w:val="0"/>
                <w:sz w:val="24"/>
                <w:szCs w:val="24"/>
                <w:highlight w:val="none"/>
                <w:vertAlign w:val="baseline"/>
                <w:lang w:val="en-US" w:eastAsia="zh-CN" w:bidi="ar"/>
                <w14:textFill>
                  <w14:solidFill>
                    <w14:schemeClr w14:val="tx1"/>
                  </w14:solidFill>
                </w14:textFill>
              </w:rPr>
              <w:t>或密目网</w:t>
            </w:r>
            <w:r>
              <w:rPr>
                <w:rFonts w:hint="eastAsia" w:ascii="Times New Roman" w:hAnsi="Times New Roman" w:eastAsia="宋体" w:cs="宋体"/>
                <w:bCs/>
                <w:color w:val="000000" w:themeColor="text1"/>
                <w:kern w:val="2"/>
                <w:sz w:val="24"/>
                <w:szCs w:val="24"/>
                <w:highlight w:val="none"/>
                <w:vertAlign w:val="baseline"/>
                <w:lang w:val="en-US" w:eastAsia="zh-CN" w:bidi="ar"/>
                <w14:textFill>
                  <w14:solidFill>
                    <w14:schemeClr w14:val="tx1"/>
                  </w14:solidFill>
                </w14:textFill>
              </w:rPr>
              <w:t>，避免在运输过程中的抛洒现象。</w:t>
            </w:r>
          </w:p>
          <w:p>
            <w:pPr>
              <w:keepNext w:val="0"/>
              <w:keepLines w:val="0"/>
              <w:suppressLineNumbers w:val="0"/>
              <w:autoSpaceDE w:val="0"/>
              <w:autoSpaceDN w:val="0"/>
              <w:spacing w:before="0" w:beforeAutospacing="0" w:after="0" w:afterAutospacing="0" w:line="360" w:lineRule="auto"/>
              <w:ind w:left="0" w:right="0" w:firstLine="480"/>
              <w:rPr>
                <w:b/>
                <w:bCs/>
                <w:color w:val="000000" w:themeColor="text1"/>
                <w:kern w:val="0"/>
                <w:sz w:val="24"/>
                <w:highlight w:val="none"/>
                <w:lang w:val="zh-CN"/>
                <w14:textFill>
                  <w14:solidFill>
                    <w14:schemeClr w14:val="tx1"/>
                  </w14:solidFill>
                </w14:textFill>
              </w:rPr>
            </w:pPr>
            <w:r>
              <w:rPr>
                <w:rFonts w:hint="eastAsia"/>
                <w:b/>
                <w:bCs/>
                <w:color w:val="000000" w:themeColor="text1"/>
                <w:kern w:val="0"/>
                <w:sz w:val="24"/>
                <w:highlight w:val="none"/>
                <w:lang w:val="zh-CN"/>
                <w14:textFill>
                  <w14:solidFill>
                    <w14:schemeClr w14:val="tx1"/>
                  </w14:solidFill>
                </w14:textFill>
              </w:rPr>
              <w:t>（</w:t>
            </w:r>
            <w:r>
              <w:rPr>
                <w:b/>
                <w:bCs/>
                <w:color w:val="000000" w:themeColor="text1"/>
                <w:kern w:val="0"/>
                <w:sz w:val="24"/>
                <w:highlight w:val="none"/>
                <w:lang w:val="zh-CN"/>
                <w14:textFill>
                  <w14:solidFill>
                    <w14:schemeClr w14:val="tx1"/>
                  </w14:solidFill>
                </w14:textFill>
              </w:rPr>
              <w:t>2</w:t>
            </w:r>
            <w:r>
              <w:rPr>
                <w:rFonts w:hint="eastAsia"/>
                <w:b/>
                <w:bCs/>
                <w:color w:val="000000" w:themeColor="text1"/>
                <w:kern w:val="0"/>
                <w:sz w:val="24"/>
                <w:highlight w:val="none"/>
                <w:lang w:val="zh-CN"/>
                <w14:textFill>
                  <w14:solidFill>
                    <w14:schemeClr w14:val="tx1"/>
                  </w14:solidFill>
                </w14:textFill>
              </w:rPr>
              <w:t>）</w:t>
            </w:r>
            <w:r>
              <w:rPr>
                <w:rFonts w:hint="eastAsia" w:ascii="Times New Roman" w:hAnsi="Times New Roman" w:eastAsia="宋体" w:cs="宋体"/>
                <w:b/>
                <w:bCs w:val="0"/>
                <w:color w:val="000000" w:themeColor="text1"/>
                <w:kern w:val="2"/>
                <w:sz w:val="24"/>
                <w:szCs w:val="24"/>
                <w:highlight w:val="none"/>
                <w:lang w:val="en-US" w:eastAsia="zh-CN" w:bidi="ar"/>
                <w14:textFill>
                  <w14:solidFill>
                    <w14:schemeClr w14:val="tx1"/>
                  </w14:solidFill>
                </w14:textFill>
              </w:rPr>
              <w:t>建筑垃圾</w:t>
            </w:r>
          </w:p>
          <w:p>
            <w:pPr>
              <w:keepNext w:val="0"/>
              <w:keepLines w:val="0"/>
              <w:suppressLineNumbers w:val="0"/>
              <w:spacing w:before="0" w:beforeAutospacing="0" w:after="0" w:afterAutospacing="0" w:line="360" w:lineRule="auto"/>
              <w:ind w:left="0" w:right="0" w:firstLine="480" w:firstLineChars="200"/>
              <w:rPr>
                <w:color w:val="000000" w:themeColor="text1"/>
                <w:sz w:val="24"/>
                <w:highlight w:val="none"/>
                <w14:textFill>
                  <w14:solidFill>
                    <w14:schemeClr w14:val="tx1"/>
                  </w14:solidFill>
                </w14:textFill>
              </w:rPr>
            </w:pP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根据估算，建筑垃圾量约为50t。施工过程产生的建筑垃圾由建设单位统一分类收集后，能够回收利用的回收利用，能外售的外售，不能回收利用及外售的送至政府指定的建渣堆放处堆放。</w:t>
            </w:r>
          </w:p>
          <w:p>
            <w:pPr>
              <w:keepNext w:val="0"/>
              <w:keepLines w:val="0"/>
              <w:suppressLineNumbers w:val="0"/>
              <w:autoSpaceDE w:val="0"/>
              <w:autoSpaceDN w:val="0"/>
              <w:spacing w:before="0" w:beforeAutospacing="0" w:after="0" w:afterAutospacing="0" w:line="360" w:lineRule="auto"/>
              <w:ind w:left="0" w:right="0" w:firstLine="480"/>
              <w:rPr>
                <w:rFonts w:hint="default"/>
                <w:b/>
                <w:bCs/>
                <w:color w:val="000000" w:themeColor="text1"/>
                <w:kern w:val="0"/>
                <w:sz w:val="24"/>
                <w:highlight w:val="none"/>
                <w:lang w:val="en-US"/>
                <w14:textFill>
                  <w14:solidFill>
                    <w14:schemeClr w14:val="tx1"/>
                  </w14:solidFill>
                </w14:textFill>
              </w:rPr>
            </w:pPr>
            <w:r>
              <w:rPr>
                <w:rFonts w:hint="eastAsia"/>
                <w:b/>
                <w:bCs/>
                <w:color w:val="000000" w:themeColor="text1"/>
                <w:kern w:val="0"/>
                <w:sz w:val="24"/>
                <w:highlight w:val="none"/>
                <w:lang w:val="zh-CN"/>
                <w14:textFill>
                  <w14:solidFill>
                    <w14:schemeClr w14:val="tx1"/>
                  </w14:solidFill>
                </w14:textFill>
              </w:rPr>
              <w:t>（</w:t>
            </w:r>
            <w:r>
              <w:rPr>
                <w:b/>
                <w:bCs/>
                <w:color w:val="000000" w:themeColor="text1"/>
                <w:kern w:val="0"/>
                <w:sz w:val="24"/>
                <w:highlight w:val="none"/>
                <w:lang w:val="zh-CN"/>
                <w14:textFill>
                  <w14:solidFill>
                    <w14:schemeClr w14:val="tx1"/>
                  </w14:solidFill>
                </w14:textFill>
              </w:rPr>
              <w:t>3</w:t>
            </w:r>
            <w:r>
              <w:rPr>
                <w:rFonts w:hint="eastAsia"/>
                <w:b/>
                <w:bCs/>
                <w:color w:val="000000" w:themeColor="text1"/>
                <w:kern w:val="0"/>
                <w:sz w:val="24"/>
                <w:highlight w:val="none"/>
                <w:lang w:val="zh-CN"/>
                <w14:textFill>
                  <w14:solidFill>
                    <w14:schemeClr w14:val="tx1"/>
                  </w14:solidFill>
                </w14:textFill>
              </w:rPr>
              <w:t>）</w:t>
            </w:r>
            <w:r>
              <w:rPr>
                <w:rFonts w:hint="eastAsia" w:cs="Times New Roman"/>
                <w:b/>
                <w:bCs w:val="0"/>
                <w:caps/>
                <w:color w:val="000000" w:themeColor="text1"/>
                <w:kern w:val="2"/>
                <w:sz w:val="24"/>
                <w:szCs w:val="24"/>
                <w:highlight w:val="none"/>
                <w:lang w:val="en-US" w:eastAsia="zh-CN" w:bidi="ar"/>
                <w14:textFill>
                  <w14:solidFill>
                    <w14:schemeClr w14:val="tx1"/>
                  </w14:solidFill>
                </w14:textFill>
              </w:rPr>
              <w:t>生活垃圾</w:t>
            </w:r>
          </w:p>
          <w:p>
            <w:pPr>
              <w:keepNext w:val="0"/>
              <w:keepLines w:val="0"/>
              <w:suppressLineNumbers w:val="0"/>
              <w:autoSpaceDE w:val="0"/>
              <w:autoSpaceDN w:val="0"/>
              <w:spacing w:before="0" w:beforeAutospacing="0" w:after="0" w:afterAutospacing="0" w:line="360" w:lineRule="auto"/>
              <w:ind w:left="0" w:right="0" w:firstLine="480"/>
              <w:rPr>
                <w:color w:val="000000" w:themeColor="text1"/>
                <w:kern w:val="0"/>
                <w:sz w:val="24"/>
                <w:highlight w:val="none"/>
                <w:lang w:val="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本项目生活垃圾主要是施工人员产生的生活垃圾，最高施工人数约</w:t>
            </w:r>
            <w:r>
              <w:rPr>
                <w:rFonts w:hint="eastAsia" w:cs="Times New Roman"/>
                <w:color w:val="000000" w:themeColor="text1"/>
                <w:kern w:val="0"/>
                <w:sz w:val="24"/>
                <w:szCs w:val="24"/>
                <w:highlight w:val="none"/>
                <w:lang w:val="en-US" w:eastAsia="zh-CN" w:bidi="ar"/>
                <w14:textFill>
                  <w14:solidFill>
                    <w14:schemeClr w14:val="tx1"/>
                  </w14:solidFill>
                </w14:textFill>
              </w:rPr>
              <w:t>12</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0</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人，</w:t>
            </w:r>
            <w:r>
              <w:rPr>
                <w:rFonts w:hint="eastAsia"/>
                <w:bCs/>
                <w:color w:val="000000" w:themeColor="text1"/>
                <w:sz w:val="24"/>
                <w:highlight w:val="none"/>
                <w14:textFill>
                  <w14:solidFill>
                    <w14:schemeClr w14:val="tx1"/>
                  </w14:solidFill>
                </w14:textFill>
              </w:rPr>
              <w:t>生活垃圾量为</w:t>
            </w:r>
            <w:r>
              <w:rPr>
                <w:rFonts w:hint="eastAsia"/>
                <w:bCs/>
                <w:color w:val="000000" w:themeColor="text1"/>
                <w:sz w:val="24"/>
                <w:highlight w:val="none"/>
                <w:lang w:val="en-US" w:eastAsia="zh-CN"/>
                <w14:textFill>
                  <w14:solidFill>
                    <w14:schemeClr w14:val="tx1"/>
                  </w14:solidFill>
                </w14:textFill>
              </w:rPr>
              <w:t>24</w:t>
            </w:r>
            <w:r>
              <w:rPr>
                <w:rFonts w:hint="eastAsia"/>
                <w:bCs/>
                <w:color w:val="000000" w:themeColor="text1"/>
                <w:sz w:val="24"/>
                <w:highlight w:val="none"/>
                <w14:textFill>
                  <w14:solidFill>
                    <w14:schemeClr w14:val="tx1"/>
                  </w14:solidFill>
                </w14:textFill>
              </w:rPr>
              <w:t>kg/d</w:t>
            </w: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14:textFill>
                  <w14:solidFill>
                    <w14:schemeClr w14:val="tx1"/>
                  </w14:solidFill>
                </w14:textFill>
              </w:rPr>
              <w:t>生活垃圾集中收集后</w:t>
            </w:r>
            <w:r>
              <w:rPr>
                <w:rFonts w:hint="eastAsia"/>
                <w:bCs/>
                <w:color w:val="000000" w:themeColor="text1"/>
                <w:sz w:val="24"/>
                <w:highlight w:val="none"/>
                <w:lang w:val="en-US" w:eastAsia="zh-CN"/>
                <w14:textFill>
                  <w14:solidFill>
                    <w14:schemeClr w14:val="tx1"/>
                  </w14:solidFill>
                </w14:textFill>
              </w:rPr>
              <w:t>交</w:t>
            </w:r>
            <w:r>
              <w:rPr>
                <w:rFonts w:hint="eastAsia"/>
                <w:bCs/>
                <w:color w:val="000000" w:themeColor="text1"/>
                <w:sz w:val="24"/>
                <w:highlight w:val="none"/>
                <w14:textFill>
                  <w14:solidFill>
                    <w14:schemeClr w14:val="tx1"/>
                  </w14:solidFill>
                </w14:textFill>
              </w:rPr>
              <w:t>由环卫部门处置</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522" w:firstLineChars="200"/>
              <w:rPr>
                <w:b/>
                <w:color w:val="000000" w:themeColor="text1"/>
                <w:spacing w:val="10"/>
                <w:sz w:val="24"/>
                <w:highlight w:val="none"/>
                <w14:textFill>
                  <w14:solidFill>
                    <w14:schemeClr w14:val="tx1"/>
                  </w14:solidFill>
                </w14:textFill>
              </w:rPr>
            </w:pPr>
            <w:r>
              <w:rPr>
                <w:rFonts w:hint="eastAsia"/>
                <w:b/>
                <w:color w:val="000000" w:themeColor="text1"/>
                <w:spacing w:val="10"/>
                <w:sz w:val="24"/>
                <w:highlight w:val="none"/>
                <w:lang w:val="en-US" w:eastAsia="zh-CN"/>
                <w14:textFill>
                  <w14:solidFill>
                    <w14:schemeClr w14:val="tx1"/>
                  </w14:solidFill>
                </w14:textFill>
              </w:rPr>
              <w:t>6</w:t>
            </w:r>
            <w:r>
              <w:rPr>
                <w:b/>
                <w:color w:val="000000" w:themeColor="text1"/>
                <w:spacing w:val="10"/>
                <w:sz w:val="24"/>
                <w:highlight w:val="none"/>
                <w14:textFill>
                  <w14:solidFill>
                    <w14:schemeClr w14:val="tx1"/>
                  </w14:solidFill>
                </w14:textFill>
              </w:rPr>
              <w:t>、</w:t>
            </w:r>
            <w:r>
              <w:rPr>
                <w:rFonts w:hint="eastAsia"/>
                <w:b/>
                <w:color w:val="000000" w:themeColor="text1"/>
                <w:spacing w:val="10"/>
                <w:sz w:val="24"/>
                <w:highlight w:val="none"/>
                <w14:textFill>
                  <w14:solidFill>
                    <w14:schemeClr w14:val="tx1"/>
                  </w14:solidFill>
                </w14:textFill>
              </w:rPr>
              <w:t>特殊天气应急措施</w:t>
            </w:r>
          </w:p>
          <w:p>
            <w:pPr>
              <w:keepNext w:val="0"/>
              <w:keepLines w:val="0"/>
              <w:suppressLineNumbers w:val="0"/>
              <w:autoSpaceDE w:val="0"/>
              <w:autoSpaceDN w:val="0"/>
              <w:spacing w:before="0" w:beforeAutospacing="0" w:after="0" w:afterAutospacing="0" w:line="360" w:lineRule="auto"/>
              <w:ind w:left="0" w:right="0" w:firstLine="480"/>
              <w:rPr>
                <w:rFonts w:hint="eastAsia"/>
                <w:bCs/>
                <w:color w:val="000000" w:themeColor="text1"/>
                <w:sz w:val="24"/>
                <w:szCs w:val="32"/>
                <w:highlight w:val="none"/>
                <w14:textFill>
                  <w14:solidFill>
                    <w14:schemeClr w14:val="tx1"/>
                  </w14:solidFill>
                </w14:textFill>
              </w:rPr>
            </w:pPr>
            <w:r>
              <w:rPr>
                <w:rFonts w:hint="eastAsia"/>
                <w:bCs/>
                <w:color w:val="000000" w:themeColor="text1"/>
                <w:sz w:val="24"/>
                <w:szCs w:val="32"/>
                <w:highlight w:val="none"/>
                <w:lang w:val="en-US" w:eastAsia="zh-CN"/>
                <w14:textFill>
                  <w14:solidFill>
                    <w14:schemeClr w14:val="tx1"/>
                  </w14:solidFill>
                </w14:textFill>
              </w:rPr>
              <w:t>当出现重污染天气时，根据《达州市重污染天气应急预案（</w:t>
            </w:r>
            <w:r>
              <w:rPr>
                <w:rFonts w:hint="default"/>
                <w:bCs/>
                <w:color w:val="000000" w:themeColor="text1"/>
                <w:sz w:val="24"/>
                <w:szCs w:val="32"/>
                <w:highlight w:val="none"/>
                <w:lang w:val="en-US" w:eastAsia="zh-CN"/>
                <w14:textFill>
                  <w14:solidFill>
                    <w14:schemeClr w14:val="tx1"/>
                  </w14:solidFill>
                </w14:textFill>
              </w:rPr>
              <w:t>2022</w:t>
            </w:r>
            <w:r>
              <w:rPr>
                <w:rFonts w:hint="eastAsia"/>
                <w:bCs/>
                <w:color w:val="000000" w:themeColor="text1"/>
                <w:sz w:val="24"/>
                <w:szCs w:val="32"/>
                <w:highlight w:val="none"/>
                <w:lang w:val="en-US" w:eastAsia="zh-CN"/>
                <w14:textFill>
                  <w14:solidFill>
                    <w14:schemeClr w14:val="tx1"/>
                  </w14:solidFill>
                </w14:textFill>
              </w:rPr>
              <w:t>年修订）》中相关规定，应急响应级别由低到高依次为</w:t>
            </w:r>
            <w:r>
              <w:rPr>
                <w:rFonts w:hint="default"/>
                <w:bCs/>
                <w:color w:val="000000" w:themeColor="text1"/>
                <w:sz w:val="24"/>
                <w:szCs w:val="32"/>
                <w:highlight w:val="none"/>
                <w:lang w:val="en-US" w:eastAsia="zh-CN"/>
                <w14:textFill>
                  <w14:solidFill>
                    <w14:schemeClr w14:val="tx1"/>
                  </w14:solidFill>
                </w14:textFill>
              </w:rPr>
              <w:t>III</w:t>
            </w:r>
            <w:r>
              <w:rPr>
                <w:rFonts w:hint="eastAsia"/>
                <w:bCs/>
                <w:color w:val="000000" w:themeColor="text1"/>
                <w:sz w:val="24"/>
                <w:szCs w:val="32"/>
                <w:highlight w:val="none"/>
                <w:lang w:val="en-US" w:eastAsia="zh-CN"/>
                <w14:textFill>
                  <w14:solidFill>
                    <w14:schemeClr w14:val="tx1"/>
                  </w14:solidFill>
                </w14:textFill>
              </w:rPr>
              <w:t>级应急响应、</w:t>
            </w:r>
            <w:r>
              <w:rPr>
                <w:rFonts w:hint="default"/>
                <w:bCs/>
                <w:color w:val="000000" w:themeColor="text1"/>
                <w:sz w:val="24"/>
                <w:szCs w:val="32"/>
                <w:highlight w:val="none"/>
                <w:lang w:val="en-US" w:eastAsia="zh-CN"/>
                <w14:textFill>
                  <w14:solidFill>
                    <w14:schemeClr w14:val="tx1"/>
                  </w14:solidFill>
                </w14:textFill>
              </w:rPr>
              <w:t>II</w:t>
            </w:r>
            <w:r>
              <w:rPr>
                <w:rFonts w:hint="eastAsia"/>
                <w:bCs/>
                <w:color w:val="000000" w:themeColor="text1"/>
                <w:sz w:val="24"/>
                <w:szCs w:val="32"/>
                <w:highlight w:val="none"/>
                <w:lang w:val="en-US" w:eastAsia="zh-CN"/>
                <w14:textFill>
                  <w14:solidFill>
                    <w14:schemeClr w14:val="tx1"/>
                  </w14:solidFill>
                </w14:textFill>
              </w:rPr>
              <w:t>级应急响应、</w:t>
            </w:r>
            <w:r>
              <w:rPr>
                <w:rFonts w:hint="default"/>
                <w:bCs/>
                <w:color w:val="000000" w:themeColor="text1"/>
                <w:sz w:val="24"/>
                <w:szCs w:val="32"/>
                <w:highlight w:val="none"/>
                <w:lang w:val="en-US" w:eastAsia="zh-CN"/>
                <w14:textFill>
                  <w14:solidFill>
                    <w14:schemeClr w14:val="tx1"/>
                  </w14:solidFill>
                </w14:textFill>
              </w:rPr>
              <w:t>I</w:t>
            </w:r>
            <w:r>
              <w:rPr>
                <w:rFonts w:hint="eastAsia"/>
                <w:bCs/>
                <w:color w:val="000000" w:themeColor="text1"/>
                <w:sz w:val="24"/>
                <w:szCs w:val="32"/>
                <w:highlight w:val="none"/>
                <w:lang w:val="en-US" w:eastAsia="zh-CN"/>
                <w14:textFill>
                  <w14:solidFill>
                    <w14:schemeClr w14:val="tx1"/>
                  </w14:solidFill>
                </w14:textFill>
              </w:rPr>
              <w:t>级应急响应。对应预警级别，重污染天气应急响应级别分为三个等级，分别为黄色预警启动</w:t>
            </w:r>
            <w:r>
              <w:rPr>
                <w:rFonts w:hint="default"/>
                <w:bCs/>
                <w:color w:val="000000" w:themeColor="text1"/>
                <w:sz w:val="24"/>
                <w:szCs w:val="32"/>
                <w:highlight w:val="none"/>
                <w:lang w:val="en-US" w:eastAsia="zh-CN"/>
                <w14:textFill>
                  <w14:solidFill>
                    <w14:schemeClr w14:val="tx1"/>
                  </w14:solidFill>
                </w14:textFill>
              </w:rPr>
              <w:t>III</w:t>
            </w:r>
            <w:r>
              <w:rPr>
                <w:rFonts w:hint="eastAsia"/>
                <w:bCs/>
                <w:color w:val="000000" w:themeColor="text1"/>
                <w:sz w:val="24"/>
                <w:szCs w:val="32"/>
                <w:highlight w:val="none"/>
                <w:lang w:val="en-US" w:eastAsia="zh-CN"/>
                <w14:textFill>
                  <w14:solidFill>
                    <w14:schemeClr w14:val="tx1"/>
                  </w14:solidFill>
                </w14:textFill>
              </w:rPr>
              <w:t>级应急响应；橙色预警启动</w:t>
            </w:r>
            <w:r>
              <w:rPr>
                <w:rFonts w:hint="default"/>
                <w:bCs/>
                <w:color w:val="000000" w:themeColor="text1"/>
                <w:sz w:val="24"/>
                <w:szCs w:val="32"/>
                <w:highlight w:val="none"/>
                <w:lang w:val="en-US" w:eastAsia="zh-CN"/>
                <w14:textFill>
                  <w14:solidFill>
                    <w14:schemeClr w14:val="tx1"/>
                  </w14:solidFill>
                </w14:textFill>
              </w:rPr>
              <w:t>II</w:t>
            </w:r>
            <w:r>
              <w:rPr>
                <w:rFonts w:hint="eastAsia"/>
                <w:bCs/>
                <w:color w:val="000000" w:themeColor="text1"/>
                <w:sz w:val="24"/>
                <w:szCs w:val="32"/>
                <w:highlight w:val="none"/>
                <w:lang w:val="en-US" w:eastAsia="zh-CN"/>
                <w14:textFill>
                  <w14:solidFill>
                    <w14:schemeClr w14:val="tx1"/>
                  </w14:solidFill>
                </w14:textFill>
              </w:rPr>
              <w:t>级应急响应；红色预警启动</w:t>
            </w:r>
            <w:r>
              <w:rPr>
                <w:rFonts w:hint="default"/>
                <w:bCs/>
                <w:color w:val="000000" w:themeColor="text1"/>
                <w:sz w:val="24"/>
                <w:szCs w:val="32"/>
                <w:highlight w:val="none"/>
                <w:lang w:val="en-US" w:eastAsia="zh-CN"/>
                <w14:textFill>
                  <w14:solidFill>
                    <w14:schemeClr w14:val="tx1"/>
                  </w14:solidFill>
                </w14:textFill>
              </w:rPr>
              <w:t>I</w:t>
            </w:r>
            <w:r>
              <w:rPr>
                <w:rFonts w:hint="eastAsia"/>
                <w:bCs/>
                <w:color w:val="000000" w:themeColor="text1"/>
                <w:sz w:val="24"/>
                <w:szCs w:val="32"/>
                <w:highlight w:val="none"/>
                <w:lang w:val="en-US" w:eastAsia="zh-CN"/>
                <w14:textFill>
                  <w14:solidFill>
                    <w14:schemeClr w14:val="tx1"/>
                  </w14:solidFill>
                </w14:textFill>
              </w:rPr>
              <w:t>级应急响应。</w:t>
            </w:r>
          </w:p>
          <w:p>
            <w:pPr>
              <w:keepNext w:val="0"/>
              <w:keepLines w:val="0"/>
              <w:suppressLineNumbers w:val="0"/>
              <w:autoSpaceDE w:val="0"/>
              <w:autoSpaceDN w:val="0"/>
              <w:spacing w:before="0" w:beforeAutospacing="0" w:after="0" w:afterAutospacing="0" w:line="360" w:lineRule="auto"/>
              <w:ind w:left="0" w:right="0" w:firstLine="480"/>
              <w:rPr>
                <w:rFonts w:hint="eastAsia"/>
                <w:bCs/>
                <w:color w:val="000000" w:themeColor="text1"/>
                <w:sz w:val="24"/>
                <w:szCs w:val="32"/>
                <w:highlight w:val="none"/>
                <w14:textFill>
                  <w14:solidFill>
                    <w14:schemeClr w14:val="tx1"/>
                  </w14:solidFill>
                </w14:textFill>
              </w:rPr>
            </w:pPr>
            <w:r>
              <w:rPr>
                <w:rFonts w:hint="eastAsia"/>
                <w:bCs/>
                <w:color w:val="000000" w:themeColor="text1"/>
                <w:sz w:val="24"/>
                <w:szCs w:val="32"/>
                <w:highlight w:val="none"/>
                <w:lang w:val="en-US" w:eastAsia="zh-CN"/>
                <w14:textFill>
                  <w14:solidFill>
                    <w14:schemeClr w14:val="tx1"/>
                  </w14:solidFill>
                </w14:textFill>
              </w:rPr>
              <w:t>在不同的响应级别中，《达州市重污染天气应急预案（</w:t>
            </w:r>
            <w:r>
              <w:rPr>
                <w:rFonts w:hint="default"/>
                <w:bCs/>
                <w:color w:val="000000" w:themeColor="text1"/>
                <w:sz w:val="24"/>
                <w:szCs w:val="32"/>
                <w:highlight w:val="none"/>
                <w:lang w:val="en-US" w:eastAsia="zh-CN"/>
                <w14:textFill>
                  <w14:solidFill>
                    <w14:schemeClr w14:val="tx1"/>
                  </w14:solidFill>
                </w14:textFill>
              </w:rPr>
              <w:t>2022</w:t>
            </w:r>
            <w:r>
              <w:rPr>
                <w:rFonts w:hint="eastAsia"/>
                <w:bCs/>
                <w:color w:val="000000" w:themeColor="text1"/>
                <w:sz w:val="24"/>
                <w:szCs w:val="32"/>
                <w:highlight w:val="none"/>
                <w:lang w:val="en-US" w:eastAsia="zh-CN"/>
                <w14:textFill>
                  <w14:solidFill>
                    <w14:schemeClr w14:val="tx1"/>
                  </w14:solidFill>
                </w14:textFill>
              </w:rPr>
              <w:t>年修订）》规定，建设工地应采取相应的应急措施如下（节选）：</w:t>
            </w:r>
          </w:p>
          <w:p>
            <w:pPr>
              <w:keepNext w:val="0"/>
              <w:keepLines w:val="0"/>
              <w:suppressLineNumbers w:val="0"/>
              <w:autoSpaceDE w:val="0"/>
              <w:autoSpaceDN w:val="0"/>
              <w:spacing w:before="0" w:beforeAutospacing="0" w:after="0" w:afterAutospacing="0" w:line="360" w:lineRule="auto"/>
              <w:ind w:left="0" w:right="0" w:firstLine="480"/>
              <w:rPr>
                <w:rFonts w:hint="eastAsia"/>
                <w:bCs/>
                <w:color w:val="000000" w:themeColor="text1"/>
                <w:sz w:val="24"/>
                <w:szCs w:val="32"/>
                <w:highlight w:val="none"/>
                <w14:textFill>
                  <w14:solidFill>
                    <w14:schemeClr w14:val="tx1"/>
                  </w14:solidFill>
                </w14:textFill>
              </w:rPr>
            </w:pPr>
            <w:r>
              <w:rPr>
                <w:rFonts w:hint="default"/>
                <w:b/>
                <w:bCs w:val="0"/>
                <w:color w:val="000000" w:themeColor="text1"/>
                <w:sz w:val="24"/>
                <w:szCs w:val="32"/>
                <w:highlight w:val="none"/>
                <w:lang w:val="en-US" w:eastAsia="zh-CN"/>
                <w14:textFill>
                  <w14:solidFill>
                    <w14:schemeClr w14:val="tx1"/>
                  </w14:solidFill>
                </w14:textFill>
              </w:rPr>
              <w:t>III</w:t>
            </w:r>
            <w:r>
              <w:rPr>
                <w:rFonts w:hint="eastAsia"/>
                <w:b/>
                <w:bCs w:val="0"/>
                <w:color w:val="000000" w:themeColor="text1"/>
                <w:sz w:val="24"/>
                <w:szCs w:val="32"/>
                <w:highlight w:val="none"/>
                <w:lang w:val="en-US" w:eastAsia="zh-CN"/>
                <w14:textFill>
                  <w14:solidFill>
                    <w14:schemeClr w14:val="tx1"/>
                  </w14:solidFill>
                </w14:textFill>
              </w:rPr>
              <w:t>级应急响应建设工地应当采取的措施：</w:t>
            </w:r>
            <w:r>
              <w:rPr>
                <w:rFonts w:hint="eastAsia"/>
                <w:bCs/>
                <w:color w:val="000000" w:themeColor="text1"/>
                <w:sz w:val="24"/>
                <w:szCs w:val="32"/>
                <w:highlight w:val="none"/>
                <w:lang w:val="en-US" w:eastAsia="zh-CN"/>
                <w14:textFill>
                  <w14:solidFill>
                    <w14:schemeClr w14:val="tx1"/>
                  </w14:solidFill>
                </w14:textFill>
              </w:rPr>
              <w:t>停止除应急抢险外施工工地土石方作业（包括停止土石方开挖、回填、场内倒运、土石方转运、掺拌石灰、混凝土剔凿等作业，停止建筑工程配套道路和管沟开挖作业）；停止建筑工地室外喷涂、粉刷作业，基坑护坡粉浆作业；停止石材切割作业，停运建筑垃圾、渣土、砂石。在日常道路保洁频次的基础上，增加清扫、洒水、喷雾等作业频次。</w:t>
            </w:r>
          </w:p>
          <w:p>
            <w:pPr>
              <w:keepNext w:val="0"/>
              <w:keepLines w:val="0"/>
              <w:suppressLineNumbers w:val="0"/>
              <w:autoSpaceDE w:val="0"/>
              <w:autoSpaceDN w:val="0"/>
              <w:spacing w:before="0" w:beforeAutospacing="0" w:after="0" w:afterAutospacing="0" w:line="360" w:lineRule="auto"/>
              <w:ind w:left="0" w:right="0" w:firstLine="480"/>
              <w:rPr>
                <w:rFonts w:hint="eastAsia"/>
                <w:bCs/>
                <w:color w:val="000000" w:themeColor="text1"/>
                <w:sz w:val="24"/>
                <w:szCs w:val="32"/>
                <w:highlight w:val="none"/>
                <w14:textFill>
                  <w14:solidFill>
                    <w14:schemeClr w14:val="tx1"/>
                  </w14:solidFill>
                </w14:textFill>
              </w:rPr>
            </w:pPr>
            <w:r>
              <w:rPr>
                <w:rFonts w:hint="eastAsia"/>
                <w:bCs/>
                <w:color w:val="000000" w:themeColor="text1"/>
                <w:sz w:val="24"/>
                <w:szCs w:val="32"/>
                <w:highlight w:val="none"/>
                <w:lang w:val="en-US" w:eastAsia="zh-CN"/>
                <w14:textFill>
                  <w14:solidFill>
                    <w14:schemeClr w14:val="tx1"/>
                  </w14:solidFill>
                </w14:textFill>
              </w:rPr>
              <w:t>政府确定的重点建设项目、民生工程、应急抢险施工等根据需要可继续作业，但应严格落实</w:t>
            </w:r>
            <w:r>
              <w:rPr>
                <w:rFonts w:hint="default"/>
                <w:bCs/>
                <w:color w:val="000000" w:themeColor="text1"/>
                <w:sz w:val="24"/>
                <w:szCs w:val="32"/>
                <w:highlight w:val="none"/>
                <w:lang w:val="en-US" w:eastAsia="zh-CN"/>
                <w14:textFill>
                  <w14:solidFill>
                    <w14:schemeClr w14:val="tx1"/>
                  </w14:solidFill>
                </w14:textFill>
              </w:rPr>
              <w:t>“</w:t>
            </w:r>
            <w:r>
              <w:rPr>
                <w:rFonts w:hint="eastAsia"/>
                <w:bCs/>
                <w:color w:val="000000" w:themeColor="text1"/>
                <w:sz w:val="24"/>
                <w:szCs w:val="32"/>
                <w:highlight w:val="none"/>
                <w:lang w:val="en-US" w:eastAsia="zh-CN"/>
                <w14:textFill>
                  <w14:solidFill>
                    <w14:schemeClr w14:val="tx1"/>
                  </w14:solidFill>
                </w14:textFill>
              </w:rPr>
              <w:t>六必须六不准</w:t>
            </w:r>
            <w:r>
              <w:rPr>
                <w:rFonts w:hint="default"/>
                <w:bCs/>
                <w:color w:val="000000" w:themeColor="text1"/>
                <w:sz w:val="24"/>
                <w:szCs w:val="32"/>
                <w:highlight w:val="none"/>
                <w:lang w:val="en-US" w:eastAsia="zh-CN"/>
                <w14:textFill>
                  <w14:solidFill>
                    <w14:schemeClr w14:val="tx1"/>
                  </w14:solidFill>
                </w14:textFill>
              </w:rPr>
              <w:t>”</w:t>
            </w:r>
            <w:r>
              <w:rPr>
                <w:rFonts w:hint="eastAsia"/>
                <w:bCs/>
                <w:color w:val="000000" w:themeColor="text1"/>
                <w:sz w:val="24"/>
                <w:szCs w:val="32"/>
                <w:highlight w:val="none"/>
                <w:lang w:val="en-US" w:eastAsia="zh-CN"/>
                <w14:textFill>
                  <w14:solidFill>
                    <w14:schemeClr w14:val="tx1"/>
                  </w14:solidFill>
                </w14:textFill>
              </w:rPr>
              <w:t>（必须打围作业、必须硬化道路、必须设置冲洗设施、必须湿法作业、必须配齐保洁人员、必须定时清扫施工现场、不准车辆带泥出门、不准高空抛撒建渣、不准现场搅拌混凝土、不准场地积水、不准现场焚烧废弃物、不准现场堆放未覆盖的裸土）要求，裸露场地全部覆盖，增加洒水降尘频次。</w:t>
            </w:r>
          </w:p>
          <w:p>
            <w:pPr>
              <w:keepNext w:val="0"/>
              <w:keepLines w:val="0"/>
              <w:suppressLineNumbers w:val="0"/>
              <w:autoSpaceDE w:val="0"/>
              <w:autoSpaceDN w:val="0"/>
              <w:spacing w:before="0" w:beforeAutospacing="0" w:after="0" w:afterAutospacing="0" w:line="360" w:lineRule="auto"/>
              <w:ind w:left="0" w:right="0" w:firstLine="480"/>
              <w:rPr>
                <w:rFonts w:hint="eastAsia"/>
                <w:bCs/>
                <w:color w:val="000000" w:themeColor="text1"/>
                <w:sz w:val="24"/>
                <w:szCs w:val="32"/>
                <w:highlight w:val="none"/>
                <w14:textFill>
                  <w14:solidFill>
                    <w14:schemeClr w14:val="tx1"/>
                  </w14:solidFill>
                </w14:textFill>
              </w:rPr>
            </w:pPr>
            <w:r>
              <w:rPr>
                <w:rFonts w:hint="default"/>
                <w:b/>
                <w:bCs w:val="0"/>
                <w:color w:val="000000" w:themeColor="text1"/>
                <w:sz w:val="24"/>
                <w:szCs w:val="32"/>
                <w:highlight w:val="none"/>
                <w:lang w:val="en-US" w:eastAsia="zh-CN"/>
                <w14:textFill>
                  <w14:solidFill>
                    <w14:schemeClr w14:val="tx1"/>
                  </w14:solidFill>
                </w14:textFill>
              </w:rPr>
              <w:t>II</w:t>
            </w:r>
            <w:r>
              <w:rPr>
                <w:rFonts w:hint="eastAsia"/>
                <w:b/>
                <w:bCs w:val="0"/>
                <w:color w:val="000000" w:themeColor="text1"/>
                <w:sz w:val="24"/>
                <w:szCs w:val="32"/>
                <w:highlight w:val="none"/>
                <w:lang w:val="en-US" w:eastAsia="zh-CN"/>
                <w14:textFill>
                  <w14:solidFill>
                    <w14:schemeClr w14:val="tx1"/>
                  </w14:solidFill>
                </w14:textFill>
              </w:rPr>
              <w:t>级应急响应建设工地应当采取的措施：</w:t>
            </w:r>
            <w:r>
              <w:rPr>
                <w:rFonts w:hint="eastAsia"/>
                <w:bCs/>
                <w:color w:val="000000" w:themeColor="text1"/>
                <w:sz w:val="24"/>
                <w:szCs w:val="32"/>
                <w:highlight w:val="none"/>
                <w:lang w:val="en-US" w:eastAsia="zh-CN"/>
                <w14:textFill>
                  <w14:solidFill>
                    <w14:schemeClr w14:val="tx1"/>
                  </w14:solidFill>
                </w14:textFill>
              </w:rPr>
              <w:t>与</w:t>
            </w:r>
            <w:r>
              <w:rPr>
                <w:rFonts w:hint="default"/>
                <w:bCs/>
                <w:color w:val="000000" w:themeColor="text1"/>
                <w:sz w:val="24"/>
                <w:szCs w:val="32"/>
                <w:highlight w:val="none"/>
                <w:lang w:val="en-US" w:eastAsia="zh-CN"/>
                <w14:textFill>
                  <w14:solidFill>
                    <w14:schemeClr w14:val="tx1"/>
                  </w14:solidFill>
                </w14:textFill>
              </w:rPr>
              <w:t>III</w:t>
            </w:r>
            <w:r>
              <w:rPr>
                <w:rFonts w:hint="eastAsia"/>
                <w:bCs/>
                <w:color w:val="000000" w:themeColor="text1"/>
                <w:sz w:val="24"/>
                <w:szCs w:val="32"/>
                <w:highlight w:val="none"/>
                <w:lang w:val="en-US" w:eastAsia="zh-CN"/>
                <w14:textFill>
                  <w14:solidFill>
                    <w14:schemeClr w14:val="tx1"/>
                  </w14:solidFill>
                </w14:textFill>
              </w:rPr>
              <w:t>级应急响应一致。</w:t>
            </w:r>
          </w:p>
          <w:p>
            <w:pPr>
              <w:keepNext w:val="0"/>
              <w:keepLines w:val="0"/>
              <w:suppressLineNumbers w:val="0"/>
              <w:autoSpaceDE w:val="0"/>
              <w:autoSpaceDN w:val="0"/>
              <w:spacing w:before="0" w:beforeAutospacing="0" w:after="0" w:afterAutospacing="0" w:line="360" w:lineRule="auto"/>
              <w:ind w:left="0" w:right="0" w:firstLine="480"/>
              <w:rPr>
                <w:rFonts w:hint="eastAsia"/>
                <w:bCs/>
                <w:color w:val="000000" w:themeColor="text1"/>
                <w:sz w:val="24"/>
                <w:szCs w:val="32"/>
                <w:highlight w:val="none"/>
                <w14:textFill>
                  <w14:solidFill>
                    <w14:schemeClr w14:val="tx1"/>
                  </w14:solidFill>
                </w14:textFill>
              </w:rPr>
            </w:pPr>
            <w:r>
              <w:rPr>
                <w:rFonts w:hint="default"/>
                <w:b/>
                <w:bCs w:val="0"/>
                <w:color w:val="000000" w:themeColor="text1"/>
                <w:sz w:val="24"/>
                <w:szCs w:val="32"/>
                <w:highlight w:val="none"/>
                <w:lang w:val="en-US" w:eastAsia="zh-CN"/>
                <w14:textFill>
                  <w14:solidFill>
                    <w14:schemeClr w14:val="tx1"/>
                  </w14:solidFill>
                </w14:textFill>
              </w:rPr>
              <w:t>I</w:t>
            </w:r>
            <w:r>
              <w:rPr>
                <w:rFonts w:hint="eastAsia"/>
                <w:b/>
                <w:bCs w:val="0"/>
                <w:color w:val="000000" w:themeColor="text1"/>
                <w:sz w:val="24"/>
                <w:szCs w:val="32"/>
                <w:highlight w:val="none"/>
                <w:lang w:val="en-US" w:eastAsia="zh-CN"/>
                <w14:textFill>
                  <w14:solidFill>
                    <w14:schemeClr w14:val="tx1"/>
                  </w14:solidFill>
                </w14:textFill>
              </w:rPr>
              <w:t>级应急响应建设工地应当采取的措施：</w:t>
            </w:r>
            <w:r>
              <w:rPr>
                <w:rFonts w:hint="eastAsia"/>
                <w:bCs/>
                <w:color w:val="000000" w:themeColor="text1"/>
                <w:sz w:val="24"/>
                <w:szCs w:val="32"/>
                <w:highlight w:val="none"/>
                <w:lang w:val="en-US" w:eastAsia="zh-CN"/>
                <w14:textFill>
                  <w14:solidFill>
                    <w14:schemeClr w14:val="tx1"/>
                  </w14:solidFill>
                </w14:textFill>
              </w:rPr>
              <w:t>与</w:t>
            </w:r>
            <w:r>
              <w:rPr>
                <w:rFonts w:hint="default"/>
                <w:bCs/>
                <w:color w:val="000000" w:themeColor="text1"/>
                <w:sz w:val="24"/>
                <w:szCs w:val="32"/>
                <w:highlight w:val="none"/>
                <w:lang w:val="en-US" w:eastAsia="zh-CN"/>
                <w14:textFill>
                  <w14:solidFill>
                    <w14:schemeClr w14:val="tx1"/>
                  </w14:solidFill>
                </w14:textFill>
              </w:rPr>
              <w:t>III</w:t>
            </w:r>
            <w:r>
              <w:rPr>
                <w:rFonts w:hint="eastAsia"/>
                <w:bCs/>
                <w:color w:val="000000" w:themeColor="text1"/>
                <w:sz w:val="24"/>
                <w:szCs w:val="32"/>
                <w:highlight w:val="none"/>
                <w:lang w:val="en-US" w:eastAsia="zh-CN"/>
                <w14:textFill>
                  <w14:solidFill>
                    <w14:schemeClr w14:val="tx1"/>
                  </w14:solidFill>
                </w14:textFill>
              </w:rPr>
              <w:t>级应急响应一致。</w:t>
            </w:r>
          </w:p>
          <w:p>
            <w:pPr>
              <w:keepNext w:val="0"/>
              <w:keepLines w:val="0"/>
              <w:suppressLineNumbers w:val="0"/>
              <w:autoSpaceDE w:val="0"/>
              <w:autoSpaceDN w:val="0"/>
              <w:spacing w:before="0" w:beforeAutospacing="0" w:after="0" w:afterAutospacing="0" w:line="360" w:lineRule="auto"/>
              <w:ind w:left="0" w:right="0" w:firstLine="480"/>
              <w:rPr>
                <w:color w:val="000000" w:themeColor="text1"/>
                <w:sz w:val="24"/>
                <w:szCs w:val="32"/>
                <w:highlight w:val="none"/>
                <w14:textFill>
                  <w14:solidFill>
                    <w14:schemeClr w14:val="tx1"/>
                  </w14:solidFill>
                </w14:textFill>
              </w:rPr>
            </w:pPr>
            <w:r>
              <w:rPr>
                <w:rFonts w:hint="eastAsia"/>
                <w:bCs/>
                <w:color w:val="000000" w:themeColor="text1"/>
                <w:sz w:val="24"/>
                <w:szCs w:val="32"/>
                <w:highlight w:val="none"/>
                <w:lang w:val="en-US" w:eastAsia="zh-CN"/>
                <w14:textFill>
                  <w14:solidFill>
                    <w14:schemeClr w14:val="tx1"/>
                  </w14:solidFill>
                </w14:textFill>
              </w:rPr>
              <w:t>通过采取以上大气防治措施，并严格遵守《达州市重污染天气应急预案（</w:t>
            </w:r>
            <w:r>
              <w:rPr>
                <w:rFonts w:hint="default"/>
                <w:bCs/>
                <w:color w:val="000000" w:themeColor="text1"/>
                <w:sz w:val="24"/>
                <w:szCs w:val="32"/>
                <w:highlight w:val="none"/>
                <w:lang w:val="en-US" w:eastAsia="zh-CN"/>
                <w14:textFill>
                  <w14:solidFill>
                    <w14:schemeClr w14:val="tx1"/>
                  </w14:solidFill>
                </w14:textFill>
              </w:rPr>
              <w:t>2022</w:t>
            </w:r>
            <w:r>
              <w:rPr>
                <w:rFonts w:hint="eastAsia"/>
                <w:bCs/>
                <w:color w:val="000000" w:themeColor="text1"/>
                <w:sz w:val="24"/>
                <w:szCs w:val="32"/>
                <w:highlight w:val="none"/>
                <w:lang w:val="en-US" w:eastAsia="zh-CN"/>
                <w14:textFill>
                  <w14:solidFill>
                    <w14:schemeClr w14:val="tx1"/>
                  </w14:solidFill>
                </w14:textFill>
              </w:rPr>
              <w:t>年修订）》中相关要求情况下，可有效减少施工扬尘等废气污染对周围大气环境的影响。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753" w:type="dxa"/>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bCs/>
                <w:color w:val="000000" w:themeColor="text1"/>
                <w:spacing w:val="10"/>
                <w:sz w:val="24"/>
                <w:highlight w:val="none"/>
                <w14:textFill>
                  <w14:solidFill>
                    <w14:schemeClr w14:val="tx1"/>
                  </w14:solidFill>
                </w14:textFill>
              </w:rPr>
            </w:pPr>
            <w:r>
              <w:rPr>
                <w:bCs/>
                <w:color w:val="000000" w:themeColor="text1"/>
                <w:spacing w:val="10"/>
                <w:sz w:val="24"/>
                <w:highlight w:val="none"/>
                <w14:textFill>
                  <w14:solidFill>
                    <w14:schemeClr w14:val="tx1"/>
                  </w14:solidFill>
                </w14:textFill>
              </w:rPr>
              <w:t>运营期生态环境保护措施</w:t>
            </w:r>
          </w:p>
        </w:tc>
        <w:tc>
          <w:tcPr>
            <w:tcW w:w="8457" w:type="dxa"/>
          </w:tcPr>
          <w:p>
            <w:pPr>
              <w:keepNext w:val="0"/>
              <w:keepLines w:val="0"/>
              <w:pageBreakBefore w:val="0"/>
              <w:widowControl w:val="0"/>
              <w:suppressLineNumbers w:val="0"/>
              <w:kinsoku/>
              <w:wordWrap/>
              <w:overflowPunct/>
              <w:topLinePunct w:val="0"/>
              <w:autoSpaceDE w:val="0"/>
              <w:autoSpaceDN w:val="0"/>
              <w:bidi w:val="0"/>
              <w:adjustRightInd/>
              <w:snapToGrid/>
              <w:spacing w:before="157" w:beforeLines="50" w:beforeAutospacing="0" w:after="0" w:afterAutospacing="0" w:line="360" w:lineRule="auto"/>
              <w:ind w:left="0" w:right="0" w:firstLine="482" w:firstLineChars="200"/>
              <w:textAlignment w:val="auto"/>
              <w:rPr>
                <w:rFonts w:hint="default" w:eastAsia="宋体"/>
                <w:b/>
                <w:bCs/>
                <w:color w:val="000000" w:themeColor="text1"/>
                <w:sz w:val="24"/>
                <w:szCs w:val="32"/>
                <w:highlight w:val="none"/>
                <w:lang w:val="en-US" w:eastAsia="zh-CN"/>
                <w14:textFill>
                  <w14:solidFill>
                    <w14:schemeClr w14:val="tx1"/>
                  </w14:solidFill>
                </w14:textFill>
              </w:rPr>
            </w:pPr>
            <w:r>
              <w:rPr>
                <w:rFonts w:hint="eastAsia"/>
                <w:b/>
                <w:bCs/>
                <w:color w:val="000000" w:themeColor="text1"/>
                <w:sz w:val="24"/>
                <w:szCs w:val="32"/>
                <w:highlight w:val="none"/>
                <w:lang w:val="en-US" w:eastAsia="zh-CN"/>
                <w14:textFill>
                  <w14:solidFill>
                    <w14:schemeClr w14:val="tx1"/>
                  </w14:solidFill>
                </w14:textFill>
              </w:rPr>
              <w:t>1、运营期生态环境保护措施</w:t>
            </w:r>
          </w:p>
          <w:p>
            <w:pPr>
              <w:keepNext w:val="0"/>
              <w:keepLines w:val="0"/>
              <w:suppressLineNumbers w:val="0"/>
              <w:autoSpaceDE w:val="0"/>
              <w:autoSpaceDN w:val="0"/>
              <w:spacing w:before="0" w:beforeAutospacing="0" w:after="0" w:afterAutospacing="0" w:line="360" w:lineRule="auto"/>
              <w:ind w:left="0" w:right="0" w:firstLine="480" w:firstLineChars="200"/>
              <w:rPr>
                <w:rFonts w:hint="eastAsia"/>
                <w:b/>
                <w:bCs/>
                <w:color w:val="000000" w:themeColor="text1"/>
                <w:sz w:val="24"/>
                <w:szCs w:val="32"/>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本项目为新建项目，道路建成投运后对沿线生态环境有一定影响，同时将改变沿线景观环境。通过加强项目内绿化种植及项目周边必要的绿化补偿，使本项目与周边自然景观相协调，降低生态环境影响。</w:t>
            </w:r>
          </w:p>
          <w:p>
            <w:pPr>
              <w:keepNext w:val="0"/>
              <w:keepLines w:val="0"/>
              <w:suppressLineNumbers w:val="0"/>
              <w:autoSpaceDE w:val="0"/>
              <w:autoSpaceDN w:val="0"/>
              <w:spacing w:before="0" w:beforeAutospacing="0" w:after="0" w:afterAutospacing="0" w:line="360" w:lineRule="auto"/>
              <w:ind w:left="0" w:right="0" w:firstLine="482" w:firstLineChars="200"/>
              <w:rPr>
                <w:rFonts w:hint="default" w:eastAsia="宋体"/>
                <w:b/>
                <w:bCs/>
                <w:color w:val="000000" w:themeColor="text1"/>
                <w:sz w:val="24"/>
                <w:szCs w:val="32"/>
                <w:highlight w:val="none"/>
                <w:lang w:val="en-US" w:eastAsia="zh-CN"/>
                <w14:textFill>
                  <w14:solidFill>
                    <w14:schemeClr w14:val="tx1"/>
                  </w14:solidFill>
                </w14:textFill>
              </w:rPr>
            </w:pPr>
            <w:r>
              <w:rPr>
                <w:rFonts w:hint="eastAsia"/>
                <w:b/>
                <w:bCs/>
                <w:color w:val="000000" w:themeColor="text1"/>
                <w:sz w:val="24"/>
                <w:szCs w:val="32"/>
                <w:highlight w:val="none"/>
                <w:lang w:val="en-US" w:eastAsia="zh-CN"/>
                <w14:textFill>
                  <w14:solidFill>
                    <w14:schemeClr w14:val="tx1"/>
                  </w14:solidFill>
                </w14:textFill>
              </w:rPr>
              <w:t>2、运营期大气环境保护措施</w:t>
            </w:r>
          </w:p>
          <w:p>
            <w:pPr>
              <w:keepNext w:val="0"/>
              <w:keepLines w:val="0"/>
              <w:suppressLineNumbers w:val="0"/>
              <w:autoSpaceDE w:val="0"/>
              <w:autoSpaceDN w:val="0"/>
              <w:spacing w:before="0" w:beforeAutospacing="0" w:after="0" w:afterAutospacing="0" w:line="360" w:lineRule="auto"/>
              <w:ind w:left="0" w:right="0" w:firstLine="480"/>
              <w:rPr>
                <w:color w:val="000000" w:themeColor="text1"/>
                <w:sz w:val="24"/>
                <w:szCs w:val="32"/>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项目运营后的废气主要为汽车尾气，其次为路面扬尘。</w:t>
            </w:r>
          </w:p>
          <w:p>
            <w:pPr>
              <w:keepNext w:val="0"/>
              <w:keepLines w:val="0"/>
              <w:suppressLineNumbers w:val="0"/>
              <w:autoSpaceDE w:val="0"/>
              <w:autoSpaceDN w:val="0"/>
              <w:spacing w:before="0" w:beforeAutospacing="0" w:after="0" w:afterAutospacing="0" w:line="360" w:lineRule="auto"/>
              <w:ind w:left="0" w:right="0" w:firstLine="480"/>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项目拟采取的大气污染减缓措施为：</w:t>
            </w:r>
          </w:p>
          <w:p>
            <w:pPr>
              <w:keepNext w:val="0"/>
              <w:keepLines w:val="0"/>
              <w:suppressLineNumbers w:val="0"/>
              <w:autoSpaceDE w:val="0"/>
              <w:autoSpaceDN w:val="0"/>
              <w:spacing w:before="0" w:beforeAutospacing="0" w:after="0" w:afterAutospacing="0" w:line="360" w:lineRule="auto"/>
              <w:ind w:left="0" w:right="0" w:firstLine="480"/>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（1）在项目内、外加强绿化种植，尤其靠近居民小区及农户聚集区处；</w:t>
            </w:r>
          </w:p>
          <w:p>
            <w:pPr>
              <w:keepNext w:val="0"/>
              <w:keepLines w:val="0"/>
              <w:suppressLineNumbers w:val="0"/>
              <w:autoSpaceDE w:val="0"/>
              <w:autoSpaceDN w:val="0"/>
              <w:spacing w:before="0" w:beforeAutospacing="0" w:after="0" w:afterAutospacing="0" w:line="360" w:lineRule="auto"/>
              <w:ind w:left="0" w:right="0" w:firstLine="480"/>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（2）加强交通管理，禁止或限制尾气超标车辆、脏车上路；</w:t>
            </w:r>
          </w:p>
          <w:p>
            <w:pPr>
              <w:keepNext w:val="0"/>
              <w:keepLines w:val="0"/>
              <w:suppressLineNumbers w:val="0"/>
              <w:autoSpaceDE w:val="0"/>
              <w:autoSpaceDN w:val="0"/>
              <w:spacing w:before="0" w:beforeAutospacing="0" w:after="0" w:afterAutospacing="0" w:line="360" w:lineRule="auto"/>
              <w:ind w:left="0" w:right="0" w:firstLine="480"/>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（3）尽量确保道路清洁，安排环卫人员及时清理路面洒落的垃圾、泥土等污染物。</w:t>
            </w:r>
          </w:p>
          <w:p>
            <w:pPr>
              <w:keepNext w:val="0"/>
              <w:keepLines w:val="0"/>
              <w:suppressLineNumbers w:val="0"/>
              <w:autoSpaceDE w:val="0"/>
              <w:autoSpaceDN w:val="0"/>
              <w:spacing w:before="0" w:beforeAutospacing="0" w:after="0" w:afterAutospacing="0" w:line="360" w:lineRule="auto"/>
              <w:ind w:left="0" w:right="0" w:firstLine="480"/>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汽车尾气污染物主要集中在道路沿线，随着距道路边线距离的增加，环境空气中污染物的扩散预测浓度逐渐降低。项目建成以后，随着道路交通量的不断增大，汽车尾气排放量也呈增加趋势。但根据生态环境部、工业和信息化部、商务部、海关总署和市场监管总局联合发布的《关于实施汽车国六排放标准有关事宜的公告》（2023年第14号）：“自2023年7月1日起，全国范围全面实施国六排放标准6b阶段，禁止生产、进口、销售不符合国六排放标准6b阶段的汽车。”因此，本项目运营时道路运行机动车逐步以国6b标准为主，汽车尾气排放量进一步减小，可减缓对大气环境的影响。</w:t>
            </w:r>
          </w:p>
          <w:p>
            <w:pPr>
              <w:keepNext w:val="0"/>
              <w:keepLines w:val="0"/>
              <w:suppressLineNumbers w:val="0"/>
              <w:autoSpaceDE w:val="0"/>
              <w:autoSpaceDN w:val="0"/>
              <w:spacing w:before="0" w:beforeAutospacing="0" w:after="0" w:afterAutospacing="0" w:line="360" w:lineRule="auto"/>
              <w:ind w:left="0" w:right="0" w:firstLine="480" w:firstLineChars="200"/>
              <w:rPr>
                <w:rFonts w:hint="eastAsia" w:eastAsia="宋体"/>
                <w:b/>
                <w:bCs/>
                <w:color w:val="000000" w:themeColor="text1"/>
                <w:sz w:val="24"/>
                <w:szCs w:val="32"/>
                <w:highlight w:val="none"/>
                <w:lang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3</w:t>
            </w:r>
            <w:r>
              <w:rPr>
                <w:rFonts w:hint="eastAsia"/>
                <w:b/>
                <w:bCs/>
                <w:color w:val="000000" w:themeColor="text1"/>
                <w:sz w:val="24"/>
                <w:szCs w:val="32"/>
                <w:highlight w:val="none"/>
                <w14:textFill>
                  <w14:solidFill>
                    <w14:schemeClr w14:val="tx1"/>
                  </w14:solidFill>
                </w14:textFill>
              </w:rPr>
              <w:t>、</w:t>
            </w:r>
            <w:r>
              <w:rPr>
                <w:rFonts w:hint="eastAsia"/>
                <w:b/>
                <w:bCs/>
                <w:color w:val="000000" w:themeColor="text1"/>
                <w:sz w:val="24"/>
                <w:szCs w:val="32"/>
                <w:highlight w:val="none"/>
                <w:lang w:val="en-US" w:eastAsia="zh-CN"/>
                <w14:textFill>
                  <w14:solidFill>
                    <w14:schemeClr w14:val="tx1"/>
                  </w14:solidFill>
                </w14:textFill>
              </w:rPr>
              <w:t>运营期水环境保护措施</w:t>
            </w:r>
          </w:p>
          <w:p>
            <w:pPr>
              <w:keepNext w:val="0"/>
              <w:keepLines w:val="0"/>
              <w:suppressLineNumbers w:val="0"/>
              <w:autoSpaceDE w:val="0"/>
              <w:autoSpaceDN w:val="0"/>
              <w:spacing w:before="0" w:beforeAutospacing="0" w:after="0" w:afterAutospacing="0" w:line="360" w:lineRule="auto"/>
              <w:ind w:left="0" w:right="0" w:firstLine="480" w:firstLineChars="200"/>
              <w:rPr>
                <w:color w:val="000000" w:themeColor="text1"/>
                <w:sz w:val="24"/>
                <w:szCs w:val="32"/>
                <w:highlight w:val="none"/>
                <w14:textFill>
                  <w14:solidFill>
                    <w14:schemeClr w14:val="tx1"/>
                  </w14:solidFill>
                </w14:textFill>
              </w:rPr>
            </w:pPr>
            <w:r>
              <w:rPr>
                <w:rFonts w:hint="eastAsia"/>
                <w:color w:val="000000" w:themeColor="text1"/>
                <w:kern w:val="0"/>
                <w:sz w:val="24"/>
                <w:highlight w:val="none"/>
                <w:lang w:val="en-US" w:eastAsia="zh-CN"/>
                <w14:textFill>
                  <w14:solidFill>
                    <w14:schemeClr w14:val="tx1"/>
                  </w14:solidFill>
                </w14:textFill>
              </w:rPr>
              <w:t>本项目功能为人车通行，道路本身不产生废水，主要产生的水污染来自初期雨水径流污水，初期雨水主要含SS和极少量石油类，非事故状态下，路面径流污水基本可接近国家规定的排放标准，不会造成对环境的污染影响，但在汽车保养状况不良、发生故障、出现事故等时，可能泄漏的汽油和机油污染路面，在遇降雨后，雨水经公路泄水道口流入附近的水域，造成石油类和COD的污染影响，应通过交通管理措施，避免类似事故发生。</w:t>
            </w:r>
          </w:p>
          <w:p>
            <w:pPr>
              <w:keepNext w:val="0"/>
              <w:keepLines w:val="0"/>
              <w:suppressLineNumbers w:val="0"/>
              <w:autoSpaceDE w:val="0"/>
              <w:autoSpaceDN w:val="0"/>
              <w:spacing w:before="0" w:beforeAutospacing="0" w:after="0" w:afterAutospacing="0" w:line="360" w:lineRule="auto"/>
              <w:ind w:left="0" w:right="0" w:firstLine="482" w:firstLineChars="200"/>
              <w:rPr>
                <w:rFonts w:hint="eastAsia" w:eastAsia="宋体"/>
                <w:b/>
                <w:bCs/>
                <w:color w:val="000000" w:themeColor="text1"/>
                <w:sz w:val="24"/>
                <w:szCs w:val="32"/>
                <w:highlight w:val="none"/>
                <w:lang w:eastAsia="zh-CN"/>
                <w14:textFill>
                  <w14:solidFill>
                    <w14:schemeClr w14:val="tx1"/>
                  </w14:solidFill>
                </w14:textFill>
              </w:rPr>
            </w:pPr>
            <w:r>
              <w:rPr>
                <w:rFonts w:hint="eastAsia"/>
                <w:b/>
                <w:bCs/>
                <w:color w:val="000000" w:themeColor="text1"/>
                <w:sz w:val="24"/>
                <w:szCs w:val="32"/>
                <w:highlight w:val="none"/>
                <w:lang w:val="en-US" w:eastAsia="zh-CN"/>
                <w14:textFill>
                  <w14:solidFill>
                    <w14:schemeClr w14:val="tx1"/>
                  </w14:solidFill>
                </w14:textFill>
              </w:rPr>
              <w:t>4</w:t>
            </w:r>
            <w:r>
              <w:rPr>
                <w:rFonts w:hint="eastAsia"/>
                <w:b/>
                <w:bCs/>
                <w:color w:val="000000" w:themeColor="text1"/>
                <w:sz w:val="24"/>
                <w:szCs w:val="32"/>
                <w:highlight w:val="none"/>
                <w14:textFill>
                  <w14:solidFill>
                    <w14:schemeClr w14:val="tx1"/>
                  </w14:solidFill>
                </w14:textFill>
              </w:rPr>
              <w:t>、</w:t>
            </w:r>
            <w:r>
              <w:rPr>
                <w:rFonts w:hint="eastAsia"/>
                <w:b/>
                <w:bCs/>
                <w:color w:val="000000" w:themeColor="text1"/>
                <w:sz w:val="24"/>
                <w:szCs w:val="32"/>
                <w:highlight w:val="none"/>
                <w:lang w:val="en-US" w:eastAsia="zh-CN"/>
                <w14:textFill>
                  <w14:solidFill>
                    <w14:schemeClr w14:val="tx1"/>
                  </w14:solidFill>
                </w14:textFill>
              </w:rPr>
              <w:t>运营期声环境保护措施</w:t>
            </w:r>
          </w:p>
          <w:p>
            <w:pPr>
              <w:keepNext w:val="0"/>
              <w:keepLines w:val="0"/>
              <w:suppressLineNumbers w:val="0"/>
              <w:autoSpaceDE w:val="0"/>
              <w:autoSpaceDN w:val="0"/>
              <w:spacing w:before="0" w:beforeAutospacing="0" w:after="0" w:afterAutospacing="0" w:line="360" w:lineRule="auto"/>
              <w:ind w:left="0" w:right="0" w:firstLine="482" w:firstLineChars="200"/>
              <w:rPr>
                <w:color w:val="000000" w:themeColor="text1"/>
                <w:sz w:val="24"/>
                <w:szCs w:val="32"/>
                <w:highlight w:val="none"/>
                <w14:textFill>
                  <w14:solidFill>
                    <w14:schemeClr w14:val="tx1"/>
                  </w14:solidFill>
                </w14:textFill>
              </w:rPr>
            </w:pPr>
            <w:r>
              <w:rPr>
                <w:rFonts w:hint="eastAsia"/>
                <w:b/>
                <w:bCs/>
                <w:i/>
                <w:iCs/>
                <w:color w:val="000000" w:themeColor="text1"/>
                <w:kern w:val="0"/>
                <w:sz w:val="24"/>
                <w:highlight w:val="none"/>
                <w:u w:val="single"/>
                <w:lang w:val="en-US" w:eastAsia="zh-CN"/>
                <w14:textFill>
                  <w14:solidFill>
                    <w14:schemeClr w14:val="tx1"/>
                  </w14:solidFill>
                </w14:textFill>
              </w:rPr>
              <w:t>详见噪声专章。</w:t>
            </w:r>
          </w:p>
          <w:p>
            <w:pPr>
              <w:keepNext w:val="0"/>
              <w:keepLines w:val="0"/>
              <w:suppressLineNumbers w:val="0"/>
              <w:autoSpaceDE w:val="0"/>
              <w:autoSpaceDN w:val="0"/>
              <w:spacing w:before="0" w:beforeAutospacing="0" w:after="0" w:afterAutospacing="0" w:line="360" w:lineRule="auto"/>
              <w:ind w:left="0" w:right="0" w:firstLine="482" w:firstLineChars="200"/>
              <w:rPr>
                <w:b/>
                <w:bCs/>
                <w:color w:val="000000" w:themeColor="text1"/>
                <w:sz w:val="24"/>
                <w:szCs w:val="32"/>
                <w:highlight w:val="none"/>
                <w14:textFill>
                  <w14:solidFill>
                    <w14:schemeClr w14:val="tx1"/>
                  </w14:solidFill>
                </w14:textFill>
              </w:rPr>
            </w:pPr>
            <w:r>
              <w:rPr>
                <w:rFonts w:hint="eastAsia"/>
                <w:b/>
                <w:bCs/>
                <w:color w:val="000000" w:themeColor="text1"/>
                <w:sz w:val="24"/>
                <w:szCs w:val="32"/>
                <w:highlight w:val="none"/>
                <w:lang w:val="en-US" w:eastAsia="zh-CN"/>
                <w14:textFill>
                  <w14:solidFill>
                    <w14:schemeClr w14:val="tx1"/>
                  </w14:solidFill>
                </w14:textFill>
              </w:rPr>
              <w:t>5</w:t>
            </w:r>
            <w:r>
              <w:rPr>
                <w:rFonts w:hint="eastAsia"/>
                <w:b/>
                <w:bCs/>
                <w:color w:val="000000" w:themeColor="text1"/>
                <w:sz w:val="24"/>
                <w:szCs w:val="32"/>
                <w:highlight w:val="none"/>
                <w14:textFill>
                  <w14:solidFill>
                    <w14:schemeClr w14:val="tx1"/>
                  </w14:solidFill>
                </w14:textFill>
              </w:rPr>
              <w:t>、固体废弃物</w:t>
            </w:r>
          </w:p>
          <w:p>
            <w:pPr>
              <w:keepNext w:val="0"/>
              <w:keepLines w:val="0"/>
              <w:suppressLineNumbers w:val="0"/>
              <w:autoSpaceDE w:val="0"/>
              <w:autoSpaceDN w:val="0"/>
              <w:spacing w:before="0" w:beforeAutospacing="0" w:after="0" w:afterAutospacing="0" w:line="360" w:lineRule="auto"/>
              <w:ind w:left="0" w:right="0" w:firstLine="480" w:firstLineChars="200"/>
              <w:rPr>
                <w:color w:val="000000" w:themeColor="text1"/>
                <w:sz w:val="24"/>
                <w:szCs w:val="32"/>
                <w:highlight w:val="none"/>
                <w14:textFill>
                  <w14:solidFill>
                    <w14:schemeClr w14:val="tx1"/>
                  </w14:solidFill>
                </w14:textFill>
              </w:rPr>
            </w:pPr>
            <w:r>
              <w:rPr>
                <w:rFonts w:hint="eastAsia"/>
                <w:color w:val="000000" w:themeColor="text1"/>
                <w:kern w:val="0"/>
                <w:sz w:val="24"/>
                <w:highlight w:val="none"/>
                <w:lang w:val="en-US" w:eastAsia="zh-CN"/>
                <w14:textFill>
                  <w14:solidFill>
                    <w14:schemeClr w14:val="tx1"/>
                  </w14:solidFill>
                </w14:textFill>
              </w:rPr>
              <w:t>运营期道路本身不产生固废，固体废物主要来自行人产生的固废和车辆运输过程中沿途洒落的少量路面垃圾。路面垃圾由市政清洁人员定期进行清理，由环卫部门统一清运、处理。道路照明灯具产生的废弃灯管应在更换后及时交由相应资质单位处理。</w:t>
            </w:r>
          </w:p>
          <w:p>
            <w:pPr>
              <w:keepNext w:val="0"/>
              <w:keepLines w:val="0"/>
              <w:suppressLineNumbers w:val="0"/>
              <w:autoSpaceDE w:val="0"/>
              <w:autoSpaceDN w:val="0"/>
              <w:spacing w:before="0" w:beforeAutospacing="0" w:after="0" w:afterAutospacing="0" w:line="360" w:lineRule="auto"/>
              <w:ind w:left="0" w:right="0" w:firstLine="482" w:firstLineChars="200"/>
              <w:rPr>
                <w:rFonts w:hint="default" w:eastAsia="宋体"/>
                <w:b/>
                <w:bCs/>
                <w:color w:val="000000" w:themeColor="text1"/>
                <w:sz w:val="24"/>
                <w:szCs w:val="32"/>
                <w:highlight w:val="none"/>
                <w:lang w:val="en-US" w:eastAsia="zh-CN"/>
                <w14:textFill>
                  <w14:solidFill>
                    <w14:schemeClr w14:val="tx1"/>
                  </w14:solidFill>
                </w14:textFill>
              </w:rPr>
            </w:pPr>
            <w:r>
              <w:rPr>
                <w:rFonts w:hint="eastAsia"/>
                <w:b/>
                <w:bCs/>
                <w:color w:val="000000" w:themeColor="text1"/>
                <w:sz w:val="24"/>
                <w:szCs w:val="32"/>
                <w:highlight w:val="none"/>
                <w:lang w:val="en-US" w:eastAsia="zh-CN"/>
                <w14:textFill>
                  <w14:solidFill>
                    <w14:schemeClr w14:val="tx1"/>
                  </w14:solidFill>
                </w14:textFill>
              </w:rPr>
              <w:t>6</w:t>
            </w:r>
            <w:r>
              <w:rPr>
                <w:rFonts w:hint="eastAsia"/>
                <w:b/>
                <w:bCs/>
                <w:color w:val="000000" w:themeColor="text1"/>
                <w:sz w:val="24"/>
                <w:szCs w:val="32"/>
                <w:highlight w:val="none"/>
                <w14:textFill>
                  <w14:solidFill>
                    <w14:schemeClr w14:val="tx1"/>
                  </w14:solidFill>
                </w14:textFill>
              </w:rPr>
              <w:t>、</w:t>
            </w:r>
            <w:r>
              <w:rPr>
                <w:rFonts w:hint="eastAsia"/>
                <w:b/>
                <w:bCs/>
                <w:color w:val="000000" w:themeColor="text1"/>
                <w:sz w:val="24"/>
                <w:szCs w:val="32"/>
                <w:highlight w:val="none"/>
                <w:lang w:val="en-US" w:eastAsia="zh-CN"/>
                <w14:textFill>
                  <w14:solidFill>
                    <w14:schemeClr w14:val="tx1"/>
                  </w14:solidFill>
                </w14:textFill>
              </w:rPr>
              <w:t>风险分析</w:t>
            </w:r>
          </w:p>
          <w:p>
            <w:pPr>
              <w:keepNext w:val="0"/>
              <w:keepLines w:val="0"/>
              <w:suppressLineNumbers w:val="0"/>
              <w:autoSpaceDE w:val="0"/>
              <w:autoSpaceDN w:val="0"/>
              <w:spacing w:before="0" w:beforeAutospacing="0" w:after="0" w:afterAutospacing="0" w:line="360" w:lineRule="auto"/>
              <w:ind w:left="0" w:right="0" w:firstLine="480" w:firstLineChars="200"/>
              <w:rPr>
                <w:rFonts w:hint="eastAsia"/>
                <w:color w:val="000000" w:themeColor="text1"/>
                <w:kern w:val="0"/>
                <w:sz w:val="24"/>
                <w:highlight w:val="none"/>
                <w:lang w:val="en-US" w:eastAsia="zh-CN"/>
                <w14:textFill>
                  <w14:solidFill>
                    <w14:schemeClr w14:val="tx1"/>
                  </w14:solidFill>
                </w14:textFill>
              </w:rPr>
            </w:pPr>
            <w:r>
              <w:rPr>
                <w:rFonts w:hint="eastAsia"/>
                <w:color w:val="000000" w:themeColor="text1"/>
                <w:kern w:val="0"/>
                <w:sz w:val="24"/>
                <w:highlight w:val="none"/>
                <w:lang w:val="en-US" w:eastAsia="zh-CN"/>
                <w14:textFill>
                  <w14:solidFill>
                    <w14:schemeClr w14:val="tx1"/>
                  </w14:solidFill>
                </w14:textFill>
              </w:rPr>
              <w:t>（1）施工期环境风险分析</w:t>
            </w:r>
          </w:p>
          <w:p>
            <w:pPr>
              <w:keepNext w:val="0"/>
              <w:keepLines w:val="0"/>
              <w:suppressLineNumbers w:val="0"/>
              <w:autoSpaceDE w:val="0"/>
              <w:autoSpaceDN w:val="0"/>
              <w:spacing w:before="0" w:beforeAutospacing="0" w:after="0" w:afterAutospacing="0" w:line="360" w:lineRule="auto"/>
              <w:ind w:left="0" w:right="0" w:firstLine="480" w:firstLineChars="200"/>
              <w:rPr>
                <w:rFonts w:hint="eastAsia"/>
                <w:color w:val="000000" w:themeColor="text1"/>
                <w:kern w:val="0"/>
                <w:sz w:val="24"/>
                <w:highlight w:val="none"/>
                <w:lang w:val="en-US" w:eastAsia="zh-CN"/>
                <w14:textFill>
                  <w14:solidFill>
                    <w14:schemeClr w14:val="tx1"/>
                  </w14:solidFill>
                </w14:textFill>
              </w:rPr>
            </w:pPr>
            <w:r>
              <w:rPr>
                <w:rFonts w:hint="eastAsia"/>
                <w:color w:val="000000" w:themeColor="text1"/>
                <w:kern w:val="0"/>
                <w:sz w:val="24"/>
                <w:highlight w:val="none"/>
                <w:lang w:val="en-US" w:eastAsia="zh-CN"/>
                <w14:textFill>
                  <w14:solidFill>
                    <w14:schemeClr w14:val="tx1"/>
                  </w14:solidFill>
                </w14:textFill>
              </w:rPr>
              <w:t>施工期，运输车辆、水稳拌合站会使用一定量的油料，即柴油、汽油、机油等，油料属于易燃易爆物质，若车辆、设备使用时操作不当，可能引发火灾、爆炸等事故，从而带来环境污染风险。在路基、斜坡开挖期间，若遇到极端天气条件或者施工人员操作不当，可能造成滑坡或开挖面蹋跨现相，从而造成一定的环境风险。</w:t>
            </w:r>
          </w:p>
          <w:p>
            <w:pPr>
              <w:keepNext w:val="0"/>
              <w:keepLines w:val="0"/>
              <w:suppressLineNumbers w:val="0"/>
              <w:autoSpaceDE w:val="0"/>
              <w:autoSpaceDN w:val="0"/>
              <w:spacing w:before="0" w:beforeAutospacing="0" w:after="0" w:afterAutospacing="0" w:line="360" w:lineRule="auto"/>
              <w:ind w:left="0" w:right="0" w:firstLine="480" w:firstLineChars="200"/>
              <w:rPr>
                <w:rFonts w:hint="eastAsia"/>
                <w:color w:val="000000" w:themeColor="text1"/>
                <w:kern w:val="0"/>
                <w:sz w:val="24"/>
                <w:highlight w:val="none"/>
                <w:lang w:val="en-US" w:eastAsia="zh-CN"/>
                <w14:textFill>
                  <w14:solidFill>
                    <w14:schemeClr w14:val="tx1"/>
                  </w14:solidFill>
                </w14:textFill>
              </w:rPr>
            </w:pPr>
            <w:r>
              <w:rPr>
                <w:rFonts w:hint="eastAsia"/>
                <w:color w:val="000000" w:themeColor="text1"/>
                <w:kern w:val="0"/>
                <w:sz w:val="24"/>
                <w:highlight w:val="none"/>
                <w:lang w:val="en-US" w:eastAsia="zh-CN"/>
                <w14:textFill>
                  <w14:solidFill>
                    <w14:schemeClr w14:val="tx1"/>
                  </w14:solidFill>
                </w14:textFill>
              </w:rPr>
              <w:t>1）环境风险分析</w:t>
            </w:r>
          </w:p>
          <w:p>
            <w:pPr>
              <w:keepNext w:val="0"/>
              <w:keepLines w:val="0"/>
              <w:suppressLineNumbers w:val="0"/>
              <w:autoSpaceDE w:val="0"/>
              <w:autoSpaceDN w:val="0"/>
              <w:spacing w:before="0" w:beforeAutospacing="0" w:after="0" w:afterAutospacing="0" w:line="360" w:lineRule="auto"/>
              <w:ind w:left="0" w:right="0" w:firstLine="480" w:firstLineChars="200"/>
              <w:rPr>
                <w:rFonts w:hint="eastAsia"/>
                <w:color w:val="000000" w:themeColor="text1"/>
                <w:kern w:val="0"/>
                <w:sz w:val="24"/>
                <w:highlight w:val="none"/>
                <w:lang w:val="en-US" w:eastAsia="zh-CN"/>
                <w14:textFill>
                  <w14:solidFill>
                    <w14:schemeClr w14:val="tx1"/>
                  </w14:solidFill>
                </w14:textFill>
              </w:rPr>
            </w:pPr>
            <w:r>
              <w:rPr>
                <w:rFonts w:hint="eastAsia"/>
                <w:color w:val="000000" w:themeColor="text1"/>
                <w:kern w:val="0"/>
                <w:sz w:val="24"/>
                <w:highlight w:val="none"/>
                <w:lang w:val="en-US" w:eastAsia="zh-CN"/>
                <w14:textFill>
                  <w14:solidFill>
                    <w14:schemeClr w14:val="tx1"/>
                  </w14:solidFill>
                </w14:textFill>
              </w:rPr>
              <w:t>在车辆运输过程中，有可能遇到或发生交通事故，引发油料爆炸或造成油料泄漏，从而污染周围环境。工程所需油料可就近购买、运输距离短，且采取专门运输车辆、由专业人员驾驶和押运，将有效控制交通事故发生概率；在运输过程中，油料的单车运输量按照国家相关规定进行严格控制，事故造成的环境危害性将在可控制范围之内。</w:t>
            </w:r>
          </w:p>
          <w:p>
            <w:pPr>
              <w:keepNext w:val="0"/>
              <w:keepLines w:val="0"/>
              <w:suppressLineNumbers w:val="0"/>
              <w:autoSpaceDE w:val="0"/>
              <w:autoSpaceDN w:val="0"/>
              <w:spacing w:before="0" w:beforeAutospacing="0" w:after="0" w:afterAutospacing="0" w:line="360" w:lineRule="auto"/>
              <w:ind w:left="0" w:right="0" w:firstLine="480" w:firstLineChars="200"/>
              <w:rPr>
                <w:rFonts w:hint="eastAsia"/>
                <w:color w:val="000000" w:themeColor="text1"/>
                <w:kern w:val="0"/>
                <w:sz w:val="24"/>
                <w:highlight w:val="none"/>
                <w:lang w:val="en-US" w:eastAsia="zh-CN"/>
                <w14:textFill>
                  <w14:solidFill>
                    <w14:schemeClr w14:val="tx1"/>
                  </w14:solidFill>
                </w14:textFill>
              </w:rPr>
            </w:pPr>
            <w:r>
              <w:rPr>
                <w:rFonts w:hint="eastAsia"/>
                <w:color w:val="000000" w:themeColor="text1"/>
                <w:kern w:val="0"/>
                <w:sz w:val="24"/>
                <w:highlight w:val="none"/>
                <w:lang w:val="en-US" w:eastAsia="zh-CN"/>
                <w14:textFill>
                  <w14:solidFill>
                    <w14:schemeClr w14:val="tx1"/>
                  </w14:solidFill>
                </w14:textFill>
              </w:rPr>
              <w:t>根据现场踏勘及调查了解，拟建道路涉及区域未见泥石流、滑坡、崩塌、地裂缝、地面沉降、地面塌陷等地质灾害。由于工程边坡开挖或其它不可预见的因素，在暴雨来临时，可能使尚未进行防护的堆土场、路堤或开挖面冲塌造成的渣料、石料滑坡等，从而可能引起局部交通堵塞、人员伤亡等事故。</w:t>
            </w:r>
          </w:p>
          <w:p>
            <w:pPr>
              <w:keepNext w:val="0"/>
              <w:keepLines w:val="0"/>
              <w:suppressLineNumbers w:val="0"/>
              <w:autoSpaceDE w:val="0"/>
              <w:autoSpaceDN w:val="0"/>
              <w:spacing w:before="0" w:beforeAutospacing="0" w:after="0" w:afterAutospacing="0" w:line="360" w:lineRule="auto"/>
              <w:ind w:left="0" w:right="0" w:firstLine="480" w:firstLineChars="200"/>
              <w:rPr>
                <w:rFonts w:hint="eastAsia"/>
                <w:color w:val="000000" w:themeColor="text1"/>
                <w:kern w:val="0"/>
                <w:sz w:val="24"/>
                <w:highlight w:val="none"/>
                <w:lang w:val="en-US" w:eastAsia="zh-CN"/>
                <w14:textFill>
                  <w14:solidFill>
                    <w14:schemeClr w14:val="tx1"/>
                  </w14:solidFill>
                </w14:textFill>
              </w:rPr>
            </w:pPr>
            <w:r>
              <w:rPr>
                <w:rFonts w:hint="eastAsia"/>
                <w:color w:val="000000" w:themeColor="text1"/>
                <w:kern w:val="0"/>
                <w:sz w:val="24"/>
                <w:highlight w:val="none"/>
                <w:lang w:val="en-US" w:eastAsia="zh-CN"/>
                <w14:textFill>
                  <w14:solidFill>
                    <w14:schemeClr w14:val="tx1"/>
                  </w14:solidFill>
                </w14:textFill>
              </w:rPr>
              <w:t>2）风险防护与减缓措施</w:t>
            </w:r>
          </w:p>
          <w:p>
            <w:pPr>
              <w:keepNext w:val="0"/>
              <w:keepLines w:val="0"/>
              <w:suppressLineNumbers w:val="0"/>
              <w:autoSpaceDE w:val="0"/>
              <w:autoSpaceDN w:val="0"/>
              <w:spacing w:before="0" w:beforeAutospacing="0" w:after="0" w:afterAutospacing="0" w:line="360" w:lineRule="auto"/>
              <w:ind w:left="0" w:right="0" w:firstLine="480" w:firstLineChars="200"/>
              <w:rPr>
                <w:rFonts w:hint="eastAsia"/>
                <w:color w:val="000000" w:themeColor="text1"/>
                <w:kern w:val="0"/>
                <w:sz w:val="24"/>
                <w:highlight w:val="none"/>
                <w:lang w:val="en-US" w:eastAsia="zh-CN"/>
                <w14:textFill>
                  <w14:solidFill>
                    <w14:schemeClr w14:val="tx1"/>
                  </w14:solidFill>
                </w14:textFill>
              </w:rPr>
            </w:pPr>
            <w:r>
              <w:rPr>
                <w:rFonts w:hint="eastAsia"/>
                <w:color w:val="000000" w:themeColor="text1"/>
                <w:kern w:val="0"/>
                <w:sz w:val="24"/>
                <w:highlight w:val="none"/>
                <w:lang w:val="en-US" w:eastAsia="zh-CN"/>
                <w14:textFill>
                  <w14:solidFill>
                    <w14:schemeClr w14:val="tx1"/>
                  </w14:solidFill>
                </w14:textFill>
              </w:rPr>
              <w:t>①建立以本项目建设环境保护领导小组为核心的责任制，层层签订责任书，明确各级环保人员应承担的环境风险管理责任。</w:t>
            </w:r>
          </w:p>
          <w:p>
            <w:pPr>
              <w:keepNext w:val="0"/>
              <w:keepLines w:val="0"/>
              <w:suppressLineNumbers w:val="0"/>
              <w:autoSpaceDE w:val="0"/>
              <w:autoSpaceDN w:val="0"/>
              <w:spacing w:before="0" w:beforeAutospacing="0" w:after="0" w:afterAutospacing="0" w:line="360" w:lineRule="auto"/>
              <w:ind w:left="0" w:right="0" w:firstLine="480" w:firstLineChars="200"/>
              <w:rPr>
                <w:rFonts w:hint="eastAsia"/>
                <w:color w:val="000000" w:themeColor="text1"/>
                <w:kern w:val="0"/>
                <w:sz w:val="24"/>
                <w:highlight w:val="none"/>
                <w:lang w:val="en-US" w:eastAsia="zh-CN"/>
                <w14:textFill>
                  <w14:solidFill>
                    <w14:schemeClr w14:val="tx1"/>
                  </w14:solidFill>
                </w14:textFill>
              </w:rPr>
            </w:pPr>
            <w:r>
              <w:rPr>
                <w:rFonts w:hint="eastAsia"/>
                <w:color w:val="000000" w:themeColor="text1"/>
                <w:kern w:val="0"/>
                <w:sz w:val="24"/>
                <w:highlight w:val="none"/>
                <w:lang w:val="en-US" w:eastAsia="zh-CN"/>
                <w14:textFill>
                  <w14:solidFill>
                    <w14:schemeClr w14:val="tx1"/>
                  </w14:solidFill>
                </w14:textFill>
              </w:rPr>
              <w:t>②环境保护领导小组应加强各施工队伍的环境风险意识的宣传教育，并与油料的承包方签订事故责任合同，建立岗位责任制，明确管理责任。</w:t>
            </w:r>
          </w:p>
          <w:p>
            <w:pPr>
              <w:keepNext w:val="0"/>
              <w:keepLines w:val="0"/>
              <w:suppressLineNumbers w:val="0"/>
              <w:autoSpaceDE w:val="0"/>
              <w:autoSpaceDN w:val="0"/>
              <w:spacing w:before="0" w:beforeAutospacing="0" w:after="0" w:afterAutospacing="0" w:line="360" w:lineRule="auto"/>
              <w:ind w:left="0" w:right="0" w:firstLine="480" w:firstLineChars="200"/>
              <w:rPr>
                <w:rFonts w:hint="eastAsia"/>
                <w:color w:val="000000" w:themeColor="text1"/>
                <w:kern w:val="0"/>
                <w:sz w:val="24"/>
                <w:highlight w:val="none"/>
                <w:lang w:val="en-US" w:eastAsia="zh-CN"/>
                <w14:textFill>
                  <w14:solidFill>
                    <w14:schemeClr w14:val="tx1"/>
                  </w14:solidFill>
                </w14:textFill>
              </w:rPr>
            </w:pPr>
            <w:r>
              <w:rPr>
                <w:rFonts w:hint="eastAsia"/>
                <w:color w:val="000000" w:themeColor="text1"/>
                <w:kern w:val="0"/>
                <w:sz w:val="24"/>
                <w:highlight w:val="none"/>
                <w:lang w:val="en-US" w:eastAsia="zh-CN"/>
                <w14:textFill>
                  <w14:solidFill>
                    <w14:schemeClr w14:val="tx1"/>
                  </w14:solidFill>
                </w14:textFill>
              </w:rPr>
              <w:t>③在工程施工过程中，关注当地的气象、地质资料，紧密联络有关部门，合理安排工期，及时对各类构筑物、开挖面及堆土场进行防护，尽可能降低环境风险。</w:t>
            </w:r>
          </w:p>
          <w:p>
            <w:pPr>
              <w:keepNext w:val="0"/>
              <w:keepLines w:val="0"/>
              <w:suppressLineNumbers w:val="0"/>
              <w:autoSpaceDE w:val="0"/>
              <w:autoSpaceDN w:val="0"/>
              <w:spacing w:before="0" w:beforeAutospacing="0" w:after="0" w:afterAutospacing="0" w:line="360" w:lineRule="auto"/>
              <w:ind w:left="0" w:right="0" w:firstLine="480" w:firstLineChars="200"/>
              <w:rPr>
                <w:rFonts w:hint="eastAsia"/>
                <w:color w:val="000000" w:themeColor="text1"/>
                <w:kern w:val="0"/>
                <w:sz w:val="24"/>
                <w:highlight w:val="none"/>
                <w:lang w:val="en-US" w:eastAsia="zh-CN"/>
                <w14:textFill>
                  <w14:solidFill>
                    <w14:schemeClr w14:val="tx1"/>
                  </w14:solidFill>
                </w14:textFill>
              </w:rPr>
            </w:pPr>
            <w:r>
              <w:rPr>
                <w:rFonts w:hint="eastAsia"/>
                <w:color w:val="000000" w:themeColor="text1"/>
                <w:kern w:val="0"/>
                <w:sz w:val="24"/>
                <w:highlight w:val="none"/>
                <w:lang w:val="en-US" w:eastAsia="zh-CN"/>
                <w14:textFill>
                  <w14:solidFill>
                    <w14:schemeClr w14:val="tx1"/>
                  </w14:solidFill>
                </w14:textFill>
              </w:rPr>
              <w:t>④施工队伍必须有紧急事故处理组织和准备，发现事故预兆要及时上报相关部门，并采取措施预防降低事故发生可能性。若一旦发生事故，应及时采取控制及缓解措施并及时进行赔偿，减少事故危害范围和程度对社会的影响。在施工结束后，施工队伍必须做好地表植被、施工临时用地的恢复工作，以防水土流失和生态破坏事故发生。</w:t>
            </w:r>
          </w:p>
          <w:p>
            <w:pPr>
              <w:keepNext w:val="0"/>
              <w:keepLines w:val="0"/>
              <w:suppressLineNumbers w:val="0"/>
              <w:autoSpaceDE w:val="0"/>
              <w:autoSpaceDN w:val="0"/>
              <w:spacing w:before="0" w:beforeAutospacing="0" w:after="0" w:afterAutospacing="0" w:line="360" w:lineRule="auto"/>
              <w:ind w:left="0" w:right="0" w:firstLine="480" w:firstLineChars="200"/>
              <w:rPr>
                <w:rFonts w:hint="eastAsia"/>
                <w:color w:val="000000" w:themeColor="text1"/>
                <w:kern w:val="0"/>
                <w:sz w:val="24"/>
                <w:highlight w:val="none"/>
                <w:lang w:val="en-US" w:eastAsia="zh-CN"/>
                <w14:textFill>
                  <w14:solidFill>
                    <w14:schemeClr w14:val="tx1"/>
                  </w14:solidFill>
                </w14:textFill>
              </w:rPr>
            </w:pPr>
            <w:r>
              <w:rPr>
                <w:rFonts w:hint="eastAsia"/>
                <w:color w:val="000000" w:themeColor="text1"/>
                <w:kern w:val="0"/>
                <w:sz w:val="24"/>
                <w:highlight w:val="none"/>
                <w:lang w:val="en-US" w:eastAsia="zh-CN"/>
                <w14:textFill>
                  <w14:solidFill>
                    <w14:schemeClr w14:val="tx1"/>
                  </w14:solidFill>
                </w14:textFill>
              </w:rPr>
              <w:t>⑤配备必需的消防器材，并定期更换，以保证消防器材在任何时候均处于有效状态。</w:t>
            </w:r>
          </w:p>
          <w:p>
            <w:pPr>
              <w:keepNext w:val="0"/>
              <w:keepLines w:val="0"/>
              <w:suppressLineNumbers w:val="0"/>
              <w:autoSpaceDE w:val="0"/>
              <w:autoSpaceDN w:val="0"/>
              <w:spacing w:before="0" w:beforeAutospacing="0" w:after="0" w:afterAutospacing="0" w:line="360" w:lineRule="auto"/>
              <w:ind w:left="0" w:right="0" w:firstLine="480" w:firstLineChars="200"/>
              <w:rPr>
                <w:rFonts w:hint="eastAsia"/>
                <w:color w:val="000000" w:themeColor="text1"/>
                <w:kern w:val="0"/>
                <w:sz w:val="24"/>
                <w:highlight w:val="none"/>
                <w:lang w:val="en-US" w:eastAsia="zh-CN"/>
                <w14:textFill>
                  <w14:solidFill>
                    <w14:schemeClr w14:val="tx1"/>
                  </w14:solidFill>
                </w14:textFill>
              </w:rPr>
            </w:pPr>
            <w:r>
              <w:rPr>
                <w:rFonts w:hint="eastAsia"/>
                <w:color w:val="000000" w:themeColor="text1"/>
                <w:kern w:val="0"/>
                <w:sz w:val="24"/>
                <w:highlight w:val="none"/>
                <w:lang w:val="en-US" w:eastAsia="zh-CN"/>
                <w14:textFill>
                  <w14:solidFill>
                    <w14:schemeClr w14:val="tx1"/>
                  </w14:solidFill>
                </w14:textFill>
              </w:rPr>
              <w:t>2、运营期环境风险分析</w:t>
            </w:r>
          </w:p>
          <w:p>
            <w:pPr>
              <w:keepNext w:val="0"/>
              <w:keepLines w:val="0"/>
              <w:suppressLineNumbers w:val="0"/>
              <w:autoSpaceDE w:val="0"/>
              <w:autoSpaceDN w:val="0"/>
              <w:spacing w:before="0" w:beforeAutospacing="0" w:after="0" w:afterAutospacing="0" w:line="360" w:lineRule="auto"/>
              <w:ind w:left="0" w:right="0" w:firstLine="480" w:firstLineChars="200"/>
              <w:rPr>
                <w:rFonts w:hint="eastAsia"/>
                <w:color w:val="000000" w:themeColor="text1"/>
                <w:kern w:val="0"/>
                <w:sz w:val="24"/>
                <w:highlight w:val="none"/>
                <w:lang w:val="en-US" w:eastAsia="zh-CN"/>
                <w14:textFill>
                  <w14:solidFill>
                    <w14:schemeClr w14:val="tx1"/>
                  </w14:solidFill>
                </w14:textFill>
              </w:rPr>
            </w:pPr>
            <w:r>
              <w:rPr>
                <w:rFonts w:hint="eastAsia"/>
                <w:color w:val="000000" w:themeColor="text1"/>
                <w:kern w:val="0"/>
                <w:sz w:val="24"/>
                <w:highlight w:val="none"/>
                <w:lang w:val="en-US" w:eastAsia="zh-CN"/>
                <w14:textFill>
                  <w14:solidFill>
                    <w14:schemeClr w14:val="tx1"/>
                  </w14:solidFill>
                </w14:textFill>
              </w:rPr>
              <w:t>在暴雨、连续阴雨天、大雾、冰雪等恶劣天气下，容易引起行车事故，并且交通事故发生概率随车流量的增加而上升。包括危化品、农药在内的道路运输危险品种类较多，事故发生地所处环境的敏感程度不一，因此危险程度也不一样，一般来说，交通事故中一般事故占多数，重大事故次之，特大事故更少。</w:t>
            </w:r>
          </w:p>
          <w:p>
            <w:pPr>
              <w:keepNext w:val="0"/>
              <w:keepLines w:val="0"/>
              <w:suppressLineNumbers w:val="0"/>
              <w:autoSpaceDE w:val="0"/>
              <w:autoSpaceDN w:val="0"/>
              <w:spacing w:before="0" w:beforeAutospacing="0" w:after="0" w:afterAutospacing="0" w:line="360" w:lineRule="auto"/>
              <w:ind w:left="0" w:right="0" w:firstLine="480" w:firstLineChars="200"/>
              <w:rPr>
                <w:rFonts w:hint="eastAsia"/>
                <w:color w:val="000000" w:themeColor="text1"/>
                <w:kern w:val="0"/>
                <w:sz w:val="24"/>
                <w:highlight w:val="none"/>
                <w:lang w:val="en-US" w:eastAsia="zh-CN"/>
                <w14:textFill>
                  <w14:solidFill>
                    <w14:schemeClr w14:val="tx1"/>
                  </w14:solidFill>
                </w14:textFill>
              </w:rPr>
            </w:pPr>
            <w:r>
              <w:rPr>
                <w:rFonts w:hint="eastAsia"/>
                <w:color w:val="000000" w:themeColor="text1"/>
                <w:kern w:val="0"/>
                <w:sz w:val="24"/>
                <w:highlight w:val="none"/>
                <w:lang w:val="en-US" w:eastAsia="zh-CN"/>
                <w14:textFill>
                  <w14:solidFill>
                    <w14:schemeClr w14:val="tx1"/>
                  </w14:solidFill>
                </w14:textFill>
              </w:rPr>
              <w:t>就危险品运输车辆的交通事故而言，危害程度较大的主要有两种，一是运送易爆易燃品的事故，引起爆炸，导致部分有毒有害气体污染空气环境；二是有毒有害的固态或液态危险品如农药、硫酸等因翻车泄漏而进入土壤、地下水体，污染环境，通过运营期间加强管理，此类事故的发生概率可以降至最低程度。</w:t>
            </w:r>
          </w:p>
          <w:p>
            <w:pPr>
              <w:keepNext w:val="0"/>
              <w:keepLines w:val="0"/>
              <w:suppressLineNumbers w:val="0"/>
              <w:autoSpaceDE w:val="0"/>
              <w:autoSpaceDN w:val="0"/>
              <w:spacing w:before="0" w:beforeAutospacing="0" w:after="0" w:afterAutospacing="0" w:line="360" w:lineRule="auto"/>
              <w:ind w:left="0" w:right="0" w:firstLine="480" w:firstLineChars="200"/>
              <w:rPr>
                <w:rFonts w:hint="eastAsia"/>
                <w:color w:val="000000" w:themeColor="text1"/>
                <w:kern w:val="0"/>
                <w:sz w:val="24"/>
                <w:highlight w:val="none"/>
                <w:lang w:val="en-US" w:eastAsia="zh-CN"/>
                <w14:textFill>
                  <w14:solidFill>
                    <w14:schemeClr w14:val="tx1"/>
                  </w14:solidFill>
                </w14:textFill>
              </w:rPr>
            </w:pPr>
            <w:r>
              <w:rPr>
                <w:rFonts w:hint="eastAsia"/>
                <w:color w:val="000000" w:themeColor="text1"/>
                <w:kern w:val="0"/>
                <w:sz w:val="24"/>
                <w:highlight w:val="none"/>
                <w:lang w:val="en-US" w:eastAsia="zh-CN"/>
                <w14:textFill>
                  <w14:solidFill>
                    <w14:schemeClr w14:val="tx1"/>
                  </w14:solidFill>
                </w14:textFill>
              </w:rPr>
              <w:t>本项目桥梁段长1318米，过境车辆大部分路程在桥梁上行驶，一旦发生撞击事件，将对车辆、桥梁及桥下物体造成较大安全事故。项目拟在主线桥梁上修建</w:t>
            </w:r>
            <w:r>
              <w:rPr>
                <w:rFonts w:hint="eastAsia" w:ascii="宋体" w:hAnsi="宋体"/>
                <w:color w:val="000000" w:themeColor="text1"/>
                <w:sz w:val="24"/>
                <w:highlight w:val="none"/>
                <w14:textFill>
                  <w14:solidFill>
                    <w14:schemeClr w14:val="tx1"/>
                  </w14:solidFill>
                </w14:textFill>
              </w:rPr>
              <w:t>防撞等级SB级钢筋砼墙式护栏，防撞墙高度H=100cm，底座宽度B=50.3cm</w:t>
            </w:r>
            <w:r>
              <w:rPr>
                <w:rFonts w:hint="eastAsia" w:ascii="宋体" w:hAnsi="宋体"/>
                <w:color w:val="000000" w:themeColor="text1"/>
                <w:sz w:val="24"/>
                <w:highlight w:val="none"/>
                <w:lang w:eastAsia="zh-CN"/>
                <w14:textFill>
                  <w14:solidFill>
                    <w14:schemeClr w14:val="tx1"/>
                  </w14:solidFill>
                </w14:textFill>
              </w:rPr>
              <w:t>，</w:t>
            </w:r>
            <w:r>
              <w:rPr>
                <w:rFonts w:hint="eastAsia" w:ascii="宋体" w:hAnsi="宋体"/>
                <w:color w:val="000000" w:themeColor="text1"/>
                <w:sz w:val="24"/>
                <w:highlight w:val="none"/>
                <w:lang w:val="en-US" w:eastAsia="zh-CN"/>
                <w14:textFill>
                  <w14:solidFill>
                    <w14:schemeClr w14:val="tx1"/>
                  </w14:solidFill>
                </w14:textFill>
              </w:rPr>
              <w:t>同时</w:t>
            </w:r>
            <w:r>
              <w:rPr>
                <w:rFonts w:hint="eastAsia"/>
                <w:color w:val="000000" w:themeColor="text1"/>
                <w:kern w:val="0"/>
                <w:sz w:val="24"/>
                <w:highlight w:val="none"/>
                <w:lang w:val="en-US" w:eastAsia="zh-CN"/>
                <w14:textFill>
                  <w14:solidFill>
                    <w14:schemeClr w14:val="tx1"/>
                  </w14:solidFill>
                </w14:textFill>
              </w:rPr>
              <w:t>设置警示标识、限载标识、减速或限速标识等，只要过往车辆行车规范，降速行驶，通过加强该路段的交通管理，此类撞击风险事故的概率可以降至最低程度。</w:t>
            </w:r>
          </w:p>
          <w:p>
            <w:pPr>
              <w:keepNext w:val="0"/>
              <w:keepLines w:val="0"/>
              <w:suppressLineNumbers w:val="0"/>
              <w:autoSpaceDE w:val="0"/>
              <w:autoSpaceDN w:val="0"/>
              <w:spacing w:before="0" w:beforeAutospacing="0" w:after="0" w:afterAutospacing="0" w:line="360" w:lineRule="auto"/>
              <w:ind w:left="0" w:right="0" w:firstLine="480" w:firstLineChars="200"/>
              <w:rPr>
                <w:color w:val="000000" w:themeColor="text1"/>
                <w:kern w:val="0"/>
                <w:sz w:val="24"/>
                <w:highlight w:val="none"/>
                <w14:textFill>
                  <w14:solidFill>
                    <w14:schemeClr w14:val="tx1"/>
                  </w14:solidFill>
                </w14:textFill>
              </w:rPr>
            </w:pPr>
            <w:r>
              <w:rPr>
                <w:rFonts w:hint="eastAsia"/>
                <w:color w:val="000000" w:themeColor="text1"/>
                <w:kern w:val="0"/>
                <w:sz w:val="24"/>
                <w:highlight w:val="none"/>
                <w:lang w:val="en-US" w:eastAsia="zh-CN"/>
                <w14:textFill>
                  <w14:solidFill>
                    <w14:schemeClr w14:val="tx1"/>
                  </w14:solidFill>
                </w14:textFill>
              </w:rPr>
              <w:t>综上所述，通过加强监督管理，落实相关风险防范措施，本项目环境风险水平可接受。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53" w:type="dxa"/>
            <w:vAlign w:val="center"/>
          </w:tcPr>
          <w:p>
            <w:pPr>
              <w:keepNext w:val="0"/>
              <w:keepLines w:val="0"/>
              <w:suppressLineNumbers w:val="0"/>
              <w:adjustRightInd w:val="0"/>
              <w:snapToGrid w:val="0"/>
              <w:spacing w:before="0" w:beforeAutospacing="0" w:after="0" w:afterAutospacing="0"/>
              <w:ind w:left="0" w:right="0"/>
              <w:jc w:val="center"/>
              <w:rPr>
                <w:bCs/>
                <w:color w:val="000000" w:themeColor="text1"/>
                <w:spacing w:val="10"/>
                <w:sz w:val="24"/>
                <w:highlight w:val="none"/>
                <w14:textFill>
                  <w14:solidFill>
                    <w14:schemeClr w14:val="tx1"/>
                  </w14:solidFill>
                </w14:textFill>
              </w:rPr>
            </w:pPr>
            <w:r>
              <w:rPr>
                <w:bCs/>
                <w:color w:val="000000" w:themeColor="text1"/>
                <w:sz w:val="24"/>
                <w:highlight w:val="none"/>
                <w14:textFill>
                  <w14:solidFill>
                    <w14:schemeClr w14:val="tx1"/>
                  </w14:solidFill>
                </w14:textFill>
              </w:rPr>
              <w:t>其他</w:t>
            </w:r>
          </w:p>
        </w:tc>
        <w:tc>
          <w:tcPr>
            <w:tcW w:w="8457" w:type="dxa"/>
          </w:tcPr>
          <w:p>
            <w:pPr>
              <w:keepNext w:val="0"/>
              <w:keepLines w:val="0"/>
              <w:suppressLineNumbers w:val="0"/>
              <w:spacing w:before="0" w:beforeAutospacing="0" w:after="0" w:afterAutospacing="0" w:line="360" w:lineRule="auto"/>
              <w:ind w:left="0" w:right="0"/>
              <w:rPr>
                <w:rFonts w:hint="eastAsia" w:ascii="Times New Roman" w:hAnsi="Times New Roman" w:eastAsia="宋体"/>
                <w:b/>
                <w:color w:val="000000" w:themeColor="text1"/>
                <w:sz w:val="28"/>
                <w:szCs w:val="28"/>
                <w:highlight w:val="none"/>
                <w:lang w:eastAsia="zh-CN"/>
                <w14:textFill>
                  <w14:solidFill>
                    <w14:schemeClr w14:val="tx1"/>
                  </w14:solidFill>
                </w14:textFill>
              </w:rPr>
            </w:pPr>
            <w:r>
              <w:rPr>
                <w:rFonts w:ascii="Times New Roman" w:hAnsi="Times New Roman"/>
                <w:b/>
                <w:color w:val="000000" w:themeColor="text1"/>
                <w:sz w:val="28"/>
                <w:szCs w:val="28"/>
                <w:highlight w:val="none"/>
                <w14:textFill>
                  <w14:solidFill>
                    <w14:schemeClr w14:val="tx1"/>
                  </w14:solidFill>
                </w14:textFill>
              </w:rPr>
              <w:t>环境管理及监测计划</w:t>
            </w:r>
          </w:p>
          <w:p>
            <w:pPr>
              <w:keepNext w:val="0"/>
              <w:keepLines w:val="0"/>
              <w:suppressLineNumbers w:val="0"/>
              <w:spacing w:before="0" w:beforeAutospacing="0" w:after="0" w:afterAutospacing="0" w:line="360" w:lineRule="auto"/>
              <w:ind w:left="0" w:right="0" w:firstLine="480"/>
              <w:rPr>
                <w:rFonts w:ascii="Times New Roman" w:hAnsi="Times New Roman"/>
                <w:b/>
                <w:color w:val="000000" w:themeColor="text1"/>
                <w:sz w:val="24"/>
                <w:highlight w:val="none"/>
                <w14:textFill>
                  <w14:solidFill>
                    <w14:schemeClr w14:val="tx1"/>
                  </w14:solidFill>
                </w14:textFill>
              </w:rPr>
            </w:pPr>
            <w:r>
              <w:rPr>
                <w:rFonts w:ascii="Times New Roman" w:hAnsi="Times New Roman"/>
                <w:b/>
                <w:color w:val="000000" w:themeColor="text1"/>
                <w:sz w:val="24"/>
                <w:highlight w:val="none"/>
                <w14:textFill>
                  <w14:solidFill>
                    <w14:schemeClr w14:val="tx1"/>
                  </w14:solidFill>
                </w14:textFill>
              </w:rPr>
              <w:t>1、环境管理</w:t>
            </w:r>
          </w:p>
          <w:p>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textAlignment w:val="bottom"/>
              <w:rPr>
                <w:rFonts w:ascii="Times New Roman" w:hAnsi="Times New Roman"/>
                <w:b/>
                <w:bCs/>
                <w:color w:val="000000" w:themeColor="text1"/>
                <w:sz w:val="24"/>
                <w:highlight w:val="none"/>
                <w14:textFill>
                  <w14:solidFill>
                    <w14:schemeClr w14:val="tx1"/>
                  </w14:solidFill>
                </w14:textFill>
              </w:rPr>
            </w:pPr>
            <w:r>
              <w:rPr>
                <w:rFonts w:ascii="Times New Roman" w:hAnsi="Times New Roman"/>
                <w:b/>
                <w:bCs/>
                <w:color w:val="000000" w:themeColor="text1"/>
                <w:sz w:val="24"/>
                <w:highlight w:val="none"/>
                <w14:textFill>
                  <w14:solidFill>
                    <w14:schemeClr w14:val="tx1"/>
                  </w14:solidFill>
                </w14:textFill>
              </w:rPr>
              <w:t>（1）施工期</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textAlignment w:val="bottom"/>
              <w:rPr>
                <w:rFonts w:ascii="Times New Roman" w:hAnsi="Times New Roman"/>
                <w:bCs/>
                <w:color w:val="000000" w:themeColor="text1"/>
                <w:sz w:val="24"/>
                <w:highlight w:val="none"/>
                <w14:textFill>
                  <w14:solidFill>
                    <w14:schemeClr w14:val="tx1"/>
                  </w14:solidFill>
                </w14:textFill>
              </w:rPr>
            </w:pPr>
            <w:r>
              <w:rPr>
                <w:rFonts w:ascii="Times New Roman" w:hAnsi="Times New Roman"/>
                <w:bCs/>
                <w:color w:val="000000" w:themeColor="text1"/>
                <w:sz w:val="24"/>
                <w:highlight w:val="none"/>
                <w14:textFill>
                  <w14:solidFill>
                    <w14:schemeClr w14:val="tx1"/>
                  </w14:solidFill>
                </w14:textFill>
              </w:rPr>
              <w:t>为了加强该工程施工期的环境管理，严格控制新污染，保护和改善项目区环境质量，结合工程的特点，施工期间环保机构可由业主配置环保专职人员1-2人，专门负责本工程的环境保护管理工作。</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textAlignment w:val="bottom"/>
              <w:rPr>
                <w:rFonts w:ascii="Times New Roman" w:hAnsi="Times New Roman"/>
                <w:bCs/>
                <w:color w:val="000000" w:themeColor="text1"/>
                <w:sz w:val="24"/>
                <w:highlight w:val="none"/>
                <w14:textFill>
                  <w14:solidFill>
                    <w14:schemeClr w14:val="tx1"/>
                  </w14:solidFill>
                </w14:textFill>
              </w:rPr>
            </w:pPr>
            <w:r>
              <w:rPr>
                <w:rFonts w:ascii="Times New Roman" w:hAnsi="Times New Roman"/>
                <w:bCs/>
                <w:color w:val="000000" w:themeColor="text1"/>
                <w:sz w:val="24"/>
                <w:highlight w:val="none"/>
                <w14:textFill>
                  <w14:solidFill>
                    <w14:schemeClr w14:val="tx1"/>
                  </w14:solidFill>
                </w14:textFill>
              </w:rPr>
              <w:t>为加强企业的环境保护管理工作，发挥环保管理机构的作用，本评价明确其环境管理的主要职责为：</w:t>
            </w:r>
          </w:p>
          <w:p>
            <w:pPr>
              <w:keepNext w:val="0"/>
              <w:keepLines w:val="0"/>
              <w:suppressLineNumbers w:val="0"/>
              <w:spacing w:before="0" w:beforeAutospacing="0" w:after="0" w:afterAutospacing="0" w:line="360" w:lineRule="auto"/>
              <w:ind w:left="0" w:right="0" w:firstLine="480" w:firstLineChars="2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1）贯彻执行国家、地方环境保护法规和标准。</w:t>
            </w:r>
          </w:p>
          <w:p>
            <w:pPr>
              <w:keepNext w:val="0"/>
              <w:keepLines w:val="0"/>
              <w:suppressLineNumbers w:val="0"/>
              <w:spacing w:before="0" w:beforeAutospacing="0" w:after="0" w:afterAutospacing="0" w:line="360" w:lineRule="auto"/>
              <w:ind w:left="0" w:right="0" w:firstLine="480" w:firstLineChars="2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2）随着工程进展情况，不断落实环评中的环境保护措施</w:t>
            </w:r>
            <w:r>
              <w:rPr>
                <w:rFonts w:hint="eastAsia" w:ascii="Times New Roman" w:hAnsi="Times New Roman"/>
                <w:color w:val="000000" w:themeColor="text1"/>
                <w:sz w:val="24"/>
                <w:highlight w:val="none"/>
                <w:lang w:eastAsia="zh-CN"/>
                <w14:textFill>
                  <w14:solidFill>
                    <w14:schemeClr w14:val="tx1"/>
                  </w14:solidFill>
                </w14:textFill>
              </w:rPr>
              <w:t>，</w:t>
            </w:r>
            <w:r>
              <w:rPr>
                <w:rFonts w:ascii="Times New Roman" w:hAnsi="Times New Roman"/>
                <w:color w:val="000000" w:themeColor="text1"/>
                <w:sz w:val="24"/>
                <w:highlight w:val="none"/>
                <w14:textFill>
                  <w14:solidFill>
                    <w14:schemeClr w14:val="tx1"/>
                  </w14:solidFill>
                </w14:textFill>
              </w:rPr>
              <w:t>领导并组织项目环境监测工作，建立监测档案。落实和协调环境监理工作。</w:t>
            </w:r>
          </w:p>
          <w:p>
            <w:pPr>
              <w:keepNext w:val="0"/>
              <w:keepLines w:val="0"/>
              <w:suppressLineNumbers w:val="0"/>
              <w:spacing w:before="0" w:beforeAutospacing="0" w:after="0" w:afterAutospacing="0" w:line="360" w:lineRule="auto"/>
              <w:ind w:left="0" w:right="0" w:firstLine="480" w:firstLineChars="2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3）施工过程中监督各个施工期的环保措施实施情况，并对污染物排放情况进行记录、汇总。</w:t>
            </w:r>
          </w:p>
          <w:p>
            <w:pPr>
              <w:keepNext w:val="0"/>
              <w:keepLines w:val="0"/>
              <w:suppressLineNumbers w:val="0"/>
              <w:spacing w:before="0" w:beforeAutospacing="0" w:after="0" w:afterAutospacing="0" w:line="360" w:lineRule="auto"/>
              <w:ind w:left="0" w:right="0" w:firstLine="480" w:firstLineChars="2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4）在施工过程中编制项目环境保护和环境监测计划，设计并组织实施；建立</w:t>
            </w:r>
            <w:r>
              <w:rPr>
                <w:rFonts w:hint="eastAsia"/>
                <w:color w:val="000000" w:themeColor="text1"/>
                <w:sz w:val="24"/>
                <w:highlight w:val="none"/>
                <w:lang w:val="en-US" w:eastAsia="zh-CN"/>
                <w14:textFill>
                  <w14:solidFill>
                    <w14:schemeClr w14:val="tx1"/>
                  </w14:solidFill>
                </w14:textFill>
              </w:rPr>
              <w:t>健</w:t>
            </w:r>
            <w:r>
              <w:rPr>
                <w:rFonts w:ascii="Times New Roman" w:hAnsi="Times New Roman"/>
                <w:color w:val="000000" w:themeColor="text1"/>
                <w:sz w:val="24"/>
                <w:highlight w:val="none"/>
                <w14:textFill>
                  <w14:solidFill>
                    <w14:schemeClr w14:val="tx1"/>
                  </w14:solidFill>
                </w14:textFill>
              </w:rPr>
              <w:t>全各种规章制度，并检查督促实施。按有关规定编制各种报告与报表，并负责向上级领导及环保部门呈报。</w:t>
            </w:r>
          </w:p>
          <w:p>
            <w:pPr>
              <w:keepNext w:val="0"/>
              <w:keepLines w:val="0"/>
              <w:suppressLineNumbers w:val="0"/>
              <w:spacing w:before="0" w:beforeAutospacing="0" w:after="0" w:afterAutospacing="0" w:line="360" w:lineRule="auto"/>
              <w:ind w:left="0" w:right="0" w:firstLine="480" w:firstLineChars="2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5）协同当地环保部门处理与本项目有关的环境问题，以及公众提出的意见和建议，并做好统计工作。</w:t>
            </w:r>
          </w:p>
          <w:p>
            <w:pPr>
              <w:keepNext w:val="0"/>
              <w:keepLines w:val="0"/>
              <w:suppressLineNumbers w:val="0"/>
              <w:spacing w:before="0" w:beforeAutospacing="0" w:after="0" w:afterAutospacing="0" w:line="360" w:lineRule="auto"/>
              <w:ind w:left="0" w:right="0" w:firstLine="480" w:firstLineChars="2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6）负责宣传环保相关知识，提高施工人员的环保意识。</w:t>
            </w:r>
          </w:p>
          <w:p>
            <w:pPr>
              <w:keepNext w:val="0"/>
              <w:keepLines w:val="0"/>
              <w:suppressLineNumbers w:val="0"/>
              <w:spacing w:before="0" w:beforeAutospacing="0" w:after="0" w:afterAutospacing="0" w:line="360" w:lineRule="auto"/>
              <w:ind w:left="0" w:right="0" w:firstLine="480" w:firstLineChars="2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7）落实经环保行政主管部门批复的工程环境影响评价报告书中的环境保护措施：在工程建设施工合同中应包括环境保护、水土保持有关条款，明确相应的责任与义务。</w:t>
            </w:r>
          </w:p>
          <w:p>
            <w:pPr>
              <w:keepNext w:val="0"/>
              <w:keepLines w:val="0"/>
              <w:suppressLineNumbers w:val="0"/>
              <w:spacing w:before="0" w:beforeAutospacing="0" w:after="0" w:afterAutospacing="0" w:line="360" w:lineRule="auto"/>
              <w:ind w:left="0" w:right="0" w:firstLine="480" w:firstLineChars="20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8）监督施工单位环保设施的建设实施情况、环保设施的处理效果等。</w:t>
            </w:r>
          </w:p>
          <w:p>
            <w:pPr>
              <w:keepNext w:val="0"/>
              <w:keepLines w:val="0"/>
              <w:suppressLineNumbers w:val="0"/>
              <w:spacing w:before="0" w:beforeAutospacing="0" w:after="0" w:afterAutospacing="0" w:line="360" w:lineRule="auto"/>
              <w:ind w:left="0" w:right="0" w:firstLine="480" w:firstLineChars="20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9）负责筹措环保措施需要的经费，确保各项环保能够顺利落实。</w:t>
            </w:r>
          </w:p>
          <w:p>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textAlignment w:val="bottom"/>
              <w:rPr>
                <w:rFonts w:ascii="Times New Roman" w:hAnsi="Times New Roman"/>
                <w:b/>
                <w:bCs/>
                <w:color w:val="000000" w:themeColor="text1"/>
                <w:sz w:val="24"/>
                <w:highlight w:val="none"/>
                <w14:textFill>
                  <w14:solidFill>
                    <w14:schemeClr w14:val="tx1"/>
                  </w14:solidFill>
                </w14:textFill>
              </w:rPr>
            </w:pPr>
            <w:r>
              <w:rPr>
                <w:rFonts w:ascii="Times New Roman" w:hAnsi="Times New Roman"/>
                <w:b/>
                <w:bCs/>
                <w:color w:val="000000" w:themeColor="text1"/>
                <w:sz w:val="24"/>
                <w:highlight w:val="none"/>
                <w14:textFill>
                  <w14:solidFill>
                    <w14:schemeClr w14:val="tx1"/>
                  </w14:solidFill>
                </w14:textFill>
              </w:rPr>
              <w:t>（2）运营期</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textAlignment w:val="bottom"/>
              <w:rPr>
                <w:rFonts w:ascii="Times New Roman" w:hAnsi="Times New Roman"/>
                <w:bCs/>
                <w:color w:val="000000" w:themeColor="text1"/>
                <w:sz w:val="24"/>
                <w:highlight w:val="none"/>
                <w14:textFill>
                  <w14:solidFill>
                    <w14:schemeClr w14:val="tx1"/>
                  </w14:solidFill>
                </w14:textFill>
              </w:rPr>
            </w:pPr>
            <w:r>
              <w:rPr>
                <w:rFonts w:ascii="Times New Roman" w:hAnsi="Times New Roman"/>
                <w:bCs/>
                <w:color w:val="000000" w:themeColor="text1"/>
                <w:sz w:val="24"/>
                <w:highlight w:val="none"/>
                <w14:textFill>
                  <w14:solidFill>
                    <w14:schemeClr w14:val="tx1"/>
                  </w14:solidFill>
                </w14:textFill>
              </w:rPr>
              <w:t>本工程属于市政工程，项目建成投入运营后的管理工作全部纳入道路所在区域市政道路管理部门统一进行管理。其管理内容主要有：</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textAlignment w:val="bottom"/>
              <w:rPr>
                <w:rFonts w:ascii="Times New Roman" w:hAnsi="Times New Roman"/>
                <w:bCs/>
                <w:color w:val="000000" w:themeColor="text1"/>
                <w:sz w:val="24"/>
                <w:highlight w:val="none"/>
                <w14:textFill>
                  <w14:solidFill>
                    <w14:schemeClr w14:val="tx1"/>
                  </w14:solidFill>
                </w14:textFill>
              </w:rPr>
            </w:pPr>
            <w:r>
              <w:rPr>
                <w:rFonts w:ascii="Times New Roman" w:hAnsi="Times New Roman"/>
                <w:bCs/>
                <w:color w:val="000000" w:themeColor="text1"/>
                <w:sz w:val="24"/>
                <w:highlight w:val="none"/>
                <w14:textFill>
                  <w14:solidFill>
                    <w14:schemeClr w14:val="tx1"/>
                  </w14:solidFill>
                </w14:textFill>
              </w:rPr>
              <w:t>1）继续贯彻执行国家、地方环境保持法规和标准。</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textAlignment w:val="bottom"/>
              <w:rPr>
                <w:rFonts w:ascii="Times New Roman" w:hAnsi="Times New Roman"/>
                <w:bCs/>
                <w:color w:val="000000" w:themeColor="text1"/>
                <w:sz w:val="24"/>
                <w:highlight w:val="none"/>
                <w14:textFill>
                  <w14:solidFill>
                    <w14:schemeClr w14:val="tx1"/>
                  </w14:solidFill>
                </w14:textFill>
              </w:rPr>
            </w:pPr>
            <w:r>
              <w:rPr>
                <w:rFonts w:ascii="Times New Roman" w:hAnsi="Times New Roman"/>
                <w:bCs/>
                <w:color w:val="000000" w:themeColor="text1"/>
                <w:sz w:val="24"/>
                <w:highlight w:val="none"/>
                <w14:textFill>
                  <w14:solidFill>
                    <w14:schemeClr w14:val="tx1"/>
                  </w14:solidFill>
                </w14:textFill>
              </w:rPr>
              <w:t>2）确定工程的监测计划，确定监测点和监测频率。根据监测结果核实采取的污染防治措施是否合理可行。</w:t>
            </w:r>
          </w:p>
          <w:p>
            <w:pPr>
              <w:keepNext w:val="0"/>
              <w:keepLines w:val="0"/>
              <w:suppressLineNumbers w:val="0"/>
              <w:spacing w:before="0" w:beforeAutospacing="0" w:after="0" w:afterAutospacing="0" w:line="360" w:lineRule="auto"/>
              <w:ind w:left="0" w:right="0" w:firstLine="480" w:firstLineChars="200"/>
              <w:rPr>
                <w:rFonts w:ascii="Times New Roman" w:hAnsi="Times New Roman"/>
                <w:bCs/>
                <w:color w:val="000000" w:themeColor="text1"/>
                <w:sz w:val="24"/>
                <w:highlight w:val="none"/>
                <w14:textFill>
                  <w14:solidFill>
                    <w14:schemeClr w14:val="tx1"/>
                  </w14:solidFill>
                </w14:textFill>
              </w:rPr>
            </w:pPr>
            <w:r>
              <w:rPr>
                <w:rFonts w:ascii="Times New Roman" w:hAnsi="Times New Roman"/>
                <w:bCs/>
                <w:color w:val="000000" w:themeColor="text1"/>
                <w:sz w:val="24"/>
                <w:highlight w:val="none"/>
                <w14:textFill>
                  <w14:solidFill>
                    <w14:schemeClr w14:val="tx1"/>
                  </w14:solidFill>
                </w14:textFill>
              </w:rPr>
              <w:t>3）负责接收公众的环保投诉，及时采取协调处理措施。</w:t>
            </w:r>
          </w:p>
          <w:p>
            <w:pPr>
              <w:keepNext w:val="0"/>
              <w:keepLines w:val="0"/>
              <w:suppressLineNumbers w:val="0"/>
              <w:spacing w:before="0" w:beforeAutospacing="0" w:after="0" w:afterAutospacing="0" w:line="360" w:lineRule="auto"/>
              <w:ind w:left="0" w:right="0" w:firstLine="480"/>
              <w:rPr>
                <w:rFonts w:ascii="Times New Roman" w:hAnsi="Times New Roman"/>
                <w:b/>
                <w:color w:val="000000" w:themeColor="text1"/>
                <w:sz w:val="24"/>
                <w:highlight w:val="none"/>
                <w14:textFill>
                  <w14:solidFill>
                    <w14:schemeClr w14:val="tx1"/>
                  </w14:solidFill>
                </w14:textFill>
              </w:rPr>
            </w:pPr>
            <w:r>
              <w:rPr>
                <w:rFonts w:ascii="Times New Roman" w:hAnsi="Times New Roman"/>
                <w:b/>
                <w:color w:val="000000" w:themeColor="text1"/>
                <w:sz w:val="24"/>
                <w:highlight w:val="none"/>
                <w14:textFill>
                  <w14:solidFill>
                    <w14:schemeClr w14:val="tx1"/>
                  </w14:solidFill>
                </w14:textFill>
              </w:rPr>
              <w:t>2、监测计划</w:t>
            </w:r>
          </w:p>
          <w:p>
            <w:pPr>
              <w:keepNext w:val="0"/>
              <w:keepLines w:val="0"/>
              <w:suppressLineNumbers w:val="0"/>
              <w:spacing w:before="0" w:beforeAutospacing="0" w:after="0" w:afterAutospacing="0" w:line="360" w:lineRule="auto"/>
              <w:ind w:left="0" w:right="0"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结合本项目特点，本项目监测重点为大气、噪声，采用定点和流动监测，定时和不定时抽检相结合的方式进行，监测时间营运期（以3年计）。计划见表</w:t>
            </w:r>
            <w:r>
              <w:rPr>
                <w:rFonts w:hint="eastAsia" w:ascii="Times New Roman" w:hAnsi="Times New Roman"/>
                <w:color w:val="000000" w:themeColor="text1"/>
                <w:sz w:val="24"/>
                <w:highlight w:val="none"/>
                <w:lang w:val="en-US" w:eastAsia="zh-CN"/>
                <w14:textFill>
                  <w14:solidFill>
                    <w14:schemeClr w14:val="tx1"/>
                  </w14:solidFill>
                </w14:textFill>
              </w:rPr>
              <w:t>5</w:t>
            </w:r>
            <w:r>
              <w:rPr>
                <w:rFonts w:ascii="Times New Roman" w:hAnsi="Times New Roman"/>
                <w:color w:val="000000" w:themeColor="text1"/>
                <w:sz w:val="24"/>
                <w:highlight w:val="none"/>
                <w14:textFill>
                  <w14:solidFill>
                    <w14:schemeClr w14:val="tx1"/>
                  </w14:solidFill>
                </w14:textFill>
              </w:rPr>
              <w:t>-</w:t>
            </w:r>
            <w:r>
              <w:rPr>
                <w:rFonts w:hint="eastAsia" w:ascii="Times New Roman" w:hAnsi="Times New Roman"/>
                <w:color w:val="000000" w:themeColor="text1"/>
                <w:sz w:val="24"/>
                <w:highlight w:val="none"/>
                <w:lang w:val="en-US" w:eastAsia="zh-CN"/>
                <w14:textFill>
                  <w14:solidFill>
                    <w14:schemeClr w14:val="tx1"/>
                  </w14:solidFill>
                </w14:textFill>
              </w:rPr>
              <w:t>1</w:t>
            </w:r>
            <w:r>
              <w:rPr>
                <w:rFonts w:ascii="Times New Roman" w:hAnsi="Times New Roman"/>
                <w:color w:val="000000" w:themeColor="text1"/>
                <w:sz w:val="24"/>
                <w:highlight w:val="none"/>
                <w14:textFill>
                  <w14:solidFill>
                    <w14:schemeClr w14:val="tx1"/>
                  </w14:solidFill>
                </w14:textFill>
              </w:rPr>
              <w:t>。</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表5-1  项目环境质量监测计划</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1703"/>
              <w:gridCol w:w="688"/>
              <w:gridCol w:w="2106"/>
              <w:gridCol w:w="3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val="0"/>
                  <w:vAlign w:val="center"/>
                </w:tcPr>
                <w:p>
                  <w:pPr>
                    <w:keepNext w:val="0"/>
                    <w:keepLines w:val="0"/>
                    <w:suppressLineNumbers w:val="0"/>
                    <w:tabs>
                      <w:tab w:val="left" w:pos="1571"/>
                    </w:tabs>
                    <w:spacing w:before="0" w:beforeAutospacing="0" w:after="0" w:afterAutospacing="0"/>
                    <w:ind w:left="0" w:right="0"/>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项目</w:t>
                  </w:r>
                </w:p>
              </w:tc>
              <w:tc>
                <w:tcPr>
                  <w:tcW w:w="1882" w:type="dxa"/>
                  <w:noWrap w:val="0"/>
                  <w:vAlign w:val="center"/>
                </w:tcPr>
                <w:p>
                  <w:pPr>
                    <w:keepNext w:val="0"/>
                    <w:keepLines w:val="0"/>
                    <w:suppressLineNumbers w:val="0"/>
                    <w:tabs>
                      <w:tab w:val="left" w:pos="1571"/>
                    </w:tabs>
                    <w:spacing w:before="0" w:beforeAutospacing="0" w:after="0" w:afterAutospacing="0"/>
                    <w:ind w:left="0" w:right="0"/>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监测点设置</w:t>
                  </w:r>
                </w:p>
              </w:tc>
              <w:tc>
                <w:tcPr>
                  <w:tcW w:w="708" w:type="dxa"/>
                  <w:noWrap w:val="0"/>
                  <w:vAlign w:val="center"/>
                </w:tcPr>
                <w:p>
                  <w:pPr>
                    <w:keepNext w:val="0"/>
                    <w:keepLines w:val="0"/>
                    <w:suppressLineNumbers w:val="0"/>
                    <w:tabs>
                      <w:tab w:val="left" w:pos="1571"/>
                    </w:tabs>
                    <w:spacing w:before="0" w:beforeAutospacing="0" w:after="0" w:afterAutospacing="0"/>
                    <w:ind w:left="0" w:right="0"/>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监测项目</w:t>
                  </w:r>
                </w:p>
              </w:tc>
              <w:tc>
                <w:tcPr>
                  <w:tcW w:w="1728" w:type="dxa"/>
                  <w:noWrap w:val="0"/>
                  <w:vAlign w:val="center"/>
                </w:tcPr>
                <w:p>
                  <w:pPr>
                    <w:keepNext w:val="0"/>
                    <w:keepLines w:val="0"/>
                    <w:suppressLineNumbers w:val="0"/>
                    <w:tabs>
                      <w:tab w:val="left" w:pos="1571"/>
                    </w:tabs>
                    <w:spacing w:before="0" w:beforeAutospacing="0" w:after="0" w:afterAutospacing="0"/>
                    <w:ind w:left="0" w:right="0"/>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监测频次</w:t>
                  </w:r>
                </w:p>
              </w:tc>
              <w:tc>
                <w:tcPr>
                  <w:tcW w:w="3179" w:type="dxa"/>
                  <w:noWrap w:val="0"/>
                  <w:vAlign w:val="center"/>
                </w:tcPr>
                <w:p>
                  <w:pPr>
                    <w:keepNext w:val="0"/>
                    <w:keepLines w:val="0"/>
                    <w:suppressLineNumbers w:val="0"/>
                    <w:tabs>
                      <w:tab w:val="left" w:pos="1571"/>
                    </w:tabs>
                    <w:spacing w:before="0" w:beforeAutospacing="0" w:after="0" w:afterAutospacing="0"/>
                    <w:ind w:left="0" w:right="0"/>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区域质量标准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val="0"/>
                  <w:vAlign w:val="center"/>
                </w:tcPr>
                <w:p>
                  <w:pPr>
                    <w:keepNext w:val="0"/>
                    <w:keepLines w:val="0"/>
                    <w:suppressLineNumbers w:val="0"/>
                    <w:tabs>
                      <w:tab w:val="left" w:pos="1571"/>
                    </w:tabs>
                    <w:spacing w:before="0" w:beforeAutospacing="0" w:after="0" w:afterAutospacing="0"/>
                    <w:ind w:left="0" w:right="0"/>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声环境（运营期）</w:t>
                  </w:r>
                </w:p>
              </w:tc>
              <w:tc>
                <w:tcPr>
                  <w:tcW w:w="1882" w:type="dxa"/>
                  <w:noWrap w:val="0"/>
                  <w:vAlign w:val="center"/>
                </w:tcPr>
                <w:p>
                  <w:pPr>
                    <w:keepNext w:val="0"/>
                    <w:keepLines w:val="0"/>
                    <w:suppressLineNumbers w:val="0"/>
                    <w:tabs>
                      <w:tab w:val="left" w:pos="1571"/>
                    </w:tabs>
                    <w:spacing w:before="0" w:beforeAutospacing="0" w:after="0" w:afterAutospacing="0"/>
                    <w:ind w:left="0" w:right="0"/>
                    <w:jc w:val="center"/>
                    <w:rPr>
                      <w:rFonts w:hint="eastAsia" w:ascii="Times New Roman" w:hAnsi="Times New Roman"/>
                      <w:color w:val="000000" w:themeColor="text1"/>
                      <w:szCs w:val="2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周边居民</w:t>
                  </w:r>
                  <w:r>
                    <w:rPr>
                      <w:rFonts w:hint="eastAsia" w:ascii="Times New Roman" w:hAnsi="Times New Roman"/>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见表3-7</w:t>
                  </w:r>
                  <w:r>
                    <w:rPr>
                      <w:rFonts w:hint="eastAsia" w:ascii="Times New Roman" w:hAnsi="Times New Roman"/>
                      <w:color w:val="000000" w:themeColor="text1"/>
                      <w:highlight w:val="none"/>
                      <w14:textFill>
                        <w14:solidFill>
                          <w14:schemeClr w14:val="tx1"/>
                        </w14:solidFill>
                      </w14:textFill>
                    </w:rPr>
                    <w:t>）</w:t>
                  </w:r>
                </w:p>
              </w:tc>
              <w:tc>
                <w:tcPr>
                  <w:tcW w:w="708" w:type="dxa"/>
                  <w:noWrap w:val="0"/>
                  <w:vAlign w:val="center"/>
                </w:tcPr>
                <w:p>
                  <w:pPr>
                    <w:keepNext w:val="0"/>
                    <w:keepLines w:val="0"/>
                    <w:suppressLineNumbers w:val="0"/>
                    <w:tabs>
                      <w:tab w:val="left" w:pos="1571"/>
                    </w:tabs>
                    <w:spacing w:before="0" w:beforeAutospacing="0" w:after="0" w:afterAutospacing="0"/>
                    <w:ind w:left="0" w:right="0"/>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连续等效A声级</w:t>
                  </w:r>
                </w:p>
              </w:tc>
              <w:tc>
                <w:tcPr>
                  <w:tcW w:w="1728" w:type="dxa"/>
                  <w:noWrap w:val="0"/>
                  <w:vAlign w:val="center"/>
                </w:tcPr>
                <w:p>
                  <w:pPr>
                    <w:keepNext w:val="0"/>
                    <w:keepLines w:val="0"/>
                    <w:suppressLineNumbers w:val="0"/>
                    <w:tabs>
                      <w:tab w:val="left" w:pos="1571"/>
                    </w:tabs>
                    <w:spacing w:before="0" w:beforeAutospacing="0" w:after="0" w:afterAutospacing="0"/>
                    <w:ind w:left="0" w:right="0"/>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根据需要进行</w:t>
                  </w:r>
                </w:p>
              </w:tc>
              <w:tc>
                <w:tcPr>
                  <w:tcW w:w="3179" w:type="dxa"/>
                  <w:noWrap w:val="0"/>
                  <w:vAlign w:val="center"/>
                </w:tcPr>
                <w:p>
                  <w:pPr>
                    <w:keepNext w:val="0"/>
                    <w:keepLines w:val="0"/>
                    <w:suppressLineNumbers w:val="0"/>
                    <w:spacing w:before="0" w:beforeAutospacing="0" w:after="0" w:afterAutospacing="0"/>
                    <w:ind w:left="0" w:right="0" w:firstLine="48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道路边界线</w:t>
                  </w:r>
                  <w:r>
                    <w:rPr>
                      <w:rFonts w:ascii="Times New Roman" w:hAnsi="Times New Roman"/>
                      <w:color w:val="000000" w:themeColor="text1"/>
                      <w:sz w:val="21"/>
                      <w:szCs w:val="21"/>
                      <w:highlight w:val="none"/>
                      <w:lang w:val="en-US" w:eastAsia="zh-CN"/>
                      <w14:textFill>
                        <w14:solidFill>
                          <w14:schemeClr w14:val="tx1"/>
                        </w14:solidFill>
                      </w14:textFill>
                    </w:rPr>
                    <w:t>外</w:t>
                  </w:r>
                  <w:r>
                    <w:rPr>
                      <w:rFonts w:hint="eastAsia" w:ascii="Times New Roman" w:hAnsi="Times New Roman"/>
                      <w:color w:val="000000" w:themeColor="text1"/>
                      <w:sz w:val="21"/>
                      <w:szCs w:val="21"/>
                      <w:highlight w:val="none"/>
                      <w:lang w:val="en-US" w:eastAsia="zh-CN"/>
                      <w14:textFill>
                        <w14:solidFill>
                          <w14:schemeClr w14:val="tx1"/>
                        </w14:solidFill>
                      </w14:textFill>
                    </w:rPr>
                    <w:t>35</w:t>
                  </w:r>
                  <w:r>
                    <w:rPr>
                      <w:rFonts w:ascii="Times New Roman" w:hAnsi="Times New Roman"/>
                      <w:color w:val="000000" w:themeColor="text1"/>
                      <w:sz w:val="21"/>
                      <w:szCs w:val="21"/>
                      <w:highlight w:val="none"/>
                      <w:lang w:val="en-US" w:eastAsia="zh-CN"/>
                      <w14:textFill>
                        <w14:solidFill>
                          <w14:schemeClr w14:val="tx1"/>
                        </w14:solidFill>
                      </w14:textFill>
                    </w:rPr>
                    <w:t>m</w:t>
                  </w:r>
                  <w:r>
                    <w:rPr>
                      <w:rFonts w:ascii="Times New Roman" w:hAnsi="Times New Roman"/>
                      <w:color w:val="000000" w:themeColor="text1"/>
                      <w:szCs w:val="21"/>
                      <w:highlight w:val="none"/>
                      <w14:textFill>
                        <w14:solidFill>
                          <w14:schemeClr w14:val="tx1"/>
                        </w14:solidFill>
                      </w14:textFill>
                    </w:rPr>
                    <w:t>以内区域按照《声环境质量标准》（GB3096-2008）中的4a类区执行，即昼间70dB（A）、夜间55dB（A）</w:t>
                  </w:r>
                  <w:r>
                    <w:rPr>
                      <w:rFonts w:hint="eastAsia" w:ascii="Times New Roman" w:hAnsi="Times New Roman"/>
                      <w:color w:val="000000" w:themeColor="text1"/>
                      <w:szCs w:val="21"/>
                      <w:highlight w:val="none"/>
                      <w14:textFill>
                        <w14:solidFill>
                          <w14:schemeClr w14:val="tx1"/>
                        </w14:solidFill>
                      </w14:textFill>
                    </w:rPr>
                    <w:t>；边线</w:t>
                  </w:r>
                  <w:r>
                    <w:rPr>
                      <w:rFonts w:hint="eastAsia" w:ascii="Times New Roman" w:hAnsi="Times New Roman"/>
                      <w:color w:val="000000" w:themeColor="text1"/>
                      <w:szCs w:val="21"/>
                      <w:highlight w:val="none"/>
                      <w:lang w:val="en-US" w:eastAsia="zh-CN"/>
                      <w14:textFill>
                        <w14:solidFill>
                          <w14:schemeClr w14:val="tx1"/>
                        </w14:solidFill>
                      </w14:textFill>
                    </w:rPr>
                    <w:t>35</w:t>
                  </w:r>
                  <w:r>
                    <w:rPr>
                      <w:rFonts w:hint="eastAsia" w:ascii="Times New Roman" w:hAnsi="Times New Roman"/>
                      <w:color w:val="000000" w:themeColor="text1"/>
                      <w:szCs w:val="21"/>
                      <w:highlight w:val="none"/>
                      <w14:textFill>
                        <w14:solidFill>
                          <w14:schemeClr w14:val="tx1"/>
                        </w14:solidFill>
                      </w14:textFill>
                    </w:rPr>
                    <w:t>m</w:t>
                  </w:r>
                  <w:r>
                    <w:rPr>
                      <w:rFonts w:hint="eastAsia" w:ascii="Times New Roman" w:hAnsi="Times New Roman"/>
                      <w:color w:val="000000" w:themeColor="text1"/>
                      <w:szCs w:val="21"/>
                      <w:highlight w:val="none"/>
                      <w:lang w:val="en-US" w:eastAsia="zh-CN"/>
                      <w14:textFill>
                        <w14:solidFill>
                          <w14:schemeClr w14:val="tx1"/>
                        </w14:solidFill>
                      </w14:textFill>
                    </w:rPr>
                    <w:t>以外</w:t>
                  </w:r>
                  <w:r>
                    <w:rPr>
                      <w:rFonts w:ascii="Times New Roman" w:hAnsi="Times New Roman"/>
                      <w:color w:val="000000" w:themeColor="text1"/>
                      <w:szCs w:val="21"/>
                      <w:highlight w:val="none"/>
                      <w14:textFill>
                        <w14:solidFill>
                          <w14:schemeClr w14:val="tx1"/>
                        </w14:solidFill>
                      </w14:textFill>
                    </w:rPr>
                    <w:t>按照《声环境质量标准》（GB3096-2008）中</w:t>
                  </w:r>
                  <w:r>
                    <w:rPr>
                      <w:rFonts w:hint="eastAsia" w:ascii="Times New Roman" w:hAnsi="Times New Roman"/>
                      <w:color w:val="000000" w:themeColor="text1"/>
                      <w:szCs w:val="21"/>
                      <w:highlight w:val="none"/>
                      <w14:textFill>
                        <w14:solidFill>
                          <w14:schemeClr w14:val="tx1"/>
                        </w14:solidFill>
                      </w14:textFill>
                    </w:rPr>
                    <w:t>2类区执行</w:t>
                  </w:r>
                  <w:r>
                    <w:rPr>
                      <w:rFonts w:ascii="Times New Roman" w:hAnsi="Times New Roman"/>
                      <w:color w:val="000000" w:themeColor="text1"/>
                      <w:szCs w:val="21"/>
                      <w:highlight w:val="none"/>
                      <w14:textFill>
                        <w14:solidFill>
                          <w14:schemeClr w14:val="tx1"/>
                        </w14:solidFill>
                      </w14:textFill>
                    </w:rPr>
                    <w:t>，即昼间60dB（A）、夜间50dB（A）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val="0"/>
                  <w:vAlign w:val="center"/>
                </w:tcPr>
                <w:p>
                  <w:pPr>
                    <w:keepNext w:val="0"/>
                    <w:keepLines w:val="0"/>
                    <w:suppressLineNumbers w:val="0"/>
                    <w:tabs>
                      <w:tab w:val="left" w:pos="1571"/>
                    </w:tabs>
                    <w:spacing w:before="0" w:beforeAutospacing="0" w:after="0" w:afterAutospacing="0"/>
                    <w:ind w:left="0" w:right="0"/>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扬尘（施工期）</w:t>
                  </w:r>
                </w:p>
              </w:tc>
              <w:tc>
                <w:tcPr>
                  <w:tcW w:w="1882" w:type="dxa"/>
                  <w:noWrap w:val="0"/>
                  <w:vAlign w:val="center"/>
                </w:tcPr>
                <w:p>
                  <w:pPr>
                    <w:keepNext w:val="0"/>
                    <w:keepLines w:val="0"/>
                    <w:suppressLineNumbers w:val="0"/>
                    <w:tabs>
                      <w:tab w:val="left" w:pos="1571"/>
                    </w:tabs>
                    <w:spacing w:before="0" w:beforeAutospacing="0" w:after="0" w:afterAutospacing="0"/>
                    <w:ind w:left="0" w:right="0"/>
                    <w:jc w:val="center"/>
                    <w:rPr>
                      <w:rFonts w:hint="eastAsia"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全线共两个标段，每个标段设置一个监测点，共设置两个监测点</w:t>
                  </w:r>
                </w:p>
              </w:tc>
              <w:tc>
                <w:tcPr>
                  <w:tcW w:w="708" w:type="dxa"/>
                  <w:noWrap w:val="0"/>
                  <w:vAlign w:val="center"/>
                </w:tcPr>
                <w:p>
                  <w:pPr>
                    <w:keepNext w:val="0"/>
                    <w:keepLines w:val="0"/>
                    <w:suppressLineNumbers w:val="0"/>
                    <w:tabs>
                      <w:tab w:val="left" w:pos="1571"/>
                    </w:tabs>
                    <w:spacing w:before="0" w:beforeAutospacing="0" w:after="0" w:afterAutospacing="0"/>
                    <w:ind w:left="0" w:right="0"/>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TSP</w:t>
                  </w:r>
                </w:p>
              </w:tc>
              <w:tc>
                <w:tcPr>
                  <w:tcW w:w="1728" w:type="dxa"/>
                  <w:noWrap w:val="0"/>
                  <w:vAlign w:val="center"/>
                </w:tcPr>
                <w:p>
                  <w:pPr>
                    <w:keepNext w:val="0"/>
                    <w:keepLines w:val="0"/>
                    <w:suppressLineNumbers w:val="0"/>
                    <w:tabs>
                      <w:tab w:val="left" w:pos="1571"/>
                    </w:tabs>
                    <w:spacing w:before="0" w:beforeAutospacing="0" w:after="0" w:afterAutospacing="0"/>
                    <w:ind w:left="0" w:right="0"/>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按《四川省施工场地扬尘排放标准》（DB51/2682-2020）进行</w:t>
                  </w:r>
                </w:p>
              </w:tc>
              <w:tc>
                <w:tcPr>
                  <w:tcW w:w="3179" w:type="dxa"/>
                  <w:noWrap w:val="0"/>
                  <w:vAlign w:val="center"/>
                </w:tcPr>
                <w:p>
                  <w:pPr>
                    <w:keepNext w:val="0"/>
                    <w:keepLines w:val="0"/>
                    <w:suppressLineNumbers w:val="0"/>
                    <w:tabs>
                      <w:tab w:val="left" w:pos="1571"/>
                    </w:tabs>
                    <w:spacing w:before="0" w:beforeAutospacing="0" w:after="0" w:afterAutospacing="0"/>
                    <w:ind w:left="0" w:right="0"/>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《四川省施工场地扬尘排放标准》（DB51/2682-2020）</w:t>
                  </w:r>
                </w:p>
              </w:tc>
            </w:tr>
          </w:tbl>
          <w:p>
            <w:pPr>
              <w:keepNext w:val="0"/>
              <w:keepLines w:val="0"/>
              <w:suppressLineNumbers w:val="0"/>
              <w:spacing w:before="0" w:beforeAutospacing="0" w:after="0" w:afterAutospacing="0" w:line="480" w:lineRule="exact"/>
              <w:ind w:left="0" w:right="0" w:firstLine="482" w:firstLineChars="200"/>
              <w:rPr>
                <w:rFonts w:ascii="Times New Roman" w:hAnsi="Times New Roman"/>
                <w:b/>
                <w:color w:val="000000" w:themeColor="text1"/>
                <w:sz w:val="24"/>
                <w:highlight w:val="none"/>
                <w14:textFill>
                  <w14:solidFill>
                    <w14:schemeClr w14:val="tx1"/>
                  </w14:solidFill>
                </w14:textFill>
              </w:rPr>
            </w:pPr>
            <w:r>
              <w:rPr>
                <w:rFonts w:ascii="Times New Roman" w:hAnsi="Times New Roman"/>
                <w:b/>
                <w:color w:val="000000" w:themeColor="text1"/>
                <w:sz w:val="24"/>
                <w:highlight w:val="none"/>
                <w14:textFill>
                  <w14:solidFill>
                    <w14:schemeClr w14:val="tx1"/>
                  </w14:solidFill>
                </w14:textFill>
              </w:rPr>
              <w:t>3、竣工环境保护验收要求及计划</w:t>
            </w:r>
          </w:p>
          <w:p>
            <w:pPr>
              <w:keepNext w:val="0"/>
              <w:keepLines w:val="0"/>
              <w:suppressLineNumbers w:val="0"/>
              <w:spacing w:before="0" w:beforeAutospacing="0" w:after="0" w:afterAutospacing="0" w:line="480" w:lineRule="exact"/>
              <w:ind w:left="0" w:right="0" w:firstLine="480" w:firstLineChars="200"/>
              <w:rPr>
                <w:rFonts w:ascii="Times New Roman" w:hAnsi="Times New Roman"/>
                <w:color w:val="000000" w:themeColor="text1"/>
                <w:kern w:val="0"/>
                <w:sz w:val="24"/>
                <w:highlight w:val="none"/>
                <w14:textFill>
                  <w14:solidFill>
                    <w14:schemeClr w14:val="tx1"/>
                  </w14:solidFill>
                </w14:textFill>
              </w:rPr>
            </w:pPr>
            <w:r>
              <w:rPr>
                <w:rFonts w:ascii="Times New Roman" w:hAnsi="Times New Roman"/>
                <w:color w:val="000000" w:themeColor="text1"/>
                <w:kern w:val="0"/>
                <w:sz w:val="24"/>
                <w:highlight w:val="none"/>
                <w14:textFill>
                  <w14:solidFill>
                    <w14:schemeClr w14:val="tx1"/>
                  </w14:solidFill>
                </w14:textFill>
              </w:rPr>
              <w:t>新修改的《建设项目环境保护管理条例》取消了建设项目竣工环境保护验收行政许可，改为建设单位自主验收，进一步强化了建设单位的环境保护“三同时”主体责任。《建设项目竣工环境保护验收暂行办法》(国环规环评[2017]4号</w:t>
            </w:r>
            <w:r>
              <w:rPr>
                <w:rFonts w:hint="eastAsia" w:ascii="Times New Roman" w:hAnsi="Times New Roman"/>
                <w:color w:val="000000" w:themeColor="text1"/>
                <w:kern w:val="0"/>
                <w:sz w:val="24"/>
                <w:highlight w:val="none"/>
                <w14:textFill>
                  <w14:solidFill>
                    <w14:schemeClr w14:val="tx1"/>
                  </w14:solidFill>
                </w14:textFill>
              </w:rPr>
              <w:t>）</w:t>
            </w:r>
            <w:r>
              <w:rPr>
                <w:rFonts w:ascii="Times New Roman" w:hAnsi="Times New Roman"/>
                <w:color w:val="000000" w:themeColor="text1"/>
                <w:kern w:val="0"/>
                <w:sz w:val="24"/>
                <w:highlight w:val="none"/>
                <w14:textFill>
                  <w14:solidFill>
                    <w14:schemeClr w14:val="tx1"/>
                  </w14:solidFill>
                </w14:textFill>
              </w:rPr>
              <w:t>要求如下：</w:t>
            </w:r>
          </w:p>
          <w:p>
            <w:pPr>
              <w:keepNext w:val="0"/>
              <w:keepLines w:val="0"/>
              <w:suppressLineNumbers w:val="0"/>
              <w:autoSpaceDE w:val="0"/>
              <w:autoSpaceDN w:val="0"/>
              <w:adjustRightInd w:val="0"/>
              <w:spacing w:before="0" w:beforeAutospacing="0" w:after="0" w:afterAutospacing="0" w:line="360" w:lineRule="auto"/>
              <w:ind w:left="0" w:right="0" w:firstLine="480"/>
              <w:rPr>
                <w:color w:val="000000" w:themeColor="text1"/>
                <w:kern w:val="0"/>
                <w:sz w:val="24"/>
                <w:highlight w:val="none"/>
                <w:lang w:val="zh-CN"/>
                <w14:textFill>
                  <w14:solidFill>
                    <w14:schemeClr w14:val="tx1"/>
                  </w14:solidFill>
                </w14:textFill>
              </w:rPr>
            </w:pPr>
            <w:r>
              <w:rPr>
                <w:rFonts w:ascii="Times New Roman" w:hAnsi="Times New Roman"/>
                <w:color w:val="000000" w:themeColor="text1"/>
                <w:kern w:val="0"/>
                <w:sz w:val="24"/>
                <w:highlight w:val="none"/>
                <w14:textFill>
                  <w14:solidFill>
                    <w14:schemeClr w14:val="tx1"/>
                  </w14:solidFill>
                </w14:textFill>
              </w:rPr>
              <w:t>编制环境影响报告书（表）的建设项目竣工后，建设单位或者其委托的技术机构应当依照国家有关法律法规、建设项目竣工环境保护验收技术规范、建设项目环境影响报告书（表）和审批决定等要求，如实查验、监测、记载建设项目环境保护设施的建设和调试情况，同时还应如实记载其他环境保护对策措施“三同时”落实情况，编制竣工环境保护验收报告</w:t>
            </w:r>
            <w:r>
              <w:rPr>
                <w:color w:val="000000" w:themeColor="text1"/>
                <w:kern w:val="0"/>
                <w:sz w:val="24"/>
                <w:highlight w:val="none"/>
                <w:lang w:val="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vAlign w:val="center"/>
          </w:tcPr>
          <w:p>
            <w:pPr>
              <w:keepNext w:val="0"/>
              <w:keepLines w:val="0"/>
              <w:suppressLineNumbers w:val="0"/>
              <w:adjustRightInd w:val="0"/>
              <w:snapToGrid w:val="0"/>
              <w:spacing w:before="0" w:beforeAutospacing="0" w:after="0" w:afterAutospacing="0"/>
              <w:ind w:left="0" w:right="0"/>
              <w:jc w:val="center"/>
              <w:rPr>
                <w:bCs/>
                <w:color w:val="000000" w:themeColor="text1"/>
                <w:spacing w:val="10"/>
                <w:sz w:val="24"/>
                <w:highlight w:val="none"/>
                <w14:textFill>
                  <w14:solidFill>
                    <w14:schemeClr w14:val="tx1"/>
                  </w14:solidFill>
                </w14:textFill>
              </w:rPr>
            </w:pPr>
            <w:r>
              <w:rPr>
                <w:bCs/>
                <w:color w:val="000000" w:themeColor="text1"/>
                <w:sz w:val="24"/>
                <w:highlight w:val="none"/>
                <w14:textFill>
                  <w14:solidFill>
                    <w14:schemeClr w14:val="tx1"/>
                  </w14:solidFill>
                </w14:textFill>
              </w:rPr>
              <w:t>环保投资</w:t>
            </w:r>
          </w:p>
        </w:tc>
        <w:tc>
          <w:tcPr>
            <w:tcW w:w="8457" w:type="dxa"/>
          </w:tcPr>
          <w:p>
            <w:pPr>
              <w:keepNext w:val="0"/>
              <w:keepLines w:val="0"/>
              <w:suppressLineNumbers w:val="0"/>
              <w:autoSpaceDE w:val="0"/>
              <w:autoSpaceDN w:val="0"/>
              <w:spacing w:before="0" w:beforeAutospacing="0" w:after="0" w:afterAutospacing="0" w:line="360" w:lineRule="auto"/>
              <w:ind w:left="0" w:right="0" w:firstLine="480"/>
              <w:rPr>
                <w:color w:val="000000" w:themeColor="text1"/>
                <w:kern w:val="0"/>
                <w:sz w:val="24"/>
                <w:highlight w:val="none"/>
                <w:lang w:val="zh-CN"/>
                <w14:textFill>
                  <w14:solidFill>
                    <w14:schemeClr w14:val="tx1"/>
                  </w14:solidFill>
                </w14:textFill>
              </w:rPr>
            </w:pPr>
            <w:r>
              <w:rPr>
                <w:rFonts w:hint="eastAsia"/>
                <w:color w:val="000000" w:themeColor="text1"/>
                <w:sz w:val="24"/>
                <w:highlight w:val="none"/>
                <w14:textFill>
                  <w14:solidFill>
                    <w14:schemeClr w14:val="tx1"/>
                  </w14:solidFill>
                </w14:textFill>
              </w:rPr>
              <w:t>本项目总投资77000万元，环保</w:t>
            </w:r>
            <w:r>
              <w:rPr>
                <w:rFonts w:hint="eastAsia"/>
                <w:color w:val="000000" w:themeColor="text1"/>
                <w:sz w:val="24"/>
                <w:highlight w:val="none"/>
                <w:lang w:val="en-US" w:eastAsia="zh-CN"/>
                <w14:textFill>
                  <w14:solidFill>
                    <w14:schemeClr w14:val="tx1"/>
                  </w14:solidFill>
                </w14:textFill>
              </w:rPr>
              <w:t>估算</w:t>
            </w:r>
            <w:r>
              <w:rPr>
                <w:rFonts w:hint="eastAsia"/>
                <w:color w:val="000000" w:themeColor="text1"/>
                <w:sz w:val="24"/>
                <w:highlight w:val="none"/>
                <w14:textFill>
                  <w14:solidFill>
                    <w14:schemeClr w14:val="tx1"/>
                  </w14:solidFill>
                </w14:textFill>
              </w:rPr>
              <w:t>投资</w:t>
            </w:r>
            <w:r>
              <w:rPr>
                <w:rFonts w:hint="eastAsia"/>
                <w:color w:val="000000" w:themeColor="text1"/>
                <w:sz w:val="24"/>
                <w:highlight w:val="none"/>
                <w:lang w:val="en-US" w:eastAsia="zh-CN"/>
                <w14:textFill>
                  <w14:solidFill>
                    <w14:schemeClr w14:val="tx1"/>
                  </w14:solidFill>
                </w14:textFill>
              </w:rPr>
              <w:t>238</w:t>
            </w:r>
            <w:r>
              <w:rPr>
                <w:rFonts w:hint="eastAsia"/>
                <w:color w:val="000000" w:themeColor="text1"/>
                <w:sz w:val="24"/>
                <w:highlight w:val="none"/>
                <w14:textFill>
                  <w14:solidFill>
                    <w14:schemeClr w14:val="tx1"/>
                  </w14:solidFill>
                </w14:textFill>
              </w:rPr>
              <w:t>万元。环保</w:t>
            </w:r>
            <w:r>
              <w:rPr>
                <w:rFonts w:hint="eastAsia"/>
                <w:color w:val="000000" w:themeColor="text1"/>
                <w:sz w:val="24"/>
                <w:highlight w:val="none"/>
                <w:lang w:val="en-US" w:eastAsia="zh-CN"/>
                <w14:textFill>
                  <w14:solidFill>
                    <w14:schemeClr w14:val="tx1"/>
                  </w14:solidFill>
                </w14:textFill>
              </w:rPr>
              <w:t>估算</w:t>
            </w:r>
            <w:r>
              <w:rPr>
                <w:rFonts w:hint="eastAsia"/>
                <w:color w:val="000000" w:themeColor="text1"/>
                <w:sz w:val="24"/>
                <w:highlight w:val="none"/>
                <w14:textFill>
                  <w14:solidFill>
                    <w14:schemeClr w14:val="tx1"/>
                  </w14:solidFill>
                </w14:textFill>
              </w:rPr>
              <w:t>投资占总投资的0.</w:t>
            </w:r>
            <w:r>
              <w:rPr>
                <w:rFonts w:hint="eastAsia"/>
                <w:color w:val="000000" w:themeColor="text1"/>
                <w:sz w:val="24"/>
                <w:highlight w:val="none"/>
                <w:lang w:val="en-US" w:eastAsia="zh-CN"/>
                <w14:textFill>
                  <w14:solidFill>
                    <w14:schemeClr w14:val="tx1"/>
                  </w14:solidFill>
                </w14:textFill>
              </w:rPr>
              <w:t>31</w:t>
            </w:r>
            <w:r>
              <w:rPr>
                <w:rFonts w:hint="eastAsia"/>
                <w:color w:val="000000" w:themeColor="text1"/>
                <w:sz w:val="24"/>
                <w:highlight w:val="none"/>
                <w14:textFill>
                  <w14:solidFill>
                    <w14:schemeClr w14:val="tx1"/>
                  </w14:solidFill>
                </w14:textFill>
              </w:rPr>
              <w:t>%。</w:t>
            </w:r>
            <w:r>
              <w:rPr>
                <w:color w:val="000000" w:themeColor="text1"/>
                <w:kern w:val="0"/>
                <w:sz w:val="24"/>
                <w:highlight w:val="none"/>
                <w14:textFill>
                  <w14:solidFill>
                    <w14:schemeClr w14:val="tx1"/>
                  </w14:solidFill>
                </w14:textFill>
              </w:rPr>
              <w:t>本项目环保措施及投资见表</w:t>
            </w:r>
            <w:r>
              <w:rPr>
                <w:rFonts w:hint="eastAsia"/>
                <w:color w:val="000000" w:themeColor="text1"/>
                <w:kern w:val="0"/>
                <w:sz w:val="24"/>
                <w:highlight w:val="none"/>
                <w:lang w:val="en-US" w:eastAsia="zh-CN"/>
                <w14:textFill>
                  <w14:solidFill>
                    <w14:schemeClr w14:val="tx1"/>
                  </w14:solidFill>
                </w14:textFill>
              </w:rPr>
              <w:t>5-2</w:t>
            </w:r>
            <w:r>
              <w:rPr>
                <w:color w:val="000000" w:themeColor="text1"/>
                <w:kern w:val="0"/>
                <w:sz w:val="24"/>
                <w:highlight w:val="none"/>
                <w14:textFill>
                  <w14:solidFill>
                    <w14:schemeClr w14:val="tx1"/>
                  </w14:solidFill>
                </w14:textFill>
              </w:rPr>
              <w:t>。</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pPr>
            <w:r>
              <w:rPr>
                <w:rFonts w:hint="eastAsia" w:ascii="黑体" w:hAnsi="黑体" w:eastAsia="黑体" w:cs="黑体"/>
                <w:color w:val="000000" w:themeColor="text1"/>
                <w:kern w:val="0"/>
                <w:sz w:val="24"/>
                <w:szCs w:val="24"/>
                <w:highlight w:val="none"/>
                <w:lang w:val="en-US" w:eastAsia="zh-CN" w:bidi="ar"/>
                <w14:textFill>
                  <w14:solidFill>
                    <w14:schemeClr w14:val="tx1"/>
                  </w14:solidFill>
                </w14:textFill>
              </w:rPr>
              <w:t>表5-2  环保投资（措施）及投资估算一览表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909"/>
              <w:gridCol w:w="4266"/>
              <w:gridCol w:w="795"/>
              <w:gridCol w:w="1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4"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b/>
                      <w:color w:val="000000" w:themeColor="text1"/>
                      <w:kern w:val="0"/>
                      <w:szCs w:val="21"/>
                      <w:highlight w:val="none"/>
                      <w14:textFill>
                        <w14:solidFill>
                          <w14:schemeClr w14:val="tx1"/>
                        </w14:solidFill>
                      </w14:textFill>
                    </w:rPr>
                  </w:pPr>
                  <w:r>
                    <w:rPr>
                      <w:rFonts w:ascii="Times New Roman" w:hAnsi="Times New Roman"/>
                      <w:b/>
                      <w:color w:val="000000" w:themeColor="text1"/>
                      <w:kern w:val="0"/>
                      <w:szCs w:val="21"/>
                      <w:highlight w:val="none"/>
                      <w14:textFill>
                        <w14:solidFill>
                          <w14:schemeClr w14:val="tx1"/>
                        </w14:solidFill>
                      </w14:textFill>
                    </w:rPr>
                    <w:t>环保项目</w:t>
                  </w:r>
                </w:p>
              </w:tc>
              <w:tc>
                <w:tcPr>
                  <w:tcW w:w="3144" w:type="pct"/>
                  <w:gridSpan w:val="2"/>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b/>
                      <w:color w:val="000000" w:themeColor="text1"/>
                      <w:kern w:val="0"/>
                      <w:szCs w:val="21"/>
                      <w:highlight w:val="none"/>
                      <w14:textFill>
                        <w14:solidFill>
                          <w14:schemeClr w14:val="tx1"/>
                        </w14:solidFill>
                      </w14:textFill>
                    </w:rPr>
                  </w:pPr>
                  <w:r>
                    <w:rPr>
                      <w:rFonts w:ascii="Times New Roman" w:hAnsi="Times New Roman"/>
                      <w:b/>
                      <w:color w:val="000000" w:themeColor="text1"/>
                      <w:kern w:val="0"/>
                      <w:szCs w:val="21"/>
                      <w:highlight w:val="none"/>
                      <w14:textFill>
                        <w14:solidFill>
                          <w14:schemeClr w14:val="tx1"/>
                        </w14:solidFill>
                      </w14:textFill>
                    </w:rPr>
                    <w:t>措施内容</w:t>
                  </w:r>
                </w:p>
              </w:tc>
              <w:tc>
                <w:tcPr>
                  <w:tcW w:w="483"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ascii="Times New Roman" w:hAnsi="Times New Roman"/>
                      <w:b/>
                      <w:snapToGrid w:val="0"/>
                      <w:color w:val="000000" w:themeColor="text1"/>
                      <w:kern w:val="0"/>
                      <w:szCs w:val="21"/>
                      <w:highlight w:val="none"/>
                      <w14:textFill>
                        <w14:solidFill>
                          <w14:schemeClr w14:val="tx1"/>
                        </w14:solidFill>
                      </w14:textFill>
                    </w:rPr>
                  </w:pPr>
                  <w:r>
                    <w:rPr>
                      <w:rFonts w:ascii="Times New Roman" w:hAnsi="Times New Roman"/>
                      <w:b/>
                      <w:snapToGrid w:val="0"/>
                      <w:color w:val="000000" w:themeColor="text1"/>
                      <w:kern w:val="0"/>
                      <w:szCs w:val="21"/>
                      <w:highlight w:val="none"/>
                      <w14:textFill>
                        <w14:solidFill>
                          <w14:schemeClr w14:val="tx1"/>
                        </w14:solidFill>
                      </w14:textFill>
                    </w:rPr>
                    <w:t>金额</w:t>
                  </w:r>
                </w:p>
                <w:p>
                  <w:pPr>
                    <w:keepNext w:val="0"/>
                    <w:keepLines w:val="0"/>
                    <w:suppressLineNumbers w:val="0"/>
                    <w:adjustRightInd w:val="0"/>
                    <w:snapToGrid w:val="0"/>
                    <w:spacing w:before="0" w:beforeAutospacing="0" w:after="0" w:afterAutospacing="0" w:line="288" w:lineRule="auto"/>
                    <w:ind w:left="0" w:right="0"/>
                    <w:jc w:val="center"/>
                    <w:rPr>
                      <w:rFonts w:ascii="Times New Roman" w:hAnsi="Times New Roman"/>
                      <w:b/>
                      <w:snapToGrid w:val="0"/>
                      <w:color w:val="000000" w:themeColor="text1"/>
                      <w:kern w:val="0"/>
                      <w:szCs w:val="21"/>
                      <w:highlight w:val="none"/>
                      <w14:textFill>
                        <w14:solidFill>
                          <w14:schemeClr w14:val="tx1"/>
                        </w14:solidFill>
                      </w14:textFill>
                    </w:rPr>
                  </w:pPr>
                  <w:r>
                    <w:rPr>
                      <w:rFonts w:ascii="Times New Roman" w:hAnsi="Times New Roman"/>
                      <w:b/>
                      <w:snapToGrid w:val="0"/>
                      <w:color w:val="000000" w:themeColor="text1"/>
                      <w:kern w:val="0"/>
                      <w:szCs w:val="21"/>
                      <w:highlight w:val="none"/>
                      <w14:textFill>
                        <w14:solidFill>
                          <w14:schemeClr w14:val="tx1"/>
                        </w14:solidFill>
                      </w14:textFill>
                    </w:rPr>
                    <w:t>(万元)</w:t>
                  </w:r>
                </w:p>
              </w:tc>
              <w:tc>
                <w:tcPr>
                  <w:tcW w:w="698"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ascii="Times New Roman" w:hAnsi="Times New Roman"/>
                      <w:b/>
                      <w:snapToGrid w:val="0"/>
                      <w:color w:val="000000" w:themeColor="text1"/>
                      <w:kern w:val="0"/>
                      <w:szCs w:val="21"/>
                      <w:highlight w:val="none"/>
                      <w14:textFill>
                        <w14:solidFill>
                          <w14:schemeClr w14:val="tx1"/>
                        </w14:solidFill>
                      </w14:textFill>
                    </w:rPr>
                  </w:pPr>
                  <w:r>
                    <w:rPr>
                      <w:rFonts w:ascii="Times New Roman" w:hAnsi="Times New Roman"/>
                      <w:b/>
                      <w:snapToGrid w:val="0"/>
                      <w:color w:val="000000" w:themeColor="text1"/>
                      <w:kern w:val="0"/>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674" w:type="pct"/>
                  <w:vMerge w:val="restar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生态环境保护及恢复</w:t>
                  </w:r>
                </w:p>
              </w:tc>
              <w:tc>
                <w:tcPr>
                  <w:tcW w:w="552"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施工期</w:t>
                  </w:r>
                </w:p>
              </w:tc>
              <w:tc>
                <w:tcPr>
                  <w:tcW w:w="2591"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hint="default" w:ascii="Times New Roman" w:hAnsi="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主要为水保</w:t>
                  </w:r>
                  <w:r>
                    <w:rPr>
                      <w:rFonts w:ascii="Times New Roman" w:hAnsi="Times New Roman"/>
                      <w:color w:val="000000" w:themeColor="text1"/>
                      <w:kern w:val="0"/>
                      <w:szCs w:val="21"/>
                      <w:highlight w:val="none"/>
                      <w14:textFill>
                        <w14:solidFill>
                          <w14:schemeClr w14:val="tx1"/>
                        </w14:solidFill>
                      </w14:textFill>
                    </w:rPr>
                    <w:t>措施</w:t>
                  </w:r>
                  <w:r>
                    <w:rPr>
                      <w:rFonts w:hint="eastAsia" w:ascii="Times New Roman" w:hAnsi="Times New Roman"/>
                      <w:color w:val="000000" w:themeColor="text1"/>
                      <w:kern w:val="0"/>
                      <w:szCs w:val="21"/>
                      <w:highlight w:val="none"/>
                      <w:lang w:eastAsia="zh-CN"/>
                      <w14:textFill>
                        <w14:solidFill>
                          <w14:schemeClr w14:val="tx1"/>
                        </w14:solidFill>
                      </w14:textFill>
                    </w:rPr>
                    <w:t>，</w:t>
                  </w:r>
                  <w:r>
                    <w:rPr>
                      <w:rFonts w:hint="eastAsia" w:ascii="Times New Roman" w:hAnsi="Times New Roman"/>
                      <w:color w:val="000000" w:themeColor="text1"/>
                      <w:kern w:val="0"/>
                      <w:szCs w:val="21"/>
                      <w:highlight w:val="none"/>
                      <w:lang w:val="en-US" w:eastAsia="zh-CN"/>
                      <w14:textFill>
                        <w14:solidFill>
                          <w14:schemeClr w14:val="tx1"/>
                        </w14:solidFill>
                      </w14:textFill>
                    </w:rPr>
                    <w:t>包括路基、边坡、裸露地面植草皮；临时堆土场及临时表土堆场苫布遮盖，堆场四周设置截水沟，并在截水沟出口处设置1个沉沙凼（沉沙凼规格为长×宽×深＝300cm×500cm×100cm，沉沙凼容积10m</w:t>
                  </w:r>
                  <w:r>
                    <w:rPr>
                      <w:rFonts w:hint="eastAsia" w:ascii="Times New Roman" w:hAnsi="Times New Roman"/>
                      <w:color w:val="000000" w:themeColor="text1"/>
                      <w:kern w:val="0"/>
                      <w:szCs w:val="21"/>
                      <w:highlight w:val="none"/>
                      <w:vertAlign w:val="superscript"/>
                      <w:lang w:val="en-US" w:eastAsia="zh-CN"/>
                      <w14:textFill>
                        <w14:solidFill>
                          <w14:schemeClr w14:val="tx1"/>
                        </w14:solidFill>
                      </w14:textFill>
                    </w:rPr>
                    <w:t>3</w:t>
                  </w:r>
                  <w:r>
                    <w:rPr>
                      <w:rFonts w:hint="eastAsia" w:ascii="Times New Roman" w:hAnsi="Times New Roman"/>
                      <w:color w:val="000000" w:themeColor="text1"/>
                      <w:kern w:val="0"/>
                      <w:szCs w:val="21"/>
                      <w:highlight w:val="none"/>
                      <w:lang w:val="en-US" w:eastAsia="zh-CN"/>
                      <w14:textFill>
                        <w14:solidFill>
                          <w14:schemeClr w14:val="tx1"/>
                        </w14:solidFill>
                      </w14:textFill>
                    </w:rPr>
                    <w:t>，采用机砖衬砌，砂浆抹面）</w:t>
                  </w:r>
                </w:p>
              </w:tc>
              <w:tc>
                <w:tcPr>
                  <w:tcW w:w="483"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hint="default" w:ascii="Times New Roman" w:hAnsi="Times New Roman"/>
                      <w:color w:val="000000" w:themeColor="text1"/>
                      <w:kern w:val="0"/>
                      <w:szCs w:val="21"/>
                      <w:highlight w:val="none"/>
                      <w:lang w:val="en-US"/>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20</w:t>
                  </w:r>
                </w:p>
              </w:tc>
              <w:tc>
                <w:tcPr>
                  <w:tcW w:w="698"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674" w:type="pct"/>
                  <w:vMerge w:val="continue"/>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p>
              </w:tc>
              <w:tc>
                <w:tcPr>
                  <w:tcW w:w="552"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营运期</w:t>
                  </w:r>
                </w:p>
              </w:tc>
              <w:tc>
                <w:tcPr>
                  <w:tcW w:w="2591"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迹地恢复、道路绿化</w:t>
                  </w:r>
                  <w:r>
                    <w:rPr>
                      <w:rFonts w:hint="eastAsia" w:ascii="Times New Roman" w:hAnsi="Times New Roman"/>
                      <w:color w:val="000000" w:themeColor="text1"/>
                      <w:kern w:val="0"/>
                      <w:szCs w:val="21"/>
                      <w:highlight w:val="none"/>
                      <w14:textFill>
                        <w14:solidFill>
                          <w14:schemeClr w14:val="tx1"/>
                        </w14:solidFill>
                      </w14:textFill>
                    </w:rPr>
                    <w:t>道路沿线绿化栽植，邻近主要商住区加强隔声类树种栽种</w:t>
                  </w:r>
                </w:p>
              </w:tc>
              <w:tc>
                <w:tcPr>
                  <w:tcW w:w="483"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22</w:t>
                  </w:r>
                </w:p>
              </w:tc>
              <w:tc>
                <w:tcPr>
                  <w:tcW w:w="698"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74" w:type="pct"/>
                  <w:vMerge w:val="restar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噪声防治</w:t>
                  </w:r>
                </w:p>
              </w:tc>
              <w:tc>
                <w:tcPr>
                  <w:tcW w:w="552" w:type="pct"/>
                  <w:vMerge w:val="restar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施工期</w:t>
                  </w:r>
                </w:p>
              </w:tc>
              <w:tc>
                <w:tcPr>
                  <w:tcW w:w="2591"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先用低噪声设备、</w:t>
                  </w:r>
                  <w:r>
                    <w:rPr>
                      <w:rFonts w:hint="eastAsia" w:ascii="Times New Roman" w:hAnsi="Times New Roman"/>
                      <w:color w:val="000000" w:themeColor="text1"/>
                      <w:kern w:val="0"/>
                      <w:szCs w:val="21"/>
                      <w:highlight w:val="none"/>
                      <w:lang w:val="en-US" w:eastAsia="zh-CN"/>
                      <w14:textFill>
                        <w14:solidFill>
                          <w14:schemeClr w14:val="tx1"/>
                        </w14:solidFill>
                      </w14:textFill>
                    </w:rPr>
                    <w:t>加强设备维护、厂内</w:t>
                  </w:r>
                  <w:r>
                    <w:rPr>
                      <w:rFonts w:ascii="Times New Roman" w:hAnsi="Times New Roman"/>
                      <w:color w:val="000000" w:themeColor="text1"/>
                      <w:kern w:val="0"/>
                      <w:szCs w:val="21"/>
                      <w:highlight w:val="none"/>
                      <w14:textFill>
                        <w14:solidFill>
                          <w14:schemeClr w14:val="tx1"/>
                        </w14:solidFill>
                      </w14:textFill>
                    </w:rPr>
                    <w:t>减速、禁鸣等</w:t>
                  </w:r>
                  <w:r>
                    <w:rPr>
                      <w:rFonts w:hint="eastAsia" w:ascii="Times New Roman" w:hAnsi="Times New Roman"/>
                      <w:color w:val="000000" w:themeColor="text1"/>
                      <w:kern w:val="0"/>
                      <w:szCs w:val="21"/>
                      <w:highlight w:val="none"/>
                      <w:lang w:val="en-US" w:eastAsia="zh-CN"/>
                      <w14:textFill>
                        <w14:solidFill>
                          <w14:schemeClr w14:val="tx1"/>
                        </w14:solidFill>
                      </w14:textFill>
                    </w:rPr>
                    <w:t>临时标识牌</w:t>
                  </w:r>
                </w:p>
              </w:tc>
              <w:tc>
                <w:tcPr>
                  <w:tcW w:w="483"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2</w:t>
                  </w:r>
                </w:p>
              </w:tc>
              <w:tc>
                <w:tcPr>
                  <w:tcW w:w="698"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74" w:type="pct"/>
                  <w:vMerge w:val="continue"/>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p>
              </w:tc>
              <w:tc>
                <w:tcPr>
                  <w:tcW w:w="552" w:type="pct"/>
                  <w:vMerge w:val="continue"/>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p>
              </w:tc>
              <w:tc>
                <w:tcPr>
                  <w:tcW w:w="2591"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围挡及移动式声屏障</w:t>
                  </w:r>
                </w:p>
              </w:tc>
              <w:tc>
                <w:tcPr>
                  <w:tcW w:w="483"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hint="default" w:ascii="Times New Roman" w:hAnsi="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6</w:t>
                  </w:r>
                </w:p>
              </w:tc>
              <w:tc>
                <w:tcPr>
                  <w:tcW w:w="698"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74" w:type="pct"/>
                  <w:vMerge w:val="continue"/>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p>
              </w:tc>
              <w:tc>
                <w:tcPr>
                  <w:tcW w:w="552"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营运期</w:t>
                  </w:r>
                </w:p>
              </w:tc>
              <w:tc>
                <w:tcPr>
                  <w:tcW w:w="2591"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hint="eastAsia" w:ascii="Times New Roman" w:hAnsi="Times New Roman" w:eastAsia="宋体"/>
                      <w:color w:val="000000" w:themeColor="text1"/>
                      <w:kern w:val="0"/>
                      <w:szCs w:val="21"/>
                      <w:highlight w:val="none"/>
                      <w:lang w:eastAsia="zh-CN"/>
                      <w14:textFill>
                        <w14:solidFill>
                          <w14:schemeClr w14:val="tx1"/>
                        </w14:solidFill>
                      </w14:textFill>
                    </w:rPr>
                  </w:pPr>
                  <w:r>
                    <w:rPr>
                      <w:rFonts w:hint="eastAsia" w:ascii="Times New Roman" w:hAnsi="Times New Roman" w:eastAsia="宋体"/>
                      <w:color w:val="000000" w:themeColor="text1"/>
                      <w:kern w:val="0"/>
                      <w:szCs w:val="21"/>
                      <w:highlight w:val="none"/>
                      <w:lang w:eastAsia="zh-CN"/>
                      <w14:textFill>
                        <w14:solidFill>
                          <w14:schemeClr w14:val="tx1"/>
                        </w14:solidFill>
                      </w14:textFill>
                    </w:rPr>
                    <w:t>设置声屏障，分别位于主路右侧设置4m高声屏障，起于K0+480终于K0+740，合计长度260m；主路及匝道左侧设置4m高声屏障，起于K0+740终于K1+040，合计长度为600m</w:t>
                  </w:r>
                  <w:r>
                    <w:rPr>
                      <w:rFonts w:hint="eastAsia"/>
                      <w:color w:val="000000" w:themeColor="text1"/>
                      <w:kern w:val="0"/>
                      <w:szCs w:val="21"/>
                      <w:highlight w:val="none"/>
                      <w:lang w:eastAsia="zh-CN"/>
                      <w14:textFill>
                        <w14:solidFill>
                          <w14:schemeClr w14:val="tx1"/>
                        </w14:solidFill>
                      </w14:textFill>
                    </w:rPr>
                    <w:t>。同时，本次环评建议业主预留资金，后期根据监测情况分析，若分离路（起于K1+960终于K2+060路）路左及路右敏感点噪声超标，则在该段设置4m高声屏障，合计长度为200m</w:t>
                  </w:r>
                </w:p>
              </w:tc>
              <w:tc>
                <w:tcPr>
                  <w:tcW w:w="483"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hint="eastAsia" w:ascii="Times New Roman" w:hAnsi="Times New Roman" w:eastAsia="宋体"/>
                      <w:color w:val="000000" w:themeColor="text1"/>
                      <w:kern w:val="0"/>
                      <w:szCs w:val="21"/>
                      <w:highlight w:val="none"/>
                      <w:lang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80</w:t>
                  </w:r>
                </w:p>
              </w:tc>
              <w:tc>
                <w:tcPr>
                  <w:tcW w:w="698"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74" w:type="pct"/>
                  <w:vMerge w:val="restar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地表水污染防治</w:t>
                  </w:r>
                </w:p>
              </w:tc>
              <w:tc>
                <w:tcPr>
                  <w:tcW w:w="552" w:type="pct"/>
                  <w:vMerge w:val="restar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施工期</w:t>
                  </w:r>
                </w:p>
              </w:tc>
              <w:tc>
                <w:tcPr>
                  <w:tcW w:w="2591"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14:textFill>
                        <w14:solidFill>
                          <w14:schemeClr w14:val="tx1"/>
                        </w14:solidFill>
                      </w14:textFill>
                    </w:rPr>
                    <w:t>设施区</w:t>
                  </w:r>
                  <w:r>
                    <w:rPr>
                      <w:rFonts w:hint="eastAsia"/>
                      <w:color w:val="000000" w:themeColor="text1"/>
                      <w:kern w:val="0"/>
                      <w:szCs w:val="21"/>
                      <w:highlight w:val="none"/>
                      <w:lang w:val="en-US" w:eastAsia="zh-CN"/>
                      <w14:textFill>
                        <w14:solidFill>
                          <w14:schemeClr w14:val="tx1"/>
                        </w14:solidFill>
                      </w14:textFill>
                    </w:rPr>
                    <w:t>内</w:t>
                  </w:r>
                  <w:r>
                    <w:rPr>
                      <w:rFonts w:hint="eastAsia" w:ascii="Times New Roman" w:hAnsi="Times New Roman"/>
                      <w:color w:val="000000" w:themeColor="text1"/>
                      <w:kern w:val="0"/>
                      <w:szCs w:val="21"/>
                      <w:highlight w:val="none"/>
                      <w14:textFill>
                        <w14:solidFill>
                          <w14:schemeClr w14:val="tx1"/>
                        </w14:solidFill>
                      </w14:textFill>
                    </w:rPr>
                    <w:t>修建隔油</w:t>
                  </w:r>
                  <w:r>
                    <w:rPr>
                      <w:rFonts w:hint="eastAsia"/>
                      <w:color w:val="000000" w:themeColor="text1"/>
                      <w:kern w:val="0"/>
                      <w:szCs w:val="21"/>
                      <w:highlight w:val="none"/>
                      <w:lang w:val="en-US" w:eastAsia="zh-CN"/>
                      <w14:textFill>
                        <w14:solidFill>
                          <w14:schemeClr w14:val="tx1"/>
                        </w14:solidFill>
                      </w14:textFill>
                    </w:rPr>
                    <w:t>沉淀</w:t>
                  </w:r>
                  <w:r>
                    <w:rPr>
                      <w:rFonts w:hint="eastAsia" w:ascii="Times New Roman" w:hAnsi="Times New Roman"/>
                      <w:color w:val="000000" w:themeColor="text1"/>
                      <w:kern w:val="0"/>
                      <w:szCs w:val="21"/>
                      <w:highlight w:val="none"/>
                      <w14:textFill>
                        <w14:solidFill>
                          <w14:schemeClr w14:val="tx1"/>
                        </w14:solidFill>
                      </w14:textFill>
                    </w:rPr>
                    <w:t>池</w:t>
                  </w:r>
                  <w:r>
                    <w:rPr>
                      <w:rFonts w:hint="eastAsia"/>
                      <w:color w:val="000000" w:themeColor="text1"/>
                      <w:kern w:val="0"/>
                      <w:szCs w:val="21"/>
                      <w:highlight w:val="none"/>
                      <w:lang w:eastAsia="zh-CN"/>
                      <w14:textFill>
                        <w14:solidFill>
                          <w14:schemeClr w14:val="tx1"/>
                        </w14:solidFill>
                      </w14:textFill>
                    </w:rPr>
                    <w:t>，</w:t>
                  </w:r>
                  <w:r>
                    <w:rPr>
                      <w:rFonts w:hint="eastAsia"/>
                      <w:color w:val="000000" w:themeColor="text1"/>
                      <w:kern w:val="0"/>
                      <w:szCs w:val="21"/>
                      <w:highlight w:val="none"/>
                      <w:lang w:val="en-US" w:eastAsia="zh-CN"/>
                      <w14:textFill>
                        <w14:solidFill>
                          <w14:schemeClr w14:val="tx1"/>
                        </w14:solidFill>
                      </w14:textFill>
                    </w:rPr>
                    <w:t>用于车辆及机械设备产生的冲洗废水处理，处理后的废水回用于降尘，不外排</w:t>
                  </w:r>
                </w:p>
              </w:tc>
              <w:tc>
                <w:tcPr>
                  <w:tcW w:w="483"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hint="eastAsia" w:ascii="Times New Roman" w:hAnsi="Times New Roman" w:eastAsia="宋体"/>
                      <w:color w:val="000000" w:themeColor="text1"/>
                      <w:kern w:val="0"/>
                      <w:szCs w:val="21"/>
                      <w:highlight w:val="none"/>
                      <w:lang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5</w:t>
                  </w:r>
                </w:p>
              </w:tc>
              <w:tc>
                <w:tcPr>
                  <w:tcW w:w="698"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74" w:type="pct"/>
                  <w:vMerge w:val="continue"/>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p>
              </w:tc>
              <w:tc>
                <w:tcPr>
                  <w:tcW w:w="552" w:type="pct"/>
                  <w:vMerge w:val="continue"/>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p>
              </w:tc>
              <w:tc>
                <w:tcPr>
                  <w:tcW w:w="2591"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生活污水依托周边已建污水处理设施处理</w:t>
                  </w:r>
                </w:p>
              </w:tc>
              <w:tc>
                <w:tcPr>
                  <w:tcW w:w="483"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w:t>
                  </w:r>
                </w:p>
              </w:tc>
              <w:tc>
                <w:tcPr>
                  <w:tcW w:w="698"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74" w:type="pct"/>
                  <w:vMerge w:val="continue"/>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p>
              </w:tc>
              <w:tc>
                <w:tcPr>
                  <w:tcW w:w="552"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营运期</w:t>
                  </w:r>
                </w:p>
              </w:tc>
              <w:tc>
                <w:tcPr>
                  <w:tcW w:w="2591"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路面径流通过路面排水系统进入雨水管网</w:t>
                  </w:r>
                </w:p>
              </w:tc>
              <w:tc>
                <w:tcPr>
                  <w:tcW w:w="483"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hint="eastAsia"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w:t>
                  </w:r>
                </w:p>
              </w:tc>
              <w:tc>
                <w:tcPr>
                  <w:tcW w:w="698"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计入工程投资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674" w:type="pct"/>
                  <w:vMerge w:val="restar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环境空气污染防治</w:t>
                  </w:r>
                </w:p>
              </w:tc>
              <w:tc>
                <w:tcPr>
                  <w:tcW w:w="552" w:type="pct"/>
                  <w:vMerge w:val="restar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施工期</w:t>
                  </w:r>
                </w:p>
              </w:tc>
              <w:tc>
                <w:tcPr>
                  <w:tcW w:w="2591"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olor w:val="000000" w:themeColor="text1"/>
                      <w:kern w:val="0"/>
                      <w:szCs w:val="21"/>
                      <w:highlight w:val="none"/>
                      <w:lang w:val="en-US" w:eastAsia="zh-CN"/>
                      <w14:textFill>
                        <w14:solidFill>
                          <w14:schemeClr w14:val="tx1"/>
                        </w14:solidFill>
                      </w14:textFill>
                    </w:rPr>
                    <w:t>施工全段设置不低于2m高度硬质围挡，围挡间隔3~5m设置喷雾降尘装置</w:t>
                  </w:r>
                </w:p>
              </w:tc>
              <w:tc>
                <w:tcPr>
                  <w:tcW w:w="483"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28</w:t>
                  </w:r>
                </w:p>
              </w:tc>
              <w:tc>
                <w:tcPr>
                  <w:tcW w:w="698"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674" w:type="pct"/>
                  <w:vMerge w:val="continue"/>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p>
              </w:tc>
              <w:tc>
                <w:tcPr>
                  <w:tcW w:w="552" w:type="pct"/>
                  <w:vMerge w:val="continue"/>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p>
              </w:tc>
              <w:tc>
                <w:tcPr>
                  <w:tcW w:w="2591"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运输线路定时洒水降尘，及时清除尘土；弃渣运输禁止冒顶装载和洒漏</w:t>
                  </w:r>
                  <w:r>
                    <w:rPr>
                      <w:rFonts w:hint="eastAsia" w:ascii="Times New Roman" w:hAnsi="Times New Roman"/>
                      <w:color w:val="000000" w:themeColor="text1"/>
                      <w:kern w:val="0"/>
                      <w:szCs w:val="21"/>
                      <w:highlight w:val="none"/>
                      <w:lang w:eastAsia="zh-CN"/>
                      <w14:textFill>
                        <w14:solidFill>
                          <w14:schemeClr w14:val="tx1"/>
                        </w14:solidFill>
                      </w14:textFill>
                    </w:rPr>
                    <w:t>，</w:t>
                  </w:r>
                  <w:r>
                    <w:rPr>
                      <w:rFonts w:ascii="Times New Roman" w:hAnsi="Times New Roman"/>
                      <w:color w:val="000000" w:themeColor="text1"/>
                      <w:kern w:val="0"/>
                      <w:szCs w:val="21"/>
                      <w:highlight w:val="none"/>
                      <w14:textFill>
                        <w14:solidFill>
                          <w14:schemeClr w14:val="tx1"/>
                        </w14:solidFill>
                      </w14:textFill>
                    </w:rPr>
                    <w:t>运输车辆用帆布覆盖</w:t>
                  </w:r>
                </w:p>
              </w:tc>
              <w:tc>
                <w:tcPr>
                  <w:tcW w:w="483"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5</w:t>
                  </w:r>
                </w:p>
              </w:tc>
              <w:tc>
                <w:tcPr>
                  <w:tcW w:w="698"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674" w:type="pct"/>
                  <w:vMerge w:val="continue"/>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p>
              </w:tc>
              <w:tc>
                <w:tcPr>
                  <w:tcW w:w="552" w:type="pct"/>
                  <w:vMerge w:val="continue"/>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p>
              </w:tc>
              <w:tc>
                <w:tcPr>
                  <w:tcW w:w="2591"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水稳拌合站投料口设置喷淋装置</w:t>
                  </w:r>
                </w:p>
              </w:tc>
              <w:tc>
                <w:tcPr>
                  <w:tcW w:w="483"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hint="default" w:ascii="Times New Roman" w:hAnsi="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1</w:t>
                  </w:r>
                </w:p>
              </w:tc>
              <w:tc>
                <w:tcPr>
                  <w:tcW w:w="698"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674" w:type="pct"/>
                  <w:vMerge w:val="continue"/>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p>
              </w:tc>
              <w:tc>
                <w:tcPr>
                  <w:tcW w:w="552" w:type="pct"/>
                  <w:vMerge w:val="continue"/>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p>
              </w:tc>
              <w:tc>
                <w:tcPr>
                  <w:tcW w:w="2591"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hint="default" w:ascii="Times New Roman" w:hAnsi="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color w:val="000000" w:themeColor="text1"/>
                      <w:kern w:val="0"/>
                      <w:szCs w:val="21"/>
                      <w:highlight w:val="none"/>
                      <w:lang w:val="en-US" w:eastAsia="zh-CN"/>
                      <w14:textFill>
                        <w14:solidFill>
                          <w14:schemeClr w14:val="tx1"/>
                        </w14:solidFill>
                      </w14:textFill>
                    </w:rPr>
                    <w:t>临时施工场地内设置焊烟净化器对焊接烟</w:t>
                  </w:r>
                </w:p>
                <w:p>
                  <w:pPr>
                    <w:keepNext w:val="0"/>
                    <w:keepLines w:val="0"/>
                    <w:suppressLineNumbers w:val="0"/>
                    <w:adjustRightInd w:val="0"/>
                    <w:snapToGrid w:val="0"/>
                    <w:spacing w:before="0" w:beforeAutospacing="0" w:after="0" w:afterAutospacing="0" w:line="288" w:lineRule="auto"/>
                    <w:ind w:left="0" w:right="0"/>
                    <w:jc w:val="center"/>
                    <w:rPr>
                      <w:rFonts w:hint="default" w:ascii="Times New Roman" w:hAnsi="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color w:val="000000" w:themeColor="text1"/>
                      <w:kern w:val="0"/>
                      <w:szCs w:val="21"/>
                      <w:highlight w:val="none"/>
                      <w:lang w:val="en-US" w:eastAsia="zh-CN"/>
                      <w14:textFill>
                        <w14:solidFill>
                          <w14:schemeClr w14:val="tx1"/>
                        </w14:solidFill>
                      </w14:textFill>
                    </w:rPr>
                    <w:t>尘进行治理</w:t>
                  </w:r>
                </w:p>
              </w:tc>
              <w:tc>
                <w:tcPr>
                  <w:tcW w:w="483"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hint="default" w:ascii="Times New Roman" w:hAnsi="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1</w:t>
                  </w:r>
                </w:p>
              </w:tc>
              <w:tc>
                <w:tcPr>
                  <w:tcW w:w="698"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74" w:type="pct"/>
                  <w:vMerge w:val="continue"/>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p>
              </w:tc>
              <w:tc>
                <w:tcPr>
                  <w:tcW w:w="552"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营运期</w:t>
                  </w:r>
                </w:p>
              </w:tc>
              <w:tc>
                <w:tcPr>
                  <w:tcW w:w="2591"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项目内加强绿化种植；项目外尤其靠近敏感目标处加强绿化恢复补偿</w:t>
                  </w:r>
                </w:p>
              </w:tc>
              <w:tc>
                <w:tcPr>
                  <w:tcW w:w="483"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w:t>
                  </w:r>
                </w:p>
              </w:tc>
              <w:tc>
                <w:tcPr>
                  <w:tcW w:w="698"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hint="eastAsia"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计入</w:t>
                  </w:r>
                  <w:r>
                    <w:rPr>
                      <w:rFonts w:ascii="Times New Roman" w:hAnsi="Times New Roman"/>
                      <w:color w:val="000000" w:themeColor="text1"/>
                      <w:kern w:val="0"/>
                      <w:szCs w:val="21"/>
                      <w:highlight w:val="none"/>
                      <w14:textFill>
                        <w14:solidFill>
                          <w14:schemeClr w14:val="tx1"/>
                        </w14:solidFill>
                      </w14:textFill>
                    </w:rPr>
                    <w:t>生态环境保护及恢复</w:t>
                  </w:r>
                  <w:r>
                    <w:rPr>
                      <w:rFonts w:hint="eastAsia"/>
                      <w:color w:val="000000" w:themeColor="text1"/>
                      <w:kern w:val="0"/>
                      <w:szCs w:val="21"/>
                      <w:highlight w:val="none"/>
                      <w:lang w:val="en-US" w:eastAsia="zh-CN"/>
                      <w14:textFill>
                        <w14:solidFill>
                          <w14:schemeClr w14:val="tx1"/>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74" w:type="pct"/>
                  <w:vMerge w:val="restar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固体废物</w:t>
                  </w:r>
                </w:p>
              </w:tc>
              <w:tc>
                <w:tcPr>
                  <w:tcW w:w="552"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施工期</w:t>
                  </w:r>
                </w:p>
              </w:tc>
              <w:tc>
                <w:tcPr>
                  <w:tcW w:w="2591"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hint="eastAsia"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生活垃圾最终由市政部门统一清运；建筑垃圾</w:t>
                  </w:r>
                  <w:r>
                    <w:rPr>
                      <w:rFonts w:hint="eastAsia" w:ascii="Times New Roman" w:hAnsi="Times New Roman"/>
                      <w:color w:val="000000" w:themeColor="text1"/>
                      <w:kern w:val="0"/>
                      <w:szCs w:val="21"/>
                      <w:highlight w:val="none"/>
                      <w:lang w:val="en-US" w:eastAsia="zh-CN"/>
                      <w14:textFill>
                        <w14:solidFill>
                          <w14:schemeClr w14:val="tx1"/>
                        </w14:solidFill>
                      </w14:textFill>
                    </w:rPr>
                    <w:t>能回用的回用，</w:t>
                  </w:r>
                  <w:r>
                    <w:rPr>
                      <w:rFonts w:ascii="Times New Roman" w:hAnsi="Times New Roman"/>
                      <w:color w:val="000000" w:themeColor="text1"/>
                      <w:kern w:val="0"/>
                      <w:szCs w:val="21"/>
                      <w:highlight w:val="none"/>
                      <w14:textFill>
                        <w14:solidFill>
                          <w14:schemeClr w14:val="tx1"/>
                        </w14:solidFill>
                      </w14:textFill>
                    </w:rPr>
                    <w:t>能外售的外售，不能</w:t>
                  </w:r>
                  <w:r>
                    <w:rPr>
                      <w:rFonts w:hint="eastAsia" w:ascii="Times New Roman" w:hAnsi="Times New Roman"/>
                      <w:color w:val="000000" w:themeColor="text1"/>
                      <w:kern w:val="0"/>
                      <w:szCs w:val="21"/>
                      <w:highlight w:val="none"/>
                      <w:lang w:val="en-US" w:eastAsia="zh-CN"/>
                      <w14:textFill>
                        <w14:solidFill>
                          <w14:schemeClr w14:val="tx1"/>
                        </w14:solidFill>
                      </w14:textFill>
                    </w:rPr>
                    <w:t>回用及</w:t>
                  </w:r>
                  <w:r>
                    <w:rPr>
                      <w:rFonts w:ascii="Times New Roman" w:hAnsi="Times New Roman"/>
                      <w:color w:val="000000" w:themeColor="text1"/>
                      <w:kern w:val="0"/>
                      <w:szCs w:val="21"/>
                      <w:highlight w:val="none"/>
                      <w14:textFill>
                        <w14:solidFill>
                          <w14:schemeClr w14:val="tx1"/>
                        </w14:solidFill>
                      </w14:textFill>
                    </w:rPr>
                    <w:t>外售的运至政府</w:t>
                  </w:r>
                  <w:r>
                    <w:rPr>
                      <w:rFonts w:hint="eastAsia" w:ascii="Times New Roman" w:hAnsi="Times New Roman"/>
                      <w:color w:val="000000" w:themeColor="text1"/>
                      <w:kern w:val="0"/>
                      <w:szCs w:val="21"/>
                      <w:highlight w:val="none"/>
                      <w:lang w:val="en-US" w:eastAsia="zh-CN"/>
                      <w14:textFill>
                        <w14:solidFill>
                          <w14:schemeClr w14:val="tx1"/>
                        </w14:solidFill>
                      </w14:textFill>
                    </w:rPr>
                    <w:t>指</w:t>
                  </w:r>
                  <w:r>
                    <w:rPr>
                      <w:rFonts w:ascii="Times New Roman" w:hAnsi="Times New Roman"/>
                      <w:color w:val="000000" w:themeColor="text1"/>
                      <w:kern w:val="0"/>
                      <w:szCs w:val="21"/>
                      <w:highlight w:val="none"/>
                      <w14:textFill>
                        <w14:solidFill>
                          <w14:schemeClr w14:val="tx1"/>
                        </w14:solidFill>
                      </w14:textFill>
                    </w:rPr>
                    <w:t>定的建渣点</w:t>
                  </w:r>
                </w:p>
              </w:tc>
              <w:tc>
                <w:tcPr>
                  <w:tcW w:w="483"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22</w:t>
                  </w:r>
                </w:p>
              </w:tc>
              <w:tc>
                <w:tcPr>
                  <w:tcW w:w="698"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74" w:type="pct"/>
                  <w:vMerge w:val="continue"/>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p>
              </w:tc>
              <w:tc>
                <w:tcPr>
                  <w:tcW w:w="552"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营运期</w:t>
                  </w:r>
                </w:p>
              </w:tc>
              <w:tc>
                <w:tcPr>
                  <w:tcW w:w="2591"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hint="eastAsia" w:ascii="Times New Roman" w:hAnsi="Times New Roman" w:eastAsia="宋体"/>
                      <w:color w:val="000000" w:themeColor="text1"/>
                      <w:kern w:val="0"/>
                      <w:szCs w:val="21"/>
                      <w:highlight w:val="none"/>
                      <w:lang w:eastAsia="zh-CN"/>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沿线生活垃圾由市政环卫部门清理</w:t>
                  </w:r>
                  <w:r>
                    <w:rPr>
                      <w:rFonts w:hint="eastAsia" w:ascii="Times New Roman" w:hAnsi="Times New Roman"/>
                      <w:color w:val="000000" w:themeColor="text1"/>
                      <w:kern w:val="0"/>
                      <w:szCs w:val="21"/>
                      <w:highlight w:val="none"/>
                      <w:lang w:eastAsia="zh-CN"/>
                      <w14:textFill>
                        <w14:solidFill>
                          <w14:schemeClr w14:val="tx1"/>
                        </w14:solidFill>
                      </w14:textFill>
                    </w:rPr>
                    <w:t>；</w:t>
                  </w:r>
                  <w:r>
                    <w:rPr>
                      <w:rFonts w:hint="eastAsia" w:ascii="Times New Roman" w:hAnsi="Times New Roman"/>
                      <w:color w:val="000000" w:themeColor="text1"/>
                      <w:kern w:val="0"/>
                      <w:szCs w:val="21"/>
                      <w:highlight w:val="none"/>
                      <w14:textFill>
                        <w14:solidFill>
                          <w14:schemeClr w14:val="tx1"/>
                        </w14:solidFill>
                      </w14:textFill>
                    </w:rPr>
                    <w:t>道路照明灯具产生的废弃灯管应在更换后及时交由相应资质单位处理</w:t>
                  </w:r>
                </w:p>
              </w:tc>
              <w:tc>
                <w:tcPr>
                  <w:tcW w:w="483"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hint="eastAsia" w:ascii="Times New Roman" w:hAnsi="Times New Roman" w:eastAsia="宋体"/>
                      <w:color w:val="000000" w:themeColor="text1"/>
                      <w:kern w:val="0"/>
                      <w:szCs w:val="21"/>
                      <w:highlight w:val="none"/>
                      <w:lang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5</w:t>
                  </w:r>
                </w:p>
              </w:tc>
              <w:tc>
                <w:tcPr>
                  <w:tcW w:w="698"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74" w:type="pct"/>
                  <w:vMerge w:val="restar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风险防范措施</w:t>
                  </w:r>
                </w:p>
              </w:tc>
              <w:tc>
                <w:tcPr>
                  <w:tcW w:w="552"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施工期</w:t>
                  </w:r>
                </w:p>
              </w:tc>
              <w:tc>
                <w:tcPr>
                  <w:tcW w:w="2591"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裸露地表铺设篷布、加强现场管理等</w:t>
                  </w:r>
                </w:p>
              </w:tc>
              <w:tc>
                <w:tcPr>
                  <w:tcW w:w="483"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10</w:t>
                  </w:r>
                </w:p>
              </w:tc>
              <w:tc>
                <w:tcPr>
                  <w:tcW w:w="698"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74" w:type="pct"/>
                  <w:vMerge w:val="continue"/>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p>
              </w:tc>
              <w:tc>
                <w:tcPr>
                  <w:tcW w:w="552"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营运期</w:t>
                  </w:r>
                </w:p>
              </w:tc>
              <w:tc>
                <w:tcPr>
                  <w:tcW w:w="2591"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hint="eastAsia"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主线</w:t>
                  </w:r>
                  <w:r>
                    <w:rPr>
                      <w:rFonts w:ascii="Times New Roman" w:hAnsi="Times New Roman"/>
                      <w:color w:val="000000" w:themeColor="text1"/>
                      <w:kern w:val="0"/>
                      <w:szCs w:val="21"/>
                      <w:highlight w:val="none"/>
                      <w14:textFill>
                        <w14:solidFill>
                          <w14:schemeClr w14:val="tx1"/>
                        </w14:solidFill>
                      </w14:textFill>
                    </w:rPr>
                    <w:t>桥梁</w:t>
                  </w:r>
                  <w:r>
                    <w:rPr>
                      <w:rFonts w:hint="eastAsia" w:ascii="Times New Roman" w:hAnsi="Times New Roman"/>
                      <w:color w:val="000000" w:themeColor="text1"/>
                      <w:kern w:val="0"/>
                      <w:szCs w:val="21"/>
                      <w:highlight w:val="none"/>
                      <w:lang w:val="en-US" w:eastAsia="zh-CN"/>
                      <w14:textFill>
                        <w14:solidFill>
                          <w14:schemeClr w14:val="tx1"/>
                        </w14:solidFill>
                      </w14:textFill>
                    </w:rPr>
                    <w:t>两侧设置</w:t>
                  </w:r>
                  <w:r>
                    <w:rPr>
                      <w:rFonts w:hint="eastAsia" w:ascii="Times New Roman" w:hAnsi="Times New Roman"/>
                      <w:color w:val="000000" w:themeColor="text1"/>
                      <w:kern w:val="0"/>
                      <w:szCs w:val="21"/>
                      <w:highlight w:val="none"/>
                      <w14:textFill>
                        <w14:solidFill>
                          <w14:schemeClr w14:val="tx1"/>
                        </w14:solidFill>
                      </w14:textFill>
                    </w:rPr>
                    <w:t>防撞等级SB级钢筋砼墙式护栏，防撞墙高度H=100cm，底座宽度B=50.3cm</w:t>
                  </w:r>
                  <w:r>
                    <w:rPr>
                      <w:rFonts w:hint="eastAsia" w:ascii="Times New Roman" w:hAnsi="Times New Roman"/>
                      <w:color w:val="000000" w:themeColor="text1"/>
                      <w:kern w:val="0"/>
                      <w:szCs w:val="21"/>
                      <w:highlight w:val="none"/>
                      <w:lang w:eastAsia="zh-CN"/>
                      <w14:textFill>
                        <w14:solidFill>
                          <w14:schemeClr w14:val="tx1"/>
                        </w14:solidFill>
                      </w14:textFill>
                    </w:rPr>
                    <w:t>；</w:t>
                  </w:r>
                  <w:r>
                    <w:rPr>
                      <w:rFonts w:hint="eastAsia" w:ascii="Times New Roman" w:hAnsi="Times New Roman"/>
                      <w:color w:val="000000" w:themeColor="text1"/>
                      <w:kern w:val="0"/>
                      <w:szCs w:val="21"/>
                      <w:highlight w:val="none"/>
                      <w:lang w:val="en-US" w:eastAsia="zh-CN"/>
                      <w14:textFill>
                        <w14:solidFill>
                          <w14:schemeClr w14:val="tx1"/>
                        </w14:solidFill>
                      </w14:textFill>
                    </w:rPr>
                    <w:t>主线桥和匝道上</w:t>
                  </w:r>
                  <w:r>
                    <w:rPr>
                      <w:rFonts w:ascii="Times New Roman" w:hAnsi="Times New Roman"/>
                      <w:color w:val="000000" w:themeColor="text1"/>
                      <w:kern w:val="0"/>
                      <w:szCs w:val="21"/>
                      <w:highlight w:val="none"/>
                      <w14:textFill>
                        <w14:solidFill>
                          <w14:schemeClr w14:val="tx1"/>
                        </w14:solidFill>
                      </w14:textFill>
                    </w:rPr>
                    <w:t>设置限速</w:t>
                  </w:r>
                  <w:r>
                    <w:rPr>
                      <w:rFonts w:hint="eastAsia" w:ascii="Times New Roman" w:hAnsi="Times New Roman"/>
                      <w:color w:val="000000" w:themeColor="text1"/>
                      <w:kern w:val="0"/>
                      <w:szCs w:val="21"/>
                      <w:highlight w:val="none"/>
                      <w:lang w:val="en-US" w:eastAsia="zh-CN"/>
                      <w14:textFill>
                        <w14:solidFill>
                          <w14:schemeClr w14:val="tx1"/>
                        </w14:solidFill>
                      </w14:textFill>
                    </w:rPr>
                    <w:t>标识牌</w:t>
                  </w:r>
                </w:p>
              </w:tc>
              <w:tc>
                <w:tcPr>
                  <w:tcW w:w="483"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hint="eastAsia" w:ascii="Times New Roman" w:hAnsi="Times New Roman" w:eastAsia="宋体"/>
                      <w:color w:val="000000" w:themeColor="text1"/>
                      <w:kern w:val="0"/>
                      <w:szCs w:val="21"/>
                      <w:highlight w:val="none"/>
                      <w:lang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w:t>
                  </w:r>
                </w:p>
              </w:tc>
              <w:tc>
                <w:tcPr>
                  <w:tcW w:w="698"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计入工程投资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74"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环境监理</w:t>
                  </w:r>
                </w:p>
              </w:tc>
              <w:tc>
                <w:tcPr>
                  <w:tcW w:w="552"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施工期</w:t>
                  </w:r>
                </w:p>
              </w:tc>
              <w:tc>
                <w:tcPr>
                  <w:tcW w:w="2591"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推行施工环境监理制度；采取合同约束机制，将有关环保措施纳入生产质量管理体系及各阶段验收指标体系中；尤其是控制水土流失、扬尘、噪声污染，关键地点应有专人监管；宣传环境保护法律、法规</w:t>
                  </w:r>
                </w:p>
              </w:tc>
              <w:tc>
                <w:tcPr>
                  <w:tcW w:w="483"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12</w:t>
                  </w:r>
                </w:p>
              </w:tc>
              <w:tc>
                <w:tcPr>
                  <w:tcW w:w="698"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74" w:type="pct"/>
                  <w:vMerge w:val="restar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环境监测</w:t>
                  </w:r>
                </w:p>
              </w:tc>
              <w:tc>
                <w:tcPr>
                  <w:tcW w:w="552"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施工期</w:t>
                  </w:r>
                </w:p>
              </w:tc>
              <w:tc>
                <w:tcPr>
                  <w:tcW w:w="2591"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hint="eastAsia" w:ascii="Times New Roman" w:hAnsi="Times New Roman" w:eastAsia="宋体"/>
                      <w:color w:val="000000" w:themeColor="text1"/>
                      <w:kern w:val="0"/>
                      <w:szCs w:val="21"/>
                      <w:highlight w:val="none"/>
                      <w:lang w:eastAsia="zh-CN"/>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做好环境监测计划及实施环境监测</w:t>
                  </w:r>
                  <w:r>
                    <w:rPr>
                      <w:rFonts w:hint="eastAsia" w:ascii="Times New Roman" w:hAnsi="Times New Roman"/>
                      <w:color w:val="000000" w:themeColor="text1"/>
                      <w:kern w:val="0"/>
                      <w:szCs w:val="21"/>
                      <w:highlight w:val="none"/>
                      <w:lang w:eastAsia="zh-CN"/>
                      <w14:textFill>
                        <w14:solidFill>
                          <w14:schemeClr w14:val="tx1"/>
                        </w14:solidFill>
                      </w14:textFill>
                    </w:rPr>
                    <w:t>，</w:t>
                  </w:r>
                  <w:r>
                    <w:rPr>
                      <w:rFonts w:ascii="Times New Roman" w:hAnsi="Times New Roman"/>
                      <w:color w:val="000000" w:themeColor="text1"/>
                      <w:kern w:val="0"/>
                      <w:szCs w:val="21"/>
                      <w:highlight w:val="none"/>
                      <w14:textFill>
                        <w14:solidFill>
                          <w14:schemeClr w14:val="tx1"/>
                        </w14:solidFill>
                      </w14:textFill>
                    </w:rPr>
                    <w:t>按表</w:t>
                  </w:r>
                  <w:r>
                    <w:rPr>
                      <w:rFonts w:hint="eastAsia"/>
                      <w:color w:val="000000" w:themeColor="text1"/>
                      <w:kern w:val="0"/>
                      <w:szCs w:val="21"/>
                      <w:highlight w:val="none"/>
                      <w:lang w:val="en-US" w:eastAsia="zh-CN"/>
                      <w14:textFill>
                        <w14:solidFill>
                          <w14:schemeClr w14:val="tx1"/>
                        </w14:solidFill>
                      </w14:textFill>
                    </w:rPr>
                    <w:t>5</w:t>
                  </w:r>
                  <w:r>
                    <w:rPr>
                      <w:rFonts w:ascii="Times New Roman" w:hAnsi="Times New Roman"/>
                      <w:color w:val="000000" w:themeColor="text1"/>
                      <w:kern w:val="0"/>
                      <w:szCs w:val="21"/>
                      <w:highlight w:val="none"/>
                      <w14:textFill>
                        <w14:solidFill>
                          <w14:schemeClr w14:val="tx1"/>
                        </w14:solidFill>
                      </w14:textFill>
                    </w:rPr>
                    <w:t>-1实施</w:t>
                  </w:r>
                </w:p>
              </w:tc>
              <w:tc>
                <w:tcPr>
                  <w:tcW w:w="483"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hint="eastAsia" w:ascii="Times New Roman" w:hAnsi="Times New Roman" w:eastAsia="宋体"/>
                      <w:color w:val="000000" w:themeColor="text1"/>
                      <w:kern w:val="0"/>
                      <w:szCs w:val="21"/>
                      <w:highlight w:val="none"/>
                      <w:lang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5</w:t>
                  </w:r>
                </w:p>
              </w:tc>
              <w:tc>
                <w:tcPr>
                  <w:tcW w:w="698"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74" w:type="pct"/>
                  <w:vMerge w:val="continue"/>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p>
              </w:tc>
              <w:tc>
                <w:tcPr>
                  <w:tcW w:w="552"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营运期</w:t>
                  </w:r>
                </w:p>
              </w:tc>
              <w:tc>
                <w:tcPr>
                  <w:tcW w:w="2591"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运营期环境监测按表</w:t>
                  </w:r>
                  <w:r>
                    <w:rPr>
                      <w:rFonts w:hint="eastAsia" w:ascii="Times New Roman" w:hAnsi="Times New Roman"/>
                      <w:color w:val="000000" w:themeColor="text1"/>
                      <w:kern w:val="0"/>
                      <w:szCs w:val="21"/>
                      <w:highlight w:val="none"/>
                      <w:lang w:val="en-US" w:eastAsia="zh-CN"/>
                      <w14:textFill>
                        <w14:solidFill>
                          <w14:schemeClr w14:val="tx1"/>
                        </w14:solidFill>
                      </w14:textFill>
                    </w:rPr>
                    <w:t>5</w:t>
                  </w:r>
                  <w:r>
                    <w:rPr>
                      <w:rFonts w:ascii="Times New Roman" w:hAnsi="Times New Roman"/>
                      <w:color w:val="000000" w:themeColor="text1"/>
                      <w:kern w:val="0"/>
                      <w:szCs w:val="21"/>
                      <w:highlight w:val="none"/>
                      <w14:textFill>
                        <w14:solidFill>
                          <w14:schemeClr w14:val="tx1"/>
                        </w14:solidFill>
                      </w14:textFill>
                    </w:rPr>
                    <w:t>-1实施</w:t>
                  </w:r>
                </w:p>
              </w:tc>
              <w:tc>
                <w:tcPr>
                  <w:tcW w:w="483"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4</w:t>
                  </w:r>
                </w:p>
              </w:tc>
              <w:tc>
                <w:tcPr>
                  <w:tcW w:w="698"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只考虑第一年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74"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环保验收</w:t>
                  </w:r>
                </w:p>
              </w:tc>
              <w:tc>
                <w:tcPr>
                  <w:tcW w:w="552"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营运期</w:t>
                  </w:r>
                </w:p>
              </w:tc>
              <w:tc>
                <w:tcPr>
                  <w:tcW w:w="2591" w:type="pct"/>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环保工程竣工验收</w:t>
                  </w:r>
                </w:p>
              </w:tc>
              <w:tc>
                <w:tcPr>
                  <w:tcW w:w="483"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10</w:t>
                  </w:r>
                </w:p>
              </w:tc>
              <w:tc>
                <w:tcPr>
                  <w:tcW w:w="698"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3818" w:type="pct"/>
                  <w:gridSpan w:val="3"/>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合计</w:t>
                  </w:r>
                </w:p>
              </w:tc>
              <w:tc>
                <w:tcPr>
                  <w:tcW w:w="483"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color w:val="000000" w:themeColor="text1"/>
                      <w:kern w:val="0"/>
                      <w:szCs w:val="21"/>
                      <w:highlight w:val="none"/>
                      <w:lang w:val="en-US" w:eastAsia="zh-CN"/>
                      <w14:textFill>
                        <w14:solidFill>
                          <w14:schemeClr w14:val="tx1"/>
                        </w14:solidFill>
                      </w14:textFill>
                    </w:rPr>
                    <w:t>238</w:t>
                  </w:r>
                </w:p>
              </w:tc>
              <w:tc>
                <w:tcPr>
                  <w:tcW w:w="698" w:type="pct"/>
                  <w:noWrap w:val="0"/>
                  <w:vAlign w:val="center"/>
                </w:tcPr>
                <w:p>
                  <w:pPr>
                    <w:keepNext w:val="0"/>
                    <w:keepLines w:val="0"/>
                    <w:widowControl/>
                    <w:suppressLineNumbers w:val="0"/>
                    <w:adjustRightInd w:val="0"/>
                    <w:snapToGrid w:val="0"/>
                    <w:spacing w:before="0" w:beforeAutospacing="0" w:after="0" w:afterAutospacing="0" w:line="288" w:lineRule="auto"/>
                    <w:ind w:left="0" w:right="0"/>
                    <w:jc w:val="center"/>
                    <w:rPr>
                      <w:rFonts w:ascii="Times New Roman" w:hAnsi="Times New Roman"/>
                      <w:color w:val="000000" w:themeColor="text1"/>
                      <w:kern w:val="0"/>
                      <w:szCs w:val="21"/>
                      <w:highlight w:val="none"/>
                      <w14:textFill>
                        <w14:solidFill>
                          <w14:schemeClr w14:val="tx1"/>
                        </w14:solidFill>
                      </w14:textFill>
                    </w:rPr>
                  </w:pPr>
                  <w:r>
                    <w:rPr>
                      <w:rFonts w:ascii="Times New Roman" w:hAnsi="Times New Roman"/>
                      <w:color w:val="000000" w:themeColor="text1"/>
                      <w:kern w:val="0"/>
                      <w:szCs w:val="21"/>
                      <w:highlight w:val="none"/>
                      <w14:textFill>
                        <w14:solidFill>
                          <w14:schemeClr w14:val="tx1"/>
                        </w14:solidFill>
                      </w14:textFill>
                    </w:rPr>
                    <w:t>占总投资的0.3</w:t>
                  </w:r>
                  <w:r>
                    <w:rPr>
                      <w:rFonts w:hint="eastAsia" w:ascii="Times New Roman" w:hAnsi="Times New Roman"/>
                      <w:color w:val="000000" w:themeColor="text1"/>
                      <w:kern w:val="0"/>
                      <w:szCs w:val="21"/>
                      <w:highlight w:val="none"/>
                      <w:lang w:val="en-US" w:eastAsia="zh-CN"/>
                      <w14:textFill>
                        <w14:solidFill>
                          <w14:schemeClr w14:val="tx1"/>
                        </w14:solidFill>
                      </w14:textFill>
                    </w:rPr>
                    <w:t>1</w:t>
                  </w:r>
                  <w:r>
                    <w:rPr>
                      <w:rFonts w:ascii="Times New Roman" w:hAnsi="Times New Roman"/>
                      <w:color w:val="000000" w:themeColor="text1"/>
                      <w:kern w:val="0"/>
                      <w:szCs w:val="21"/>
                      <w:highlight w:val="none"/>
                      <w14:textFill>
                        <w14:solidFill>
                          <w14:schemeClr w14:val="tx1"/>
                        </w14:solidFill>
                      </w14:textFill>
                    </w:rPr>
                    <w:t>%</w:t>
                  </w:r>
                </w:p>
              </w:tc>
            </w:tr>
          </w:tbl>
          <w:p>
            <w:pPr>
              <w:keepNext w:val="0"/>
              <w:keepLines w:val="0"/>
              <w:widowControl/>
              <w:suppressLineNumbers w:val="0"/>
              <w:spacing w:before="0" w:beforeAutospacing="0" w:after="0" w:afterAutospacing="0" w:line="360" w:lineRule="auto"/>
              <w:ind w:left="0" w:right="0"/>
              <w:rPr>
                <w:bCs/>
                <w:color w:val="000000" w:themeColor="text1"/>
                <w:spacing w:val="10"/>
                <w:sz w:val="24"/>
                <w:highlight w:val="none"/>
                <w14:textFill>
                  <w14:solidFill>
                    <w14:schemeClr w14:val="tx1"/>
                  </w14:solidFill>
                </w14:textFill>
              </w:rPr>
            </w:pPr>
          </w:p>
          <w:p>
            <w:pPr>
              <w:keepNext w:val="0"/>
              <w:keepLines w:val="0"/>
              <w:widowControl/>
              <w:suppressLineNumbers w:val="0"/>
              <w:spacing w:before="0" w:beforeAutospacing="0" w:after="0" w:afterAutospacing="0" w:line="360" w:lineRule="auto"/>
              <w:ind w:left="0" w:right="0"/>
              <w:rPr>
                <w:bCs/>
                <w:color w:val="000000" w:themeColor="text1"/>
                <w:spacing w:val="10"/>
                <w:sz w:val="24"/>
                <w:highlight w:val="none"/>
                <w14:textFill>
                  <w14:solidFill>
                    <w14:schemeClr w14:val="tx1"/>
                  </w14:solidFill>
                </w14:textFill>
              </w:rPr>
            </w:pPr>
          </w:p>
          <w:p>
            <w:pPr>
              <w:keepNext w:val="0"/>
              <w:keepLines w:val="0"/>
              <w:widowControl/>
              <w:suppressLineNumbers w:val="0"/>
              <w:spacing w:before="0" w:beforeAutospacing="0" w:after="0" w:afterAutospacing="0" w:line="360" w:lineRule="auto"/>
              <w:ind w:left="0" w:right="0"/>
              <w:rPr>
                <w:rFonts w:hint="eastAsia"/>
                <w:bCs/>
                <w:color w:val="000000" w:themeColor="text1"/>
                <w:spacing w:val="10"/>
                <w:sz w:val="24"/>
                <w:highlight w:val="none"/>
                <w14:textFill>
                  <w14:solidFill>
                    <w14:schemeClr w14:val="tx1"/>
                  </w14:solidFill>
                </w14:textFill>
              </w:rPr>
            </w:pPr>
          </w:p>
          <w:p>
            <w:pPr>
              <w:keepNext w:val="0"/>
              <w:keepLines w:val="0"/>
              <w:widowControl/>
              <w:suppressLineNumbers w:val="0"/>
              <w:spacing w:before="0" w:beforeAutospacing="0" w:after="0" w:afterAutospacing="0" w:line="360" w:lineRule="auto"/>
              <w:ind w:left="0" w:right="0"/>
              <w:rPr>
                <w:rFonts w:hint="eastAsia"/>
                <w:bCs/>
                <w:color w:val="000000" w:themeColor="text1"/>
                <w:spacing w:val="10"/>
                <w:sz w:val="24"/>
                <w:highlight w:val="none"/>
                <w14:textFill>
                  <w14:solidFill>
                    <w14:schemeClr w14:val="tx1"/>
                  </w14:solidFill>
                </w14:textFill>
              </w:rPr>
            </w:pPr>
          </w:p>
        </w:tc>
      </w:tr>
    </w:tbl>
    <w:p>
      <w:pPr>
        <w:rPr>
          <w:color w:val="000000" w:themeColor="text1"/>
          <w:highlight w:val="none"/>
          <w14:textFill>
            <w14:solidFill>
              <w14:schemeClr w14:val="tx1"/>
            </w14:solidFill>
          </w14:textFill>
        </w:rPr>
        <w:sectPr>
          <w:pgSz w:w="11907" w:h="16840"/>
          <w:pgMar w:top="1440" w:right="1797" w:bottom="1440" w:left="1797" w:header="851" w:footer="1077" w:gutter="0"/>
          <w:cols w:space="425" w:num="1"/>
          <w:docGrid w:linePitch="312" w:charSpace="0"/>
        </w:sectPr>
      </w:pPr>
    </w:p>
    <w:p>
      <w:pPr>
        <w:pStyle w:val="19"/>
        <w:jc w:val="center"/>
        <w:outlineLvl w:val="0"/>
        <w:rPr>
          <w:rFonts w:ascii="Times New Roman" w:hAnsi="Times New Roman"/>
          <w:b/>
          <w:bCs/>
          <w:snapToGrid w:val="0"/>
          <w:color w:val="000000" w:themeColor="text1"/>
          <w:sz w:val="30"/>
          <w:szCs w:val="30"/>
          <w:highlight w:val="none"/>
          <w14:textFill>
            <w14:solidFill>
              <w14:schemeClr w14:val="tx1"/>
            </w14:solidFill>
          </w14:textFill>
        </w:rPr>
      </w:pPr>
      <w:r>
        <w:rPr>
          <w:rFonts w:hint="eastAsia" w:ascii="Times New Roman" w:hAnsi="Times New Roman"/>
          <w:b/>
          <w:bCs/>
          <w:snapToGrid w:val="0"/>
          <w:color w:val="000000" w:themeColor="text1"/>
          <w:sz w:val="30"/>
          <w:szCs w:val="30"/>
          <w:highlight w:val="none"/>
          <w:lang w:val="en-US" w:eastAsia="zh-CN"/>
          <w14:textFill>
            <w14:solidFill>
              <w14:schemeClr w14:val="tx1"/>
            </w14:solidFill>
          </w14:textFill>
        </w:rPr>
        <w:t>六</w:t>
      </w:r>
      <w:r>
        <w:rPr>
          <w:rFonts w:ascii="Times New Roman" w:hAnsi="Times New Roman"/>
          <w:b/>
          <w:bCs/>
          <w:snapToGrid w:val="0"/>
          <w:color w:val="000000" w:themeColor="text1"/>
          <w:sz w:val="30"/>
          <w:szCs w:val="30"/>
          <w:highlight w:val="none"/>
          <w14:textFill>
            <w14:solidFill>
              <w14:schemeClr w14:val="tx1"/>
            </w14:solidFill>
          </w14:textFill>
        </w:rPr>
        <w:t>、</w:t>
      </w:r>
      <w:r>
        <w:rPr>
          <w:rFonts w:hint="eastAsia" w:ascii="Times New Roman" w:hAnsi="Times New Roman"/>
          <w:b/>
          <w:bCs/>
          <w:snapToGrid w:val="0"/>
          <w:color w:val="000000" w:themeColor="text1"/>
          <w:sz w:val="30"/>
          <w:szCs w:val="30"/>
          <w:highlight w:val="none"/>
          <w14:textFill>
            <w14:solidFill>
              <w14:schemeClr w14:val="tx1"/>
            </w14:solidFill>
          </w14:textFill>
        </w:rPr>
        <w:t>生态环境保护措施监督检查清单</w:t>
      </w:r>
    </w:p>
    <w:tbl>
      <w:tblPr>
        <w:tblStyle w:val="24"/>
        <w:tblW w:w="513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899"/>
        <w:gridCol w:w="2783"/>
        <w:gridCol w:w="1404"/>
        <w:gridCol w:w="1164"/>
        <w:gridCol w:w="12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1" w:type="pct"/>
            <w:vMerge w:val="restart"/>
            <w:tcBorders>
              <w:tl2br w:val="single" w:color="auto" w:sz="4" w:space="0"/>
            </w:tcBorders>
          </w:tcPr>
          <w:p>
            <w:pPr>
              <w:pStyle w:val="19"/>
              <w:keepNext w:val="0"/>
              <w:keepLines w:val="0"/>
              <w:suppressLineNumbers w:val="0"/>
              <w:adjustRightInd w:val="0"/>
              <w:snapToGrid w:val="0"/>
              <w:spacing w:before="72" w:beforeLines="30" w:beforeAutospacing="0" w:after="0" w:afterAutospacing="0"/>
              <w:ind w:left="0" w:right="0"/>
              <w:jc w:val="center"/>
              <w:outlineLvl w:val="0"/>
              <w:rPr>
                <w:rFonts w:ascii="Times New Roman" w:hAnsi="Times New Roman"/>
                <w:color w:val="000000" w:themeColor="text1"/>
                <w:kern w:val="2"/>
                <w:highlight w:val="none"/>
                <w14:textFill>
                  <w14:solidFill>
                    <w14:schemeClr w14:val="tx1"/>
                  </w14:solidFill>
                </w14:textFill>
              </w:rPr>
            </w:pPr>
            <w:r>
              <w:rPr>
                <w:rFonts w:hint="eastAsia" w:ascii="Times New Roman" w:hAnsi="Times New Roman"/>
                <w:color w:val="000000" w:themeColor="text1"/>
                <w:kern w:val="2"/>
                <w:highlight w:val="none"/>
                <w:lang w:val="en-US" w:eastAsia="zh-CN"/>
                <w14:textFill>
                  <w14:solidFill>
                    <w14:schemeClr w14:val="tx1"/>
                  </w14:solidFill>
                </w14:textFill>
              </w:rPr>
              <w:t xml:space="preserve">    </w:t>
            </w:r>
            <w:r>
              <w:rPr>
                <w:rFonts w:ascii="Times New Roman" w:hAnsi="Times New Roman"/>
                <w:color w:val="000000" w:themeColor="text1"/>
                <w:kern w:val="2"/>
                <w:highlight w:val="none"/>
                <w14:textFill>
                  <w14:solidFill>
                    <w14:schemeClr w14:val="tx1"/>
                  </w14:solidFill>
                </w14:textFill>
              </w:rPr>
              <w:t>内容</w:t>
            </w:r>
          </w:p>
          <w:p>
            <w:pPr>
              <w:pStyle w:val="19"/>
              <w:keepNext w:val="0"/>
              <w:keepLines w:val="0"/>
              <w:suppressLineNumbers w:val="0"/>
              <w:adjustRightInd w:val="0"/>
              <w:snapToGrid w:val="0"/>
              <w:spacing w:before="0" w:beforeAutospacing="0" w:after="0" w:afterAutospacing="0" w:line="14" w:lineRule="auto"/>
              <w:ind w:left="0" w:right="0"/>
              <w:outlineLvl w:val="0"/>
              <w:rPr>
                <w:rFonts w:hint="eastAsia" w:ascii="Times New Roman" w:hAnsi="Times New Roman" w:eastAsia="宋体"/>
                <w:color w:val="000000" w:themeColor="text1"/>
                <w:kern w:val="2"/>
                <w:highlight w:val="none"/>
                <w:lang w:eastAsia="zh-CN"/>
                <w14:textFill>
                  <w14:solidFill>
                    <w14:schemeClr w14:val="tx1"/>
                  </w14:solidFill>
                </w14:textFill>
              </w:rPr>
            </w:pPr>
          </w:p>
          <w:p>
            <w:pPr>
              <w:pStyle w:val="19"/>
              <w:keepNext w:val="0"/>
              <w:keepLines w:val="0"/>
              <w:suppressLineNumbers w:val="0"/>
              <w:adjustRightInd w:val="0"/>
              <w:snapToGrid w:val="0"/>
              <w:spacing w:before="0" w:beforeAutospacing="0" w:after="0" w:afterAutospacing="0"/>
              <w:ind w:left="0" w:right="0"/>
              <w:outlineLvl w:val="0"/>
              <w:rPr>
                <w:rFonts w:ascii="Times New Roman" w:hAnsi="Times New Roman"/>
                <w:color w:val="000000" w:themeColor="text1"/>
                <w:kern w:val="2"/>
                <w:highlight w:val="none"/>
                <w14:textFill>
                  <w14:solidFill>
                    <w14:schemeClr w14:val="tx1"/>
                  </w14:solidFill>
                </w14:textFill>
              </w:rPr>
            </w:pPr>
          </w:p>
          <w:p>
            <w:pPr>
              <w:pStyle w:val="19"/>
              <w:keepNext w:val="0"/>
              <w:keepLines w:val="0"/>
              <w:suppressLineNumbers w:val="0"/>
              <w:adjustRightInd w:val="0"/>
              <w:snapToGrid w:val="0"/>
              <w:spacing w:before="0" w:beforeAutospacing="0" w:after="0" w:afterAutospacing="0"/>
              <w:ind w:left="0" w:right="0"/>
              <w:outlineLvl w:val="0"/>
              <w:rPr>
                <w:rFonts w:ascii="Times New Roman" w:hAnsi="Times New Roman"/>
                <w:color w:val="000000" w:themeColor="text1"/>
                <w:kern w:val="2"/>
                <w:highlight w:val="none"/>
                <w14:textFill>
                  <w14:solidFill>
                    <w14:schemeClr w14:val="tx1"/>
                  </w14:solidFill>
                </w14:textFill>
              </w:rPr>
            </w:pPr>
          </w:p>
          <w:p>
            <w:pPr>
              <w:pStyle w:val="19"/>
              <w:keepNext w:val="0"/>
              <w:keepLines w:val="0"/>
              <w:suppressLineNumbers w:val="0"/>
              <w:adjustRightInd w:val="0"/>
              <w:snapToGrid w:val="0"/>
              <w:spacing w:before="0" w:beforeAutospacing="0" w:after="0" w:afterAutospacing="0"/>
              <w:ind w:left="0" w:right="0"/>
              <w:outlineLvl w:val="0"/>
              <w:rPr>
                <w:rFonts w:ascii="Times New Roman" w:hAnsi="Times New Roman"/>
                <w:color w:val="000000" w:themeColor="text1"/>
                <w:kern w:val="2"/>
                <w:highlight w:val="none"/>
                <w14:textFill>
                  <w14:solidFill>
                    <w14:schemeClr w14:val="tx1"/>
                  </w14:solidFill>
                </w14:textFill>
              </w:rPr>
            </w:pPr>
            <w:r>
              <w:rPr>
                <w:rFonts w:ascii="Times New Roman" w:hAnsi="Times New Roman"/>
                <w:color w:val="000000" w:themeColor="text1"/>
                <w:kern w:val="2"/>
                <w:highlight w:val="none"/>
                <w14:textFill>
                  <w14:solidFill>
                    <w14:schemeClr w14:val="tx1"/>
                  </w14:solidFill>
                </w14:textFill>
              </w:rPr>
              <w:t>要素</w:t>
            </w:r>
          </w:p>
        </w:tc>
        <w:tc>
          <w:tcPr>
            <w:tcW w:w="2905" w:type="pct"/>
            <w:gridSpan w:val="3"/>
            <w:vAlign w:val="center"/>
          </w:tcPr>
          <w:p>
            <w:pPr>
              <w:pStyle w:val="19"/>
              <w:keepNext w:val="0"/>
              <w:keepLines w:val="0"/>
              <w:suppressLineNumbers w:val="0"/>
              <w:adjustRightInd w:val="0"/>
              <w:snapToGrid w:val="0"/>
              <w:spacing w:before="0" w:beforeAutospacing="0" w:after="0" w:afterAutospacing="0"/>
              <w:ind w:left="0" w:right="0"/>
              <w:jc w:val="center"/>
              <w:outlineLvl w:val="0"/>
              <w:rPr>
                <w:rFonts w:ascii="Times New Roman" w:hAnsi="Times New Roman"/>
                <w:color w:val="000000" w:themeColor="text1"/>
                <w:kern w:val="2"/>
                <w:highlight w:val="none"/>
                <w14:textFill>
                  <w14:solidFill>
                    <w14:schemeClr w14:val="tx1"/>
                  </w14:solidFill>
                </w14:textFill>
              </w:rPr>
            </w:pPr>
            <w:r>
              <w:rPr>
                <w:rFonts w:ascii="Times New Roman" w:hAnsi="Times New Roman"/>
                <w:color w:val="000000" w:themeColor="text1"/>
                <w:kern w:val="2"/>
                <w:highlight w:val="none"/>
                <w14:textFill>
                  <w14:solidFill>
                    <w14:schemeClr w14:val="tx1"/>
                  </w14:solidFill>
                </w14:textFill>
              </w:rPr>
              <w:t>施工期</w:t>
            </w:r>
          </w:p>
        </w:tc>
        <w:tc>
          <w:tcPr>
            <w:tcW w:w="1373" w:type="pct"/>
            <w:gridSpan w:val="2"/>
            <w:vAlign w:val="center"/>
          </w:tcPr>
          <w:p>
            <w:pPr>
              <w:pStyle w:val="19"/>
              <w:keepNext w:val="0"/>
              <w:keepLines w:val="0"/>
              <w:suppressLineNumbers w:val="0"/>
              <w:adjustRightInd w:val="0"/>
              <w:snapToGrid w:val="0"/>
              <w:spacing w:before="0" w:beforeAutospacing="0" w:after="0" w:afterAutospacing="0"/>
              <w:ind w:left="0" w:right="0"/>
              <w:jc w:val="center"/>
              <w:outlineLvl w:val="0"/>
              <w:rPr>
                <w:rFonts w:ascii="Times New Roman" w:hAnsi="Times New Roman"/>
                <w:color w:val="000000" w:themeColor="text1"/>
                <w:kern w:val="2"/>
                <w:highlight w:val="none"/>
                <w14:textFill>
                  <w14:solidFill>
                    <w14:schemeClr w14:val="tx1"/>
                  </w14:solidFill>
                </w14:textFill>
              </w:rPr>
            </w:pPr>
            <w:r>
              <w:rPr>
                <w:rFonts w:ascii="Times New Roman" w:hAnsi="Times New Roman"/>
                <w:color w:val="000000" w:themeColor="text1"/>
                <w:kern w:val="2"/>
                <w:highlight w:val="none"/>
                <w14:textFill>
                  <w14:solidFill>
                    <w14:schemeClr w14:val="tx1"/>
                  </w14:solidFill>
                </w14:textFill>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1" w:type="pct"/>
            <w:vMerge w:val="continue"/>
          </w:tcPr>
          <w:p>
            <w:pPr>
              <w:pStyle w:val="19"/>
              <w:keepNext w:val="0"/>
              <w:keepLines w:val="0"/>
              <w:suppressLineNumbers w:val="0"/>
              <w:adjustRightInd w:val="0"/>
              <w:snapToGrid w:val="0"/>
              <w:spacing w:before="0" w:beforeAutospacing="0" w:after="0" w:afterAutospacing="0"/>
              <w:ind w:left="0" w:right="0" w:firstLine="840"/>
              <w:jc w:val="center"/>
              <w:outlineLvl w:val="0"/>
              <w:rPr>
                <w:rFonts w:ascii="Times New Roman" w:hAnsi="Times New Roman"/>
                <w:color w:val="000000" w:themeColor="text1"/>
                <w:kern w:val="2"/>
                <w:highlight w:val="none"/>
                <w14:textFill>
                  <w14:solidFill>
                    <w14:schemeClr w14:val="tx1"/>
                  </w14:solidFill>
                </w14:textFill>
              </w:rPr>
            </w:pPr>
          </w:p>
        </w:tc>
        <w:tc>
          <w:tcPr>
            <w:tcW w:w="2103" w:type="pct"/>
            <w:gridSpan w:val="2"/>
            <w:vAlign w:val="center"/>
          </w:tcPr>
          <w:p>
            <w:pPr>
              <w:pStyle w:val="19"/>
              <w:keepNext w:val="0"/>
              <w:keepLines w:val="0"/>
              <w:suppressLineNumbers w:val="0"/>
              <w:adjustRightInd w:val="0"/>
              <w:snapToGrid w:val="0"/>
              <w:spacing w:before="0" w:beforeAutospacing="0" w:after="0" w:afterAutospacing="0"/>
              <w:ind w:left="0" w:right="0"/>
              <w:jc w:val="center"/>
              <w:outlineLvl w:val="0"/>
              <w:rPr>
                <w:rFonts w:ascii="Times New Roman" w:hAnsi="Times New Roman"/>
                <w:color w:val="000000" w:themeColor="text1"/>
                <w:kern w:val="2"/>
                <w:highlight w:val="none"/>
                <w14:textFill>
                  <w14:solidFill>
                    <w14:schemeClr w14:val="tx1"/>
                  </w14:solidFill>
                </w14:textFill>
              </w:rPr>
            </w:pPr>
            <w:r>
              <w:rPr>
                <w:rFonts w:ascii="Times New Roman" w:hAnsi="Times New Roman"/>
                <w:color w:val="000000" w:themeColor="text1"/>
                <w:kern w:val="2"/>
                <w:highlight w:val="none"/>
                <w14:textFill>
                  <w14:solidFill>
                    <w14:schemeClr w14:val="tx1"/>
                  </w14:solidFill>
                </w14:textFill>
              </w:rPr>
              <w:t>环境保护措施</w:t>
            </w:r>
          </w:p>
        </w:tc>
        <w:tc>
          <w:tcPr>
            <w:tcW w:w="801" w:type="pct"/>
            <w:vAlign w:val="center"/>
          </w:tcPr>
          <w:p>
            <w:pPr>
              <w:pStyle w:val="19"/>
              <w:keepNext w:val="0"/>
              <w:keepLines w:val="0"/>
              <w:suppressLineNumbers w:val="0"/>
              <w:adjustRightInd w:val="0"/>
              <w:snapToGrid w:val="0"/>
              <w:spacing w:before="0" w:beforeAutospacing="0" w:after="0" w:afterAutospacing="0"/>
              <w:ind w:left="0" w:right="0"/>
              <w:jc w:val="center"/>
              <w:outlineLvl w:val="0"/>
              <w:rPr>
                <w:rFonts w:ascii="Times New Roman" w:hAnsi="Times New Roman"/>
                <w:color w:val="000000" w:themeColor="text1"/>
                <w:kern w:val="2"/>
                <w:highlight w:val="none"/>
                <w14:textFill>
                  <w14:solidFill>
                    <w14:schemeClr w14:val="tx1"/>
                  </w14:solidFill>
                </w14:textFill>
              </w:rPr>
            </w:pPr>
            <w:r>
              <w:rPr>
                <w:rFonts w:ascii="Times New Roman" w:hAnsi="Times New Roman"/>
                <w:color w:val="000000" w:themeColor="text1"/>
                <w:kern w:val="2"/>
                <w:highlight w:val="none"/>
                <w14:textFill>
                  <w14:solidFill>
                    <w14:schemeClr w14:val="tx1"/>
                  </w14:solidFill>
                </w14:textFill>
              </w:rPr>
              <w:t>验收要求</w:t>
            </w:r>
          </w:p>
        </w:tc>
        <w:tc>
          <w:tcPr>
            <w:tcW w:w="664" w:type="pct"/>
            <w:vAlign w:val="center"/>
          </w:tcPr>
          <w:p>
            <w:pPr>
              <w:pStyle w:val="19"/>
              <w:keepNext w:val="0"/>
              <w:keepLines w:val="0"/>
              <w:suppressLineNumbers w:val="0"/>
              <w:adjustRightInd w:val="0"/>
              <w:snapToGrid w:val="0"/>
              <w:spacing w:before="0" w:beforeAutospacing="0" w:after="0" w:afterAutospacing="0"/>
              <w:ind w:left="0" w:right="0"/>
              <w:jc w:val="center"/>
              <w:outlineLvl w:val="0"/>
              <w:rPr>
                <w:rFonts w:ascii="Times New Roman" w:hAnsi="Times New Roman"/>
                <w:color w:val="000000" w:themeColor="text1"/>
                <w:kern w:val="2"/>
                <w:highlight w:val="none"/>
                <w14:textFill>
                  <w14:solidFill>
                    <w14:schemeClr w14:val="tx1"/>
                  </w14:solidFill>
                </w14:textFill>
              </w:rPr>
            </w:pPr>
            <w:r>
              <w:rPr>
                <w:rFonts w:ascii="Times New Roman" w:hAnsi="Times New Roman"/>
                <w:color w:val="000000" w:themeColor="text1"/>
                <w:kern w:val="2"/>
                <w:highlight w:val="none"/>
                <w14:textFill>
                  <w14:solidFill>
                    <w14:schemeClr w14:val="tx1"/>
                  </w14:solidFill>
                </w14:textFill>
              </w:rPr>
              <w:t>环境保</w:t>
            </w:r>
          </w:p>
          <w:p>
            <w:pPr>
              <w:pStyle w:val="19"/>
              <w:keepNext w:val="0"/>
              <w:keepLines w:val="0"/>
              <w:suppressLineNumbers w:val="0"/>
              <w:adjustRightInd w:val="0"/>
              <w:snapToGrid w:val="0"/>
              <w:spacing w:before="0" w:beforeAutospacing="0" w:after="0" w:afterAutospacing="0"/>
              <w:ind w:left="0" w:right="0"/>
              <w:jc w:val="center"/>
              <w:outlineLvl w:val="0"/>
              <w:rPr>
                <w:rFonts w:ascii="Times New Roman" w:hAnsi="Times New Roman"/>
                <w:color w:val="000000" w:themeColor="text1"/>
                <w:kern w:val="2"/>
                <w:highlight w:val="none"/>
                <w14:textFill>
                  <w14:solidFill>
                    <w14:schemeClr w14:val="tx1"/>
                  </w14:solidFill>
                </w14:textFill>
              </w:rPr>
            </w:pPr>
            <w:r>
              <w:rPr>
                <w:rFonts w:ascii="Times New Roman" w:hAnsi="Times New Roman"/>
                <w:color w:val="000000" w:themeColor="text1"/>
                <w:kern w:val="2"/>
                <w:highlight w:val="none"/>
                <w14:textFill>
                  <w14:solidFill>
                    <w14:schemeClr w14:val="tx1"/>
                  </w14:solidFill>
                </w14:textFill>
              </w:rPr>
              <w:t>护措施</w:t>
            </w:r>
          </w:p>
        </w:tc>
        <w:tc>
          <w:tcPr>
            <w:tcW w:w="708" w:type="pct"/>
            <w:vAlign w:val="center"/>
          </w:tcPr>
          <w:p>
            <w:pPr>
              <w:pStyle w:val="19"/>
              <w:keepNext w:val="0"/>
              <w:keepLines w:val="0"/>
              <w:suppressLineNumbers w:val="0"/>
              <w:adjustRightInd w:val="0"/>
              <w:snapToGrid w:val="0"/>
              <w:spacing w:before="0" w:beforeAutospacing="0" w:after="0" w:afterAutospacing="0"/>
              <w:ind w:left="0" w:right="0"/>
              <w:jc w:val="center"/>
              <w:outlineLvl w:val="0"/>
              <w:rPr>
                <w:rFonts w:ascii="Times New Roman" w:hAnsi="Times New Roman"/>
                <w:color w:val="000000" w:themeColor="text1"/>
                <w:kern w:val="2"/>
                <w:highlight w:val="none"/>
                <w14:textFill>
                  <w14:solidFill>
                    <w14:schemeClr w14:val="tx1"/>
                  </w14:solidFill>
                </w14:textFill>
              </w:rPr>
            </w:pPr>
            <w:r>
              <w:rPr>
                <w:rFonts w:ascii="Times New Roman" w:hAnsi="Times New Roman"/>
                <w:color w:val="000000" w:themeColor="text1"/>
                <w:kern w:val="2"/>
                <w:highlight w:val="none"/>
                <w14:textFill>
                  <w14:solidFill>
                    <w14:schemeClr w14:val="tx1"/>
                  </w14:solidFill>
                </w14:textFill>
              </w:rPr>
              <w:t>验收</w:t>
            </w:r>
          </w:p>
          <w:p>
            <w:pPr>
              <w:pStyle w:val="19"/>
              <w:keepNext w:val="0"/>
              <w:keepLines w:val="0"/>
              <w:suppressLineNumbers w:val="0"/>
              <w:adjustRightInd w:val="0"/>
              <w:snapToGrid w:val="0"/>
              <w:spacing w:before="0" w:beforeAutospacing="0" w:after="0" w:afterAutospacing="0"/>
              <w:ind w:left="0" w:right="0"/>
              <w:jc w:val="center"/>
              <w:outlineLvl w:val="0"/>
              <w:rPr>
                <w:rFonts w:ascii="Times New Roman" w:hAnsi="Times New Roman"/>
                <w:color w:val="000000" w:themeColor="text1"/>
                <w:kern w:val="2"/>
                <w:highlight w:val="none"/>
                <w14:textFill>
                  <w14:solidFill>
                    <w14:schemeClr w14:val="tx1"/>
                  </w14:solidFill>
                </w14:textFill>
              </w:rPr>
            </w:pPr>
            <w:r>
              <w:rPr>
                <w:rFonts w:ascii="Times New Roman" w:hAnsi="Times New Roman"/>
                <w:color w:val="000000" w:themeColor="text1"/>
                <w:kern w:val="2"/>
                <w:highlight w:val="none"/>
                <w14:textFill>
                  <w14:solidFill>
                    <w14:schemeClr w14:val="tx1"/>
                  </w14:solidFill>
                </w14:textFill>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1" w:type="pct"/>
            <w:vMerge w:val="restar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陆生生态</w:t>
            </w:r>
          </w:p>
        </w:tc>
        <w:tc>
          <w:tcPr>
            <w:tcW w:w="513"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减少影响范围、生态恢复</w:t>
            </w:r>
          </w:p>
        </w:tc>
        <w:tc>
          <w:tcPr>
            <w:tcW w:w="1589" w:type="pct"/>
            <w:vAlign w:val="center"/>
          </w:tcPr>
          <w:p>
            <w:pPr>
              <w:keepNext w:val="0"/>
              <w:keepLines w:val="0"/>
              <w:suppressLineNumbers w:val="0"/>
              <w:adjustRightInd w:val="0"/>
              <w:snapToGrid w:val="0"/>
              <w:spacing w:before="0" w:beforeAutospacing="0" w:after="0" w:afterAutospacing="0"/>
              <w:ind w:left="0" w:right="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合理布置施工场地，禁砍伐野外植被，严格划定施工作业范围；临时堆场表土、土方集中堆存，并采取拦挡、排水措施以及</w:t>
            </w:r>
            <w:r>
              <w:rPr>
                <w:rFonts w:hint="eastAsia"/>
                <w:color w:val="000000" w:themeColor="text1"/>
                <w:sz w:val="24"/>
                <w:highlight w:val="none"/>
                <w:lang w:val="en-US" w:eastAsia="zh-CN"/>
                <w14:textFill>
                  <w14:solidFill>
                    <w14:schemeClr w14:val="tx1"/>
                  </w14:solidFill>
                </w14:textFill>
              </w:rPr>
              <w:t>铺设苫布</w:t>
            </w:r>
            <w:r>
              <w:rPr>
                <w:color w:val="000000" w:themeColor="text1"/>
                <w:sz w:val="24"/>
                <w:highlight w:val="none"/>
                <w14:textFill>
                  <w14:solidFill>
                    <w14:schemeClr w14:val="tx1"/>
                  </w14:solidFill>
                </w14:textFill>
              </w:rPr>
              <w:t>等临时遮挡措施</w:t>
            </w:r>
          </w:p>
        </w:tc>
        <w:tc>
          <w:tcPr>
            <w:tcW w:w="801" w:type="pct"/>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14:textFill>
                  <w14:solidFill>
                    <w14:schemeClr w14:val="tx1"/>
                  </w14:solidFill>
                </w14:textFill>
              </w:rPr>
              <w:t>无明显水土流失，生态恢复措施效果</w:t>
            </w:r>
            <w:r>
              <w:rPr>
                <w:rFonts w:hint="eastAsia"/>
                <w:color w:val="000000" w:themeColor="text1"/>
                <w:sz w:val="24"/>
                <w:highlight w:val="none"/>
                <w:lang w:val="en-US" w:eastAsia="zh-CN"/>
                <w14:textFill>
                  <w14:solidFill>
                    <w14:schemeClr w14:val="tx1"/>
                  </w14:solidFill>
                </w14:textFill>
              </w:rPr>
              <w:t>显著</w:t>
            </w:r>
            <w:r>
              <w:rPr>
                <w:rFonts w:hint="eastAsia"/>
                <w:color w:val="000000" w:themeColor="text1"/>
                <w:sz w:val="24"/>
                <w:highlight w:val="none"/>
                <w14:textFill>
                  <w14:solidFill>
                    <w14:schemeClr w14:val="tx1"/>
                  </w14:solidFill>
                </w14:textFill>
              </w:rPr>
              <w:t>，景观</w:t>
            </w:r>
            <w:r>
              <w:rPr>
                <w:rFonts w:hint="eastAsia"/>
                <w:color w:val="000000" w:themeColor="text1"/>
                <w:sz w:val="24"/>
                <w:highlight w:val="none"/>
                <w:lang w:val="en-US" w:eastAsia="zh-CN"/>
                <w14:textFill>
                  <w14:solidFill>
                    <w14:schemeClr w14:val="tx1"/>
                  </w14:solidFill>
                </w14:textFill>
              </w:rPr>
              <w:t>协调</w:t>
            </w:r>
          </w:p>
        </w:tc>
        <w:tc>
          <w:tcPr>
            <w:tcW w:w="664" w:type="pct"/>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14:textFill>
                  <w14:solidFill>
                    <w14:schemeClr w14:val="tx1"/>
                  </w14:solidFill>
                </w14:textFill>
              </w:rPr>
              <w:t>沿线植被恢复、临时占地</w:t>
            </w:r>
            <w:r>
              <w:rPr>
                <w:rFonts w:hint="eastAsia"/>
                <w:color w:val="000000" w:themeColor="text1"/>
                <w:sz w:val="24"/>
                <w:highlight w:val="none"/>
                <w:lang w:val="en-US" w:eastAsia="zh-CN"/>
                <w14:textFill>
                  <w14:solidFill>
                    <w14:schemeClr w14:val="tx1"/>
                  </w14:solidFill>
                </w14:textFill>
              </w:rPr>
              <w:t>复绿</w:t>
            </w:r>
          </w:p>
        </w:tc>
        <w:tc>
          <w:tcPr>
            <w:tcW w:w="708" w:type="pct"/>
            <w:vMerge w:val="restar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1" w:type="pct"/>
            <w:vMerge w:val="continue"/>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p>
        </w:tc>
        <w:tc>
          <w:tcPr>
            <w:tcW w:w="513"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临时占地恢复</w:t>
            </w:r>
          </w:p>
        </w:tc>
        <w:tc>
          <w:tcPr>
            <w:tcW w:w="1589" w:type="pct"/>
            <w:vAlign w:val="center"/>
          </w:tcPr>
          <w:p>
            <w:pPr>
              <w:keepNext w:val="0"/>
              <w:keepLines w:val="0"/>
              <w:suppressLineNumbers w:val="0"/>
              <w:adjustRightInd w:val="0"/>
              <w:snapToGrid w:val="0"/>
              <w:spacing w:before="0" w:beforeAutospacing="0" w:after="0" w:afterAutospacing="0"/>
              <w:ind w:left="0" w:right="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施工完成后对</w:t>
            </w:r>
            <w:r>
              <w:rPr>
                <w:color w:val="000000" w:themeColor="text1"/>
                <w:sz w:val="24"/>
                <w:highlight w:val="none"/>
                <w14:textFill>
                  <w14:solidFill>
                    <w14:schemeClr w14:val="tx1"/>
                  </w14:solidFill>
                </w14:textFill>
              </w:rPr>
              <w:t>临时占地上的设施</w:t>
            </w:r>
            <w:r>
              <w:rPr>
                <w:rFonts w:hint="eastAsia"/>
                <w:color w:val="000000" w:themeColor="text1"/>
                <w:sz w:val="24"/>
                <w:highlight w:val="none"/>
                <w14:textFill>
                  <w14:solidFill>
                    <w14:schemeClr w14:val="tx1"/>
                  </w14:solidFill>
                </w14:textFill>
              </w:rPr>
              <w:t>进行拆除，</w:t>
            </w:r>
            <w:r>
              <w:rPr>
                <w:color w:val="000000" w:themeColor="text1"/>
                <w:sz w:val="24"/>
                <w:highlight w:val="none"/>
                <w14:textFill>
                  <w14:solidFill>
                    <w14:schemeClr w14:val="tx1"/>
                  </w14:solidFill>
                </w14:textFill>
              </w:rPr>
              <w:t>对</w:t>
            </w:r>
            <w:r>
              <w:rPr>
                <w:rFonts w:hint="eastAsia"/>
                <w:color w:val="000000" w:themeColor="text1"/>
                <w:sz w:val="24"/>
                <w:highlight w:val="none"/>
                <w14:textFill>
                  <w14:solidFill>
                    <w14:schemeClr w14:val="tx1"/>
                  </w14:solidFill>
                </w14:textFill>
              </w:rPr>
              <w:t>施工场地、临时堆</w:t>
            </w:r>
            <w:r>
              <w:rPr>
                <w:rFonts w:hint="eastAsia"/>
                <w:color w:val="000000" w:themeColor="text1"/>
                <w:sz w:val="24"/>
                <w:highlight w:val="none"/>
                <w:lang w:val="en-US" w:eastAsia="zh-CN"/>
                <w14:textFill>
                  <w14:solidFill>
                    <w14:schemeClr w14:val="tx1"/>
                  </w14:solidFill>
                </w14:textFill>
              </w:rPr>
              <w:t>土</w:t>
            </w:r>
            <w:r>
              <w:rPr>
                <w:rFonts w:hint="eastAsia"/>
                <w:color w:val="000000" w:themeColor="text1"/>
                <w:sz w:val="24"/>
                <w:highlight w:val="none"/>
                <w14:textFill>
                  <w14:solidFill>
                    <w14:schemeClr w14:val="tx1"/>
                  </w14:solidFill>
                </w14:textFill>
              </w:rPr>
              <w:t>场</w:t>
            </w:r>
            <w:r>
              <w:rPr>
                <w:color w:val="000000" w:themeColor="text1"/>
                <w:sz w:val="24"/>
                <w:highlight w:val="none"/>
                <w14:textFill>
                  <w14:solidFill>
                    <w14:schemeClr w14:val="tx1"/>
                  </w14:solidFill>
                </w14:textFill>
              </w:rPr>
              <w:t>等进行拆除</w:t>
            </w:r>
            <w:r>
              <w:rPr>
                <w:rFonts w:hint="eastAsia"/>
                <w:color w:val="000000" w:themeColor="text1"/>
                <w:sz w:val="24"/>
                <w:highlight w:val="none"/>
                <w:lang w:val="en-US" w:eastAsia="zh-CN"/>
                <w14:textFill>
                  <w14:solidFill>
                    <w14:schemeClr w14:val="tx1"/>
                  </w14:solidFill>
                </w14:textFill>
              </w:rPr>
              <w:t>及</w:t>
            </w:r>
            <w:r>
              <w:rPr>
                <w:color w:val="000000" w:themeColor="text1"/>
                <w:sz w:val="24"/>
                <w:highlight w:val="none"/>
                <w14:textFill>
                  <w14:solidFill>
                    <w14:schemeClr w14:val="tx1"/>
                  </w14:solidFill>
                </w14:textFill>
              </w:rPr>
              <w:t>回填平整，现场无废弃构造设施遗留</w:t>
            </w:r>
          </w:p>
        </w:tc>
        <w:tc>
          <w:tcPr>
            <w:tcW w:w="801"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占地恢复原有土地利用性质</w:t>
            </w:r>
          </w:p>
        </w:tc>
        <w:tc>
          <w:tcPr>
            <w:tcW w:w="664" w:type="pct"/>
            <w:vMerge w:val="continue"/>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p>
        </w:tc>
        <w:tc>
          <w:tcPr>
            <w:tcW w:w="708" w:type="pct"/>
            <w:vMerge w:val="continue"/>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1"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水生生态</w:t>
            </w:r>
          </w:p>
        </w:tc>
        <w:tc>
          <w:tcPr>
            <w:tcW w:w="2103" w:type="pct"/>
            <w:gridSpan w:val="2"/>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w:t>
            </w:r>
          </w:p>
        </w:tc>
        <w:tc>
          <w:tcPr>
            <w:tcW w:w="801" w:type="pct"/>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w:t>
            </w:r>
          </w:p>
        </w:tc>
        <w:tc>
          <w:tcPr>
            <w:tcW w:w="664"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p>
        </w:tc>
        <w:tc>
          <w:tcPr>
            <w:tcW w:w="708"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1" w:type="pct"/>
            <w:vMerge w:val="restar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地表水</w:t>
            </w:r>
          </w:p>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环境</w:t>
            </w:r>
          </w:p>
        </w:tc>
        <w:tc>
          <w:tcPr>
            <w:tcW w:w="513"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生活</w:t>
            </w:r>
          </w:p>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污水</w:t>
            </w:r>
          </w:p>
        </w:tc>
        <w:tc>
          <w:tcPr>
            <w:tcW w:w="1589" w:type="pct"/>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4"/>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w:t>依托</w:t>
            </w:r>
            <w:r>
              <w:rPr>
                <w:rFonts w:hint="eastAsia"/>
                <w:color w:val="000000" w:themeColor="text1"/>
                <w:sz w:val="24"/>
                <w:highlight w:val="none"/>
                <w:lang w:val="en-US" w:eastAsia="zh-CN"/>
                <w14:textFill>
                  <w14:solidFill>
                    <w14:schemeClr w14:val="tx1"/>
                  </w14:solidFill>
                </w14:textFill>
              </w:rPr>
              <w:t>项目周边已建</w:t>
            </w:r>
            <w:r>
              <w:rPr>
                <w:rFonts w:hint="eastAsia"/>
                <w:color w:val="000000" w:themeColor="text1"/>
                <w:sz w:val="24"/>
                <w:highlight w:val="none"/>
                <w14:textFill>
                  <w14:solidFill>
                    <w14:schemeClr w14:val="tx1"/>
                  </w14:solidFill>
                </w14:textFill>
              </w:rPr>
              <w:t>污水处理设施处理</w:t>
            </w:r>
          </w:p>
        </w:tc>
        <w:tc>
          <w:tcPr>
            <w:tcW w:w="801" w:type="pct"/>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施工期现场设置了临时隔油沉淀设施，废水未外排；施工完毕后，现场无废水遗留，无地表水污染现象遗留</w:t>
            </w:r>
          </w:p>
        </w:tc>
        <w:tc>
          <w:tcPr>
            <w:tcW w:w="664" w:type="pct"/>
            <w:vMerge w:val="restar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p>
        </w:tc>
        <w:tc>
          <w:tcPr>
            <w:tcW w:w="708" w:type="pct"/>
            <w:vMerge w:val="restar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1" w:type="pct"/>
            <w:vMerge w:val="continue"/>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p>
        </w:tc>
        <w:tc>
          <w:tcPr>
            <w:tcW w:w="513" w:type="pct"/>
            <w:vAlign w:val="center"/>
          </w:tcPr>
          <w:p>
            <w:pPr>
              <w:keepNext w:val="0"/>
              <w:keepLines w:val="0"/>
              <w:suppressLineNumbers w:val="0"/>
              <w:spacing w:before="0" w:beforeAutospacing="0" w:after="0" w:afterAutospacing="0"/>
              <w:ind w:left="0" w:right="0"/>
              <w:jc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施工废水</w:t>
            </w:r>
          </w:p>
        </w:tc>
        <w:tc>
          <w:tcPr>
            <w:tcW w:w="1589" w:type="pct"/>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14:textFill>
                  <w14:solidFill>
                    <w14:schemeClr w14:val="tx1"/>
                  </w14:solidFill>
                </w14:textFill>
              </w:rPr>
              <w:t>设置施工废水</w:t>
            </w:r>
            <w:r>
              <w:rPr>
                <w:rFonts w:hint="eastAsia"/>
                <w:color w:val="000000" w:themeColor="text1"/>
                <w:sz w:val="24"/>
                <w:highlight w:val="none"/>
                <w:lang w:val="en-US" w:eastAsia="zh-CN"/>
                <w14:textFill>
                  <w14:solidFill>
                    <w14:schemeClr w14:val="tx1"/>
                  </w14:solidFill>
                </w14:textFill>
              </w:rPr>
              <w:t>隔油</w:t>
            </w:r>
            <w:r>
              <w:rPr>
                <w:rFonts w:hint="eastAsia"/>
                <w:color w:val="000000" w:themeColor="text1"/>
                <w:sz w:val="24"/>
                <w:highlight w:val="none"/>
                <w14:textFill>
                  <w14:solidFill>
                    <w14:schemeClr w14:val="tx1"/>
                  </w14:solidFill>
                </w14:textFill>
              </w:rPr>
              <w:t>沉淀池（1</w:t>
            </w:r>
            <w:r>
              <w:rPr>
                <w:rFonts w:hint="eastAsia"/>
                <w:color w:val="000000" w:themeColor="text1"/>
                <w:sz w:val="24"/>
                <w:highlight w:val="none"/>
                <w:lang w:val="en-US" w:eastAsia="zh-CN"/>
                <w14:textFill>
                  <w14:solidFill>
                    <w14:schemeClr w14:val="tx1"/>
                  </w14:solidFill>
                </w14:textFill>
              </w:rPr>
              <w:t>个</w:t>
            </w:r>
            <w:r>
              <w:rPr>
                <w:rFonts w:hint="eastAsia"/>
                <w:color w:val="000000" w:themeColor="text1"/>
                <w:sz w:val="24"/>
                <w:highlight w:val="none"/>
                <w14:textFill>
                  <w14:solidFill>
                    <w14:schemeClr w14:val="tx1"/>
                  </w14:solidFill>
                </w14:textFill>
              </w:rPr>
              <w:t>），位于临时施工场地</w:t>
            </w:r>
            <w:r>
              <w:rPr>
                <w:rFonts w:hint="eastAsia"/>
                <w:color w:val="000000" w:themeColor="text1"/>
                <w:sz w:val="24"/>
                <w:highlight w:val="none"/>
                <w:lang w:val="en-US" w:eastAsia="zh-CN"/>
                <w14:textFill>
                  <w14:solidFill>
                    <w14:schemeClr w14:val="tx1"/>
                  </w14:solidFill>
                </w14:textFill>
              </w:rPr>
              <w:t>内</w:t>
            </w:r>
          </w:p>
        </w:tc>
        <w:tc>
          <w:tcPr>
            <w:tcW w:w="801" w:type="pct"/>
            <w:vMerge w:val="continue"/>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p>
        </w:tc>
        <w:tc>
          <w:tcPr>
            <w:tcW w:w="664" w:type="pct"/>
            <w:vMerge w:val="continue"/>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p>
        </w:tc>
        <w:tc>
          <w:tcPr>
            <w:tcW w:w="708" w:type="pct"/>
            <w:vMerge w:val="continue"/>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1"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地下水及土壤环境</w:t>
            </w:r>
          </w:p>
        </w:tc>
        <w:tc>
          <w:tcPr>
            <w:tcW w:w="2103" w:type="pct"/>
            <w:gridSpan w:val="2"/>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p>
        </w:tc>
        <w:tc>
          <w:tcPr>
            <w:tcW w:w="801"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p>
        </w:tc>
        <w:tc>
          <w:tcPr>
            <w:tcW w:w="664"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p>
        </w:tc>
        <w:tc>
          <w:tcPr>
            <w:tcW w:w="708"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1"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声环境</w:t>
            </w:r>
          </w:p>
        </w:tc>
        <w:tc>
          <w:tcPr>
            <w:tcW w:w="2103" w:type="pct"/>
            <w:gridSpan w:val="2"/>
            <w:vAlign w:val="center"/>
          </w:tcPr>
          <w:p>
            <w:pPr>
              <w:keepNext w:val="0"/>
              <w:keepLines w:val="0"/>
              <w:suppressLineNumbers w:val="0"/>
              <w:adjustRightInd w:val="0"/>
              <w:snapToGrid w:val="0"/>
              <w:spacing w:before="0" w:beforeAutospacing="0" w:after="0" w:afterAutospacing="0"/>
              <w:ind w:left="0" w:right="0"/>
              <w:rPr>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合理安排工期，合理布置施工场地，尽量选用低噪声设备</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现场设置围挡及移动式声屏障障，禁止夜间施工</w:t>
            </w:r>
          </w:p>
        </w:tc>
        <w:tc>
          <w:tcPr>
            <w:tcW w:w="801" w:type="pct"/>
            <w:vAlign w:val="center"/>
          </w:tcPr>
          <w:p>
            <w:pPr>
              <w:keepNext w:val="0"/>
              <w:keepLines w:val="0"/>
              <w:suppressLineNumbers w:val="0"/>
              <w:adjustRightInd w:val="0"/>
              <w:snapToGrid w:val="0"/>
              <w:spacing w:before="0" w:beforeAutospacing="0" w:after="0" w:afterAutospacing="0"/>
              <w:ind w:left="0" w:right="0"/>
              <w:jc w:val="center"/>
              <w:rPr>
                <w:rFonts w:hint="default"/>
                <w:color w:val="000000" w:themeColor="text1"/>
                <w:sz w:val="24"/>
                <w:highlight w:val="none"/>
                <w:lang w:val="en-US"/>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施工期现场相应区域设置了施工围挡、</w:t>
            </w:r>
            <w:r>
              <w:rPr>
                <w:rFonts w:hint="eastAsia" w:ascii="宋体" w:hAnsi="宋体" w:cs="宋体"/>
                <w:color w:val="000000" w:themeColor="text1"/>
                <w:sz w:val="24"/>
                <w:highlight w:val="none"/>
                <w:lang w:val="en-US" w:eastAsia="zh-CN"/>
                <w14:textFill>
                  <w14:solidFill>
                    <w14:schemeClr w14:val="tx1"/>
                  </w14:solidFill>
                </w14:textFill>
              </w:rPr>
              <w:t>移动式声屏障障</w:t>
            </w:r>
            <w:r>
              <w:rPr>
                <w:rFonts w:hint="eastAsia"/>
                <w:color w:val="000000" w:themeColor="text1"/>
                <w:sz w:val="24"/>
                <w:highlight w:val="none"/>
                <w:lang w:val="en-US" w:eastAsia="zh-CN"/>
                <w14:textFill>
                  <w14:solidFill>
                    <w14:schemeClr w14:val="tx1"/>
                  </w14:solidFill>
                </w14:textFill>
              </w:rPr>
              <w:t>，施工期间无噪声投诉</w:t>
            </w:r>
          </w:p>
        </w:tc>
        <w:tc>
          <w:tcPr>
            <w:tcW w:w="664"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安装声屏障、</w:t>
            </w:r>
            <w:r>
              <w:rPr>
                <w:rFonts w:hint="eastAsia"/>
                <w:color w:val="000000" w:themeColor="text1"/>
                <w:sz w:val="24"/>
                <w:highlight w:val="none"/>
                <w14:textFill>
                  <w14:solidFill>
                    <w14:schemeClr w14:val="tx1"/>
                  </w14:solidFill>
                </w14:textFill>
              </w:rPr>
              <w:t>加强管理、设置减速及禁鸣标识</w:t>
            </w:r>
          </w:p>
        </w:tc>
        <w:tc>
          <w:tcPr>
            <w:tcW w:w="708" w:type="pct"/>
            <w:vAlign w:val="center"/>
          </w:tcPr>
          <w:p>
            <w:pPr>
              <w:keepNext w:val="0"/>
              <w:keepLines w:val="0"/>
              <w:suppressLineNumbers w:val="0"/>
              <w:adjustRightInd w:val="0"/>
              <w:snapToGrid w:val="0"/>
              <w:spacing w:before="0" w:beforeAutospacing="0" w:after="0" w:afterAutospacing="0"/>
              <w:ind w:left="0" w:right="0"/>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《声环境质量标</w:t>
            </w:r>
          </w:p>
          <w:p>
            <w:pPr>
              <w:keepNext w:val="0"/>
              <w:keepLines w:val="0"/>
              <w:suppressLineNumbers w:val="0"/>
              <w:adjustRightInd w:val="0"/>
              <w:snapToGrid w:val="0"/>
              <w:spacing w:before="0" w:beforeAutospacing="0" w:after="0" w:afterAutospacing="0"/>
              <w:ind w:left="0" w:right="0"/>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准》（GB3096-2008）</w:t>
            </w:r>
          </w:p>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2类、4a类标准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1"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振动</w:t>
            </w:r>
          </w:p>
        </w:tc>
        <w:tc>
          <w:tcPr>
            <w:tcW w:w="2103" w:type="pct"/>
            <w:gridSpan w:val="2"/>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w:t>
            </w:r>
          </w:p>
        </w:tc>
        <w:tc>
          <w:tcPr>
            <w:tcW w:w="801" w:type="pct"/>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w:t>
            </w:r>
          </w:p>
        </w:tc>
        <w:tc>
          <w:tcPr>
            <w:tcW w:w="664"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p>
        </w:tc>
        <w:tc>
          <w:tcPr>
            <w:tcW w:w="708"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1" w:type="pct"/>
            <w:vMerge w:val="restar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大气环境</w:t>
            </w:r>
          </w:p>
        </w:tc>
        <w:tc>
          <w:tcPr>
            <w:tcW w:w="513"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施工</w:t>
            </w:r>
            <w:r>
              <w:rPr>
                <w:rFonts w:hint="eastAsia"/>
                <w:color w:val="000000" w:themeColor="text1"/>
                <w:sz w:val="24"/>
                <w:highlight w:val="none"/>
                <w14:textFill>
                  <w14:solidFill>
                    <w14:schemeClr w14:val="tx1"/>
                  </w14:solidFill>
                </w14:textFill>
              </w:rPr>
              <w:t>、运输</w:t>
            </w:r>
          </w:p>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扬尘</w:t>
            </w:r>
          </w:p>
        </w:tc>
        <w:tc>
          <w:tcPr>
            <w:tcW w:w="1589"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运输</w:t>
            </w:r>
            <w:r>
              <w:rPr>
                <w:rFonts w:hint="eastAsia"/>
                <w:color w:val="000000" w:themeColor="text1"/>
                <w:sz w:val="24"/>
                <w:highlight w:val="none"/>
                <w14:textFill>
                  <w14:solidFill>
                    <w14:schemeClr w14:val="tx1"/>
                  </w14:solidFill>
                </w14:textFill>
              </w:rPr>
              <w:t>土石方、砂石料等材料的运货车</w:t>
            </w:r>
            <w:r>
              <w:rPr>
                <w:rFonts w:hint="eastAsia"/>
                <w:color w:val="000000" w:themeColor="text1"/>
                <w:sz w:val="24"/>
                <w:highlight w:val="none"/>
                <w:lang w:val="en-US" w:eastAsia="zh-CN"/>
                <w14:textFill>
                  <w14:solidFill>
                    <w14:schemeClr w14:val="tx1"/>
                  </w14:solidFill>
                </w14:textFill>
              </w:rPr>
              <w:t>均加盖篷</w:t>
            </w:r>
            <w:r>
              <w:rPr>
                <w:rFonts w:hint="eastAsia"/>
                <w:color w:val="000000" w:themeColor="text1"/>
                <w:sz w:val="24"/>
                <w:highlight w:val="none"/>
                <w14:textFill>
                  <w14:solidFill>
                    <w14:schemeClr w14:val="tx1"/>
                  </w14:solidFill>
                </w14:textFill>
              </w:rPr>
              <w:t>布</w:t>
            </w:r>
            <w:r>
              <w:rPr>
                <w:rFonts w:hint="eastAsia"/>
                <w:color w:val="000000" w:themeColor="text1"/>
                <w:sz w:val="24"/>
                <w:highlight w:val="none"/>
                <w:lang w:val="en-US" w:eastAsia="zh-CN"/>
                <w14:textFill>
                  <w14:solidFill>
                    <w14:schemeClr w14:val="tx1"/>
                  </w14:solidFill>
                </w14:textFill>
              </w:rPr>
              <w:t>进行</w:t>
            </w:r>
            <w:r>
              <w:rPr>
                <w:rFonts w:hint="eastAsia"/>
                <w:color w:val="000000" w:themeColor="text1"/>
                <w:sz w:val="24"/>
                <w:highlight w:val="none"/>
                <w14:textFill>
                  <w14:solidFill>
                    <w14:schemeClr w14:val="tx1"/>
                  </w14:solidFill>
                </w14:textFill>
              </w:rPr>
              <w:t>密封</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配置专人负责</w:t>
            </w:r>
            <w:r>
              <w:rPr>
                <w:rFonts w:hint="eastAsia"/>
                <w:color w:val="000000" w:themeColor="text1"/>
                <w:sz w:val="24"/>
                <w:highlight w:val="none"/>
                <w:lang w:val="en-US" w:eastAsia="zh-CN"/>
                <w14:textFill>
                  <w14:solidFill>
                    <w14:schemeClr w14:val="tx1"/>
                  </w14:solidFill>
                </w14:textFill>
              </w:rPr>
              <w:t>作业区域周边道路的</w:t>
            </w:r>
            <w:r>
              <w:rPr>
                <w:rFonts w:hint="eastAsia"/>
                <w:color w:val="000000" w:themeColor="text1"/>
                <w:sz w:val="24"/>
                <w:highlight w:val="none"/>
                <w14:textFill>
                  <w14:solidFill>
                    <w14:schemeClr w14:val="tx1"/>
                  </w14:solidFill>
                </w14:textFill>
              </w:rPr>
              <w:t>养护、维修和清扫，非雨日洒水降尘，以保持</w:t>
            </w:r>
            <w:r>
              <w:rPr>
                <w:rFonts w:hint="eastAsia"/>
                <w:color w:val="000000" w:themeColor="text1"/>
                <w:sz w:val="24"/>
                <w:highlight w:val="none"/>
                <w:lang w:val="en-US" w:eastAsia="zh-CN"/>
                <w14:textFill>
                  <w14:solidFill>
                    <w14:schemeClr w14:val="tx1"/>
                  </w14:solidFill>
                </w14:textFill>
              </w:rPr>
              <w:t>作业区域</w:t>
            </w:r>
            <w:r>
              <w:rPr>
                <w:rFonts w:hint="eastAsia"/>
                <w:color w:val="000000" w:themeColor="text1"/>
                <w:sz w:val="24"/>
                <w:highlight w:val="none"/>
                <w14:textFill>
                  <w14:solidFill>
                    <w14:schemeClr w14:val="tx1"/>
                  </w14:solidFill>
                </w14:textFill>
              </w:rPr>
              <w:t>清洁</w:t>
            </w:r>
          </w:p>
        </w:tc>
        <w:tc>
          <w:tcPr>
            <w:tcW w:w="801" w:type="pct"/>
            <w:vMerge w:val="restart"/>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施工期</w:t>
            </w:r>
            <w:r>
              <w:rPr>
                <w:color w:val="000000" w:themeColor="text1"/>
                <w:sz w:val="24"/>
                <w:highlight w:val="none"/>
                <w14:textFill>
                  <w14:solidFill>
                    <w14:schemeClr w14:val="tx1"/>
                  </w14:solidFill>
                </w14:textFill>
              </w:rPr>
              <w:t>不发生污染事故</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施工期间无空气污染投诉</w:t>
            </w:r>
          </w:p>
        </w:tc>
        <w:tc>
          <w:tcPr>
            <w:tcW w:w="664" w:type="pct"/>
            <w:vMerge w:val="restar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p>
        </w:tc>
        <w:tc>
          <w:tcPr>
            <w:tcW w:w="708" w:type="pct"/>
            <w:vMerge w:val="restar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1" w:type="pct"/>
            <w:vMerge w:val="continue"/>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p>
        </w:tc>
        <w:tc>
          <w:tcPr>
            <w:tcW w:w="513"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施工机械、车辆燃油废气</w:t>
            </w:r>
          </w:p>
        </w:tc>
        <w:tc>
          <w:tcPr>
            <w:tcW w:w="1589"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注意车辆保养，保持车况良好，定期检查、维修，确保施工机械和车辆各项环保指标符合尾气排放要求</w:t>
            </w:r>
          </w:p>
        </w:tc>
        <w:tc>
          <w:tcPr>
            <w:tcW w:w="801" w:type="pct"/>
            <w:vMerge w:val="continue"/>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p>
        </w:tc>
        <w:tc>
          <w:tcPr>
            <w:tcW w:w="664" w:type="pct"/>
            <w:vMerge w:val="continue"/>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p>
        </w:tc>
        <w:tc>
          <w:tcPr>
            <w:tcW w:w="708" w:type="pct"/>
            <w:vMerge w:val="continue"/>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1" w:type="pct"/>
            <w:vMerge w:val="continue"/>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p>
        </w:tc>
        <w:tc>
          <w:tcPr>
            <w:tcW w:w="513"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沥青烟</w:t>
            </w:r>
          </w:p>
        </w:tc>
        <w:tc>
          <w:tcPr>
            <w:tcW w:w="1589"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不设沥青拌合站，购买商品沥青，</w:t>
            </w:r>
            <w:r>
              <w:rPr>
                <w:rFonts w:hint="eastAsia"/>
                <w:color w:val="000000" w:themeColor="text1"/>
                <w:sz w:val="24"/>
                <w:highlight w:val="none"/>
                <w:lang w:val="en-US" w:eastAsia="zh-CN"/>
                <w14:textFill>
                  <w14:solidFill>
                    <w14:schemeClr w14:val="tx1"/>
                  </w14:solidFill>
                </w14:textFill>
              </w:rPr>
              <w:t>科学制定施工方案，缩短作业</w:t>
            </w:r>
            <w:r>
              <w:rPr>
                <w:rFonts w:hint="eastAsia"/>
                <w:color w:val="000000" w:themeColor="text1"/>
                <w:sz w:val="24"/>
                <w:highlight w:val="none"/>
                <w14:textFill>
                  <w14:solidFill>
                    <w14:schemeClr w14:val="tx1"/>
                  </w14:solidFill>
                </w14:textFill>
              </w:rPr>
              <w:t>时间</w:t>
            </w:r>
          </w:p>
        </w:tc>
        <w:tc>
          <w:tcPr>
            <w:tcW w:w="801" w:type="pct"/>
            <w:vMerge w:val="continue"/>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p>
        </w:tc>
        <w:tc>
          <w:tcPr>
            <w:tcW w:w="664" w:type="pct"/>
            <w:vMerge w:val="continue"/>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p>
        </w:tc>
        <w:tc>
          <w:tcPr>
            <w:tcW w:w="708" w:type="pct"/>
            <w:vMerge w:val="continue"/>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1" w:type="pct"/>
            <w:vMerge w:val="restar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固体废物</w:t>
            </w:r>
          </w:p>
        </w:tc>
        <w:tc>
          <w:tcPr>
            <w:tcW w:w="513"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弃土</w:t>
            </w:r>
          </w:p>
        </w:tc>
        <w:tc>
          <w:tcPr>
            <w:tcW w:w="1589" w:type="pct"/>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4"/>
                <w:highlight w:val="none"/>
                <w:lang w:val="en-US" w:eastAsia="zh-CN"/>
                <w14:textFill>
                  <w14:solidFill>
                    <w14:schemeClr w14:val="tx1"/>
                  </w14:solidFill>
                </w14:textFill>
              </w:rPr>
            </w:pPr>
            <w:r>
              <w:rPr>
                <w:rFonts w:hint="default" w:eastAsia="宋体"/>
                <w:color w:val="000000" w:themeColor="text1"/>
                <w:sz w:val="24"/>
                <w:highlight w:val="none"/>
                <w:lang w:val="en-US" w:eastAsia="zh-CN"/>
                <w14:textFill>
                  <w14:solidFill>
                    <w14:schemeClr w14:val="tx1"/>
                  </w14:solidFill>
                </w14:textFill>
              </w:rPr>
              <w:t>弃方均外运至政府指定弃渣场</w:t>
            </w:r>
          </w:p>
        </w:tc>
        <w:tc>
          <w:tcPr>
            <w:tcW w:w="801" w:type="pct"/>
            <w:vMerge w:val="restar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合理处置，现场无遗留，</w:t>
            </w:r>
            <w:r>
              <w:rPr>
                <w:rFonts w:hint="eastAsia"/>
                <w:color w:val="000000" w:themeColor="text1"/>
                <w:sz w:val="24"/>
                <w:highlight w:val="none"/>
                <w:lang w:val="en-US" w:eastAsia="zh-CN"/>
                <w14:textFill>
                  <w14:solidFill>
                    <w14:schemeClr w14:val="tx1"/>
                  </w14:solidFill>
                </w14:textFill>
              </w:rPr>
              <w:t>未</w:t>
            </w:r>
            <w:r>
              <w:rPr>
                <w:color w:val="000000" w:themeColor="text1"/>
                <w:sz w:val="24"/>
                <w:highlight w:val="none"/>
                <w14:textFill>
                  <w14:solidFill>
                    <w14:schemeClr w14:val="tx1"/>
                  </w14:solidFill>
                </w14:textFill>
              </w:rPr>
              <w:t>造成二次污染</w:t>
            </w:r>
          </w:p>
        </w:tc>
        <w:tc>
          <w:tcPr>
            <w:tcW w:w="664" w:type="pct"/>
            <w:vMerge w:val="restar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w:t>
            </w:r>
          </w:p>
        </w:tc>
        <w:tc>
          <w:tcPr>
            <w:tcW w:w="708" w:type="pct"/>
            <w:vMerge w:val="restar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1" w:type="pct"/>
            <w:vMerge w:val="continue"/>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p>
        </w:tc>
        <w:tc>
          <w:tcPr>
            <w:tcW w:w="513"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建筑垃圾</w:t>
            </w:r>
          </w:p>
        </w:tc>
        <w:tc>
          <w:tcPr>
            <w:tcW w:w="1589"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能回收利用的回收利用，能外售的外售，不能回收利用及外售的送至政府指定的建渣堆放处堆放</w:t>
            </w:r>
          </w:p>
        </w:tc>
        <w:tc>
          <w:tcPr>
            <w:tcW w:w="801" w:type="pct"/>
            <w:vMerge w:val="continue"/>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p>
        </w:tc>
        <w:tc>
          <w:tcPr>
            <w:tcW w:w="664"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color w:val="000000" w:themeColor="text1"/>
                <w:sz w:val="24"/>
                <w:highlight w:val="none"/>
                <w14:textFill>
                  <w14:solidFill>
                    <w14:schemeClr w14:val="tx1"/>
                  </w14:solidFill>
                </w14:textFill>
              </w:rPr>
            </w:pPr>
          </w:p>
        </w:tc>
        <w:tc>
          <w:tcPr>
            <w:tcW w:w="708"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1" w:type="pct"/>
            <w:vMerge w:val="continue"/>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p>
        </w:tc>
        <w:tc>
          <w:tcPr>
            <w:tcW w:w="513"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施工队伍产生的生活垃圾</w:t>
            </w:r>
          </w:p>
        </w:tc>
        <w:tc>
          <w:tcPr>
            <w:tcW w:w="1589" w:type="pct"/>
            <w:vAlign w:val="center"/>
          </w:tcPr>
          <w:p>
            <w:pPr>
              <w:keepNext w:val="0"/>
              <w:keepLines w:val="0"/>
              <w:suppressLineNumbers w:val="0"/>
              <w:adjustRightInd w:val="0"/>
              <w:snapToGrid w:val="0"/>
              <w:spacing w:before="0" w:beforeAutospacing="0" w:after="0" w:afterAutospacing="0"/>
              <w:ind w:left="0" w:right="0"/>
              <w:jc w:val="center"/>
              <w:rPr>
                <w:rFonts w:hint="default"/>
                <w:color w:val="000000" w:themeColor="text1"/>
                <w:sz w:val="24"/>
                <w:highlight w:val="none"/>
                <w:lang w:val="en-US"/>
                <w14:textFill>
                  <w14:solidFill>
                    <w14:schemeClr w14:val="tx1"/>
                  </w14:solidFill>
                </w14:textFill>
              </w:rPr>
            </w:pPr>
            <w:r>
              <w:rPr>
                <w:rFonts w:hint="default"/>
                <w:color w:val="000000" w:themeColor="text1"/>
                <w:sz w:val="24"/>
                <w:highlight w:val="none"/>
                <w:lang w:val="en-US"/>
                <w14:textFill>
                  <w14:solidFill>
                    <w14:schemeClr w14:val="tx1"/>
                  </w14:solidFill>
                </w14:textFill>
              </w:rPr>
              <w:t>生活垃圾集中收集后交由环卫部门处置</w:t>
            </w:r>
          </w:p>
        </w:tc>
        <w:tc>
          <w:tcPr>
            <w:tcW w:w="801" w:type="pct"/>
            <w:vMerge w:val="continue"/>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p>
        </w:tc>
        <w:tc>
          <w:tcPr>
            <w:tcW w:w="664"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color w:val="000000" w:themeColor="text1"/>
                <w:sz w:val="24"/>
                <w:highlight w:val="none"/>
                <w14:textFill>
                  <w14:solidFill>
                    <w14:schemeClr w14:val="tx1"/>
                  </w14:solidFill>
                </w14:textFill>
              </w:rPr>
            </w:pPr>
          </w:p>
        </w:tc>
        <w:tc>
          <w:tcPr>
            <w:tcW w:w="708"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1"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电磁环境</w:t>
            </w:r>
          </w:p>
        </w:tc>
        <w:tc>
          <w:tcPr>
            <w:tcW w:w="2103" w:type="pct"/>
            <w:gridSpan w:val="2"/>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p>
        </w:tc>
        <w:tc>
          <w:tcPr>
            <w:tcW w:w="801"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p>
        </w:tc>
        <w:tc>
          <w:tcPr>
            <w:tcW w:w="664"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p>
        </w:tc>
        <w:tc>
          <w:tcPr>
            <w:tcW w:w="708"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21"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环境风险</w:t>
            </w:r>
          </w:p>
        </w:tc>
        <w:tc>
          <w:tcPr>
            <w:tcW w:w="2103" w:type="pct"/>
            <w:gridSpan w:val="2"/>
            <w:vAlign w:val="center"/>
          </w:tcPr>
          <w:p>
            <w:pPr>
              <w:keepNext w:val="0"/>
              <w:keepLines w:val="0"/>
              <w:suppressLineNumbers w:val="0"/>
              <w:autoSpaceDE w:val="0"/>
              <w:autoSpaceDN w:val="0"/>
              <w:adjustRightInd w:val="0"/>
              <w:spacing w:before="0" w:beforeAutospacing="0" w:after="0" w:afterAutospacing="0"/>
              <w:ind w:left="0" w:right="0"/>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加强对</w:t>
            </w:r>
            <w:r>
              <w:rPr>
                <w:rFonts w:hint="eastAsia"/>
                <w:color w:val="000000" w:themeColor="text1"/>
                <w:kern w:val="0"/>
                <w:sz w:val="24"/>
                <w:highlight w:val="none"/>
                <w:lang w:val="en-US" w:eastAsia="zh-CN"/>
                <w14:textFill>
                  <w14:solidFill>
                    <w14:schemeClr w14:val="tx1"/>
                  </w14:solidFill>
                </w14:textFill>
              </w:rPr>
              <w:t>施工作业区域</w:t>
            </w:r>
            <w:r>
              <w:rPr>
                <w:color w:val="000000" w:themeColor="text1"/>
                <w:kern w:val="0"/>
                <w:sz w:val="24"/>
                <w:highlight w:val="none"/>
                <w14:textFill>
                  <w14:solidFill>
                    <w14:schemeClr w14:val="tx1"/>
                  </w14:solidFill>
                </w14:textFill>
              </w:rPr>
              <w:t>的</w:t>
            </w:r>
            <w:r>
              <w:rPr>
                <w:rFonts w:hint="eastAsia"/>
                <w:color w:val="000000" w:themeColor="text1"/>
                <w:kern w:val="0"/>
                <w:sz w:val="24"/>
                <w:highlight w:val="none"/>
                <w:lang w:val="en-US" w:eastAsia="zh-CN"/>
                <w14:textFill>
                  <w14:solidFill>
                    <w14:schemeClr w14:val="tx1"/>
                  </w14:solidFill>
                </w14:textFill>
              </w:rPr>
              <w:t>监督管理</w:t>
            </w:r>
          </w:p>
        </w:tc>
        <w:tc>
          <w:tcPr>
            <w:tcW w:w="801"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不发生环境风险事故</w:t>
            </w:r>
          </w:p>
        </w:tc>
        <w:tc>
          <w:tcPr>
            <w:tcW w:w="664" w:type="pct"/>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sz w:val="24"/>
                <w:highlight w:val="none"/>
                <w:lang w:eastAsia="zh-CN"/>
                <w14:textFill>
                  <w14:solidFill>
                    <w14:schemeClr w14:val="tx1"/>
                  </w14:solidFill>
                </w14:textFill>
              </w:rPr>
            </w:pPr>
            <w:r>
              <w:rPr>
                <w:rFonts w:hint="eastAsia" w:eastAsia="宋体"/>
                <w:color w:val="000000" w:themeColor="text1"/>
                <w:sz w:val="24"/>
                <w:highlight w:val="none"/>
                <w:lang w:eastAsia="zh-CN"/>
                <w14:textFill>
                  <w14:solidFill>
                    <w14:schemeClr w14:val="tx1"/>
                  </w14:solidFill>
                </w14:textFill>
              </w:rPr>
              <w:t>严格管控危化品车辆驶入</w:t>
            </w:r>
          </w:p>
        </w:tc>
        <w:tc>
          <w:tcPr>
            <w:tcW w:w="708"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721"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环境监测</w:t>
            </w:r>
          </w:p>
        </w:tc>
        <w:tc>
          <w:tcPr>
            <w:tcW w:w="2103" w:type="pct"/>
            <w:gridSpan w:val="2"/>
            <w:vAlign w:val="center"/>
          </w:tcPr>
          <w:p>
            <w:pPr>
              <w:keepNext w:val="0"/>
              <w:keepLines w:val="0"/>
              <w:suppressLineNumbers w:val="0"/>
              <w:adjustRightInd w:val="0"/>
              <w:snapToGrid w:val="0"/>
              <w:spacing w:before="0" w:beforeAutospacing="0" w:after="0" w:afterAutospacing="0"/>
              <w:ind w:left="0" w:leftChars="0" w:right="0" w:rightChars="0"/>
              <w:jc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按照</w:t>
            </w:r>
            <w:r>
              <w:rPr>
                <w:rFonts w:hint="eastAsia"/>
                <w:color w:val="000000" w:themeColor="text1"/>
                <w:sz w:val="24"/>
                <w:highlight w:val="none"/>
                <w:lang w:val="en-US" w:eastAsia="zh-CN"/>
                <w14:textFill>
                  <w14:solidFill>
                    <w14:schemeClr w14:val="tx1"/>
                  </w14:solidFill>
                </w14:textFill>
              </w:rPr>
              <w:t>表5-1监测</w:t>
            </w:r>
          </w:p>
        </w:tc>
        <w:tc>
          <w:tcPr>
            <w:tcW w:w="801" w:type="pct"/>
            <w:vAlign w:val="center"/>
          </w:tcPr>
          <w:p>
            <w:pPr>
              <w:keepNext w:val="0"/>
              <w:keepLines w:val="0"/>
              <w:suppressLineNumbers w:val="0"/>
              <w:adjustRightInd w:val="0"/>
              <w:snapToGrid w:val="0"/>
              <w:spacing w:before="0" w:beforeAutospacing="0" w:after="0" w:afterAutospacing="0"/>
              <w:ind w:left="0" w:leftChars="0" w:right="0" w:rightChars="0"/>
              <w:jc w:val="center"/>
              <w:rPr>
                <w:color w:val="000000" w:themeColor="text1"/>
                <w:kern w:val="0"/>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达标</w:t>
            </w:r>
          </w:p>
        </w:tc>
        <w:tc>
          <w:tcPr>
            <w:tcW w:w="664" w:type="pct"/>
            <w:vAlign w:val="center"/>
          </w:tcPr>
          <w:p>
            <w:pPr>
              <w:keepNext w:val="0"/>
              <w:keepLines w:val="0"/>
              <w:suppressLineNumbers w:val="0"/>
              <w:adjustRightInd w:val="0"/>
              <w:snapToGrid w:val="0"/>
              <w:spacing w:before="0" w:beforeAutospacing="0" w:after="0" w:afterAutospacing="0"/>
              <w:ind w:left="0" w:right="0"/>
              <w:jc w:val="center"/>
              <w:rPr>
                <w:rFonts w:hint="default"/>
                <w:color w:val="000000" w:themeColor="text1"/>
                <w:sz w:val="24"/>
                <w:highlight w:val="none"/>
                <w:lang w:val="en-US"/>
                <w14:textFill>
                  <w14:solidFill>
                    <w14:schemeClr w14:val="tx1"/>
                  </w14:solidFill>
                </w14:textFill>
              </w:rPr>
            </w:pPr>
            <w:r>
              <w:rPr>
                <w:rFonts w:hint="eastAsia"/>
                <w:color w:val="000000" w:themeColor="text1"/>
                <w:sz w:val="24"/>
                <w:highlight w:val="none"/>
                <w14:textFill>
                  <w14:solidFill>
                    <w14:schemeClr w14:val="tx1"/>
                  </w14:solidFill>
                </w14:textFill>
              </w:rPr>
              <w:t>按照</w:t>
            </w:r>
            <w:r>
              <w:rPr>
                <w:rFonts w:hint="eastAsia"/>
                <w:color w:val="000000" w:themeColor="text1"/>
                <w:sz w:val="24"/>
                <w:highlight w:val="none"/>
                <w:lang w:val="en-US" w:eastAsia="zh-CN"/>
                <w14:textFill>
                  <w14:solidFill>
                    <w14:schemeClr w14:val="tx1"/>
                  </w14:solidFill>
                </w14:textFill>
              </w:rPr>
              <w:t>表5-1监测</w:t>
            </w:r>
          </w:p>
        </w:tc>
        <w:tc>
          <w:tcPr>
            <w:tcW w:w="708" w:type="pct"/>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1"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其他</w:t>
            </w:r>
          </w:p>
        </w:tc>
        <w:tc>
          <w:tcPr>
            <w:tcW w:w="513"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施工期环境监理</w:t>
            </w:r>
          </w:p>
        </w:tc>
        <w:tc>
          <w:tcPr>
            <w:tcW w:w="1589" w:type="pct"/>
            <w:vAlign w:val="center"/>
          </w:tcPr>
          <w:p>
            <w:pPr>
              <w:keepNext w:val="0"/>
              <w:keepLines w:val="0"/>
              <w:suppressLineNumbers w:val="0"/>
              <w:adjustRightInd w:val="0"/>
              <w:snapToGrid w:val="0"/>
              <w:spacing w:before="0" w:beforeAutospacing="0" w:after="0" w:afterAutospacing="0"/>
              <w:ind w:left="0" w:right="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设专人负责监督</w:t>
            </w:r>
            <w:r>
              <w:rPr>
                <w:rFonts w:hint="eastAsia"/>
                <w:color w:val="000000" w:themeColor="text1"/>
                <w:sz w:val="24"/>
                <w:highlight w:val="none"/>
                <w:lang w:val="en-US" w:eastAsia="zh-CN"/>
                <w14:textFill>
                  <w14:solidFill>
                    <w14:schemeClr w14:val="tx1"/>
                  </w14:solidFill>
                </w14:textFill>
              </w:rPr>
              <w:t>施工</w:t>
            </w:r>
            <w:r>
              <w:rPr>
                <w:color w:val="000000" w:themeColor="text1"/>
                <w:sz w:val="24"/>
                <w:highlight w:val="none"/>
                <w14:textFill>
                  <w14:solidFill>
                    <w14:schemeClr w14:val="tx1"/>
                  </w14:solidFill>
                </w14:textFill>
              </w:rPr>
              <w:t>单位在施工过程中的环境保护工作，同时监督施工单位落实环境保护措施</w:t>
            </w:r>
          </w:p>
        </w:tc>
        <w:tc>
          <w:tcPr>
            <w:tcW w:w="801"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监理日志存档可查</w:t>
            </w:r>
          </w:p>
        </w:tc>
        <w:tc>
          <w:tcPr>
            <w:tcW w:w="664"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p>
        </w:tc>
        <w:tc>
          <w:tcPr>
            <w:tcW w:w="708" w:type="pct"/>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p>
        </w:tc>
      </w:tr>
    </w:tbl>
    <w:p>
      <w:pPr>
        <w:pStyle w:val="19"/>
        <w:spacing w:before="0" w:beforeAutospacing="0" w:line="14" w:lineRule="auto"/>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pPr>
      <w:r>
        <w:rPr>
          <w:rFonts w:ascii="Times New Roman" w:hAnsi="Times New Roman" w:eastAsia="黑体"/>
          <w:snapToGrid w:val="0"/>
          <w:color w:val="000000" w:themeColor="text1"/>
          <w:sz w:val="30"/>
          <w:szCs w:val="30"/>
          <w:highlight w:val="none"/>
          <w14:textFill>
            <w14:solidFill>
              <w14:schemeClr w14:val="tx1"/>
            </w14:solidFill>
          </w14:textFill>
        </w:rPr>
        <w:br w:type="page"/>
      </w:r>
    </w:p>
    <w:p>
      <w:pPr>
        <w:pStyle w:val="19"/>
        <w:jc w:val="center"/>
        <w:outlineLvl w:val="0"/>
        <w:rPr>
          <w:rFonts w:ascii="Times New Roman" w:hAnsi="Times New Roman"/>
          <w:b/>
          <w:bCs/>
          <w:snapToGrid w:val="0"/>
          <w:color w:val="000000" w:themeColor="text1"/>
          <w:sz w:val="30"/>
          <w:szCs w:val="30"/>
          <w:highlight w:val="none"/>
          <w14:textFill>
            <w14:solidFill>
              <w14:schemeClr w14:val="tx1"/>
            </w14:solidFill>
          </w14:textFill>
        </w:rPr>
      </w:pPr>
      <w:r>
        <w:rPr>
          <w:rFonts w:hint="eastAsia" w:ascii="Times New Roman" w:hAnsi="Times New Roman"/>
          <w:b/>
          <w:bCs/>
          <w:snapToGrid w:val="0"/>
          <w:color w:val="000000" w:themeColor="text1"/>
          <w:sz w:val="30"/>
          <w:szCs w:val="30"/>
          <w:highlight w:val="none"/>
          <w:lang w:val="en-US" w:eastAsia="zh-CN"/>
          <w14:textFill>
            <w14:solidFill>
              <w14:schemeClr w14:val="tx1"/>
            </w14:solidFill>
          </w14:textFill>
        </w:rPr>
        <w:t>七</w:t>
      </w:r>
      <w:r>
        <w:rPr>
          <w:rFonts w:ascii="Times New Roman" w:hAnsi="Times New Roman"/>
          <w:b/>
          <w:bCs/>
          <w:snapToGrid w:val="0"/>
          <w:color w:val="000000" w:themeColor="text1"/>
          <w:sz w:val="30"/>
          <w:szCs w:val="30"/>
          <w:highlight w:val="none"/>
          <w14:textFill>
            <w14:solidFill>
              <w14:schemeClr w14:val="tx1"/>
            </w14:solidFill>
          </w14:textFill>
        </w:rPr>
        <w:t>、结论</w:t>
      </w:r>
    </w:p>
    <w:tbl>
      <w:tblPr>
        <w:tblStyle w:val="24"/>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vAlign w:val="center"/>
          </w:tcPr>
          <w:p>
            <w:pPr>
              <w:pStyle w:val="54"/>
              <w:keepNext w:val="0"/>
              <w:keepLines w:val="0"/>
              <w:suppressLineNumbers w:val="0"/>
              <w:spacing w:before="0" w:beforeAutospacing="0" w:after="0" w:afterAutospacing="0" w:line="360" w:lineRule="auto"/>
              <w:ind w:left="0" w:right="0" w:firstLine="480" w:firstLineChars="200"/>
              <w:jc w:val="both"/>
              <w:rPr>
                <w:color w:val="000000" w:themeColor="text1"/>
                <w:highlight w:val="none"/>
                <w14:textFill>
                  <w14:solidFill>
                    <w14:schemeClr w14:val="tx1"/>
                  </w14:solidFill>
                </w14:textFill>
              </w:rPr>
            </w:pPr>
            <w:r>
              <w:rPr>
                <w:rFonts w:hint="eastAsia"/>
                <w:color w:val="000000" w:themeColor="text1"/>
                <w:kern w:val="2"/>
                <w:szCs w:val="24"/>
                <w:highlight w:val="none"/>
                <w:lang w:eastAsia="zh-CN"/>
                <w14:textFill>
                  <w14:solidFill>
                    <w14:schemeClr w14:val="tx1"/>
                  </w14:solidFill>
                </w14:textFill>
              </w:rPr>
              <w:t>金南大道西延线四期项目</w:t>
            </w:r>
            <w:r>
              <w:rPr>
                <w:rFonts w:hint="eastAsia"/>
                <w:color w:val="000000" w:themeColor="text1"/>
                <w:kern w:val="2"/>
                <w:szCs w:val="24"/>
                <w:highlight w:val="none"/>
                <w14:textFill>
                  <w14:solidFill>
                    <w14:schemeClr w14:val="tx1"/>
                  </w14:solidFill>
                </w14:textFill>
              </w:rPr>
              <w:t>建设符合国家产业政策</w:t>
            </w:r>
            <w:r>
              <w:rPr>
                <w:rFonts w:hint="eastAsia"/>
                <w:color w:val="000000" w:themeColor="text1"/>
                <w:kern w:val="2"/>
                <w:szCs w:val="24"/>
                <w:highlight w:val="none"/>
                <w:lang w:eastAsia="zh-CN"/>
                <w14:textFill>
                  <w14:solidFill>
                    <w14:schemeClr w14:val="tx1"/>
                  </w14:solidFill>
                </w14:textFill>
              </w:rPr>
              <w:t>。</w:t>
            </w:r>
            <w:r>
              <w:rPr>
                <w:rFonts w:hint="eastAsia"/>
                <w:color w:val="000000" w:themeColor="text1"/>
                <w:kern w:val="2"/>
                <w:szCs w:val="24"/>
                <w:highlight w:val="none"/>
                <w14:textFill>
                  <w14:solidFill>
                    <w14:schemeClr w14:val="tx1"/>
                  </w14:solidFill>
                </w14:textFill>
              </w:rPr>
              <w:t>项目所在区域周边无明显的环境制约因素，废气、污水、噪声、固废拟采取的污染防治措施及各种生态环境保护措施技术可靠、经济可行。项目建成后，将具有良好的社会效益。只要项目认真落实本报告表中提出的各项污染防治对策措施，严格执行“三同时”制度，保证环境保护措施的有效运行，同时严格执行环评中提出的环境风险防范要求，从环境角度而言，本项目建设是可行的</w:t>
            </w:r>
            <w:r>
              <w:rPr>
                <w:color w:val="000000" w:themeColor="text1"/>
                <w:highlight w:val="none"/>
                <w14:textFill>
                  <w14:solidFill>
                    <w14:schemeClr w14:val="tx1"/>
                  </w14:solidFill>
                </w14:textFill>
              </w:rPr>
              <w:t>。</w:t>
            </w:r>
          </w:p>
          <w:p>
            <w:pPr>
              <w:pStyle w:val="54"/>
              <w:keepNext w:val="0"/>
              <w:keepLines w:val="0"/>
              <w:suppressLineNumbers w:val="0"/>
              <w:spacing w:before="0" w:beforeAutospacing="0" w:after="0" w:afterAutospacing="0" w:line="360" w:lineRule="auto"/>
              <w:ind w:left="0" w:right="0" w:firstLine="480" w:firstLineChars="200"/>
              <w:jc w:val="both"/>
              <w:rPr>
                <w:color w:val="000000" w:themeColor="text1"/>
                <w:highlight w:val="none"/>
                <w14:textFill>
                  <w14:solidFill>
                    <w14:schemeClr w14:val="tx1"/>
                  </w14:solidFill>
                </w14:textFill>
              </w:rPr>
            </w:pPr>
          </w:p>
          <w:p>
            <w:pPr>
              <w:pStyle w:val="54"/>
              <w:keepNext w:val="0"/>
              <w:keepLines w:val="0"/>
              <w:suppressLineNumbers w:val="0"/>
              <w:spacing w:before="0" w:beforeAutospacing="0" w:after="0" w:afterAutospacing="0" w:line="360" w:lineRule="auto"/>
              <w:ind w:left="0" w:right="0" w:firstLine="480" w:firstLineChars="200"/>
              <w:jc w:val="both"/>
              <w:rPr>
                <w:color w:val="000000" w:themeColor="text1"/>
                <w:highlight w:val="none"/>
                <w14:textFill>
                  <w14:solidFill>
                    <w14:schemeClr w14:val="tx1"/>
                  </w14:solidFill>
                </w14:textFill>
              </w:rPr>
            </w:pPr>
          </w:p>
          <w:p>
            <w:pPr>
              <w:pStyle w:val="54"/>
              <w:keepNext w:val="0"/>
              <w:keepLines w:val="0"/>
              <w:suppressLineNumbers w:val="0"/>
              <w:spacing w:before="0" w:beforeAutospacing="0" w:after="0" w:afterAutospacing="0" w:line="360" w:lineRule="auto"/>
              <w:ind w:left="0" w:right="0" w:firstLine="480" w:firstLineChars="200"/>
              <w:jc w:val="both"/>
              <w:rPr>
                <w:color w:val="000000" w:themeColor="text1"/>
                <w:highlight w:val="none"/>
                <w14:textFill>
                  <w14:solidFill>
                    <w14:schemeClr w14:val="tx1"/>
                  </w14:solidFill>
                </w14:textFill>
              </w:rPr>
            </w:pPr>
          </w:p>
          <w:p>
            <w:pPr>
              <w:pStyle w:val="54"/>
              <w:keepNext w:val="0"/>
              <w:keepLines w:val="0"/>
              <w:suppressLineNumbers w:val="0"/>
              <w:spacing w:before="0" w:beforeAutospacing="0" w:after="0" w:afterAutospacing="0" w:line="360" w:lineRule="auto"/>
              <w:ind w:left="0" w:right="0" w:firstLine="480" w:firstLineChars="200"/>
              <w:jc w:val="both"/>
              <w:rPr>
                <w:color w:val="000000" w:themeColor="text1"/>
                <w:highlight w:val="none"/>
                <w14:textFill>
                  <w14:solidFill>
                    <w14:schemeClr w14:val="tx1"/>
                  </w14:solidFill>
                </w14:textFill>
              </w:rPr>
            </w:pPr>
          </w:p>
          <w:p>
            <w:pPr>
              <w:pStyle w:val="54"/>
              <w:keepNext w:val="0"/>
              <w:keepLines w:val="0"/>
              <w:suppressLineNumbers w:val="0"/>
              <w:spacing w:before="0" w:beforeAutospacing="0" w:after="0" w:afterAutospacing="0" w:line="360" w:lineRule="auto"/>
              <w:ind w:left="0" w:right="0" w:firstLine="480" w:firstLineChars="200"/>
              <w:jc w:val="both"/>
              <w:rPr>
                <w:color w:val="000000" w:themeColor="text1"/>
                <w:highlight w:val="none"/>
                <w14:textFill>
                  <w14:solidFill>
                    <w14:schemeClr w14:val="tx1"/>
                  </w14:solidFill>
                </w14:textFill>
              </w:rPr>
            </w:pPr>
          </w:p>
          <w:p>
            <w:pPr>
              <w:pStyle w:val="54"/>
              <w:keepNext w:val="0"/>
              <w:keepLines w:val="0"/>
              <w:suppressLineNumbers w:val="0"/>
              <w:spacing w:before="0" w:beforeAutospacing="0" w:after="0" w:afterAutospacing="0" w:line="360" w:lineRule="auto"/>
              <w:ind w:left="0" w:right="0" w:firstLine="480" w:firstLineChars="200"/>
              <w:jc w:val="both"/>
              <w:rPr>
                <w:color w:val="000000" w:themeColor="text1"/>
                <w:highlight w:val="none"/>
                <w14:textFill>
                  <w14:solidFill>
                    <w14:schemeClr w14:val="tx1"/>
                  </w14:solidFill>
                </w14:textFill>
              </w:rPr>
            </w:pPr>
          </w:p>
          <w:p>
            <w:pPr>
              <w:pStyle w:val="54"/>
              <w:keepNext w:val="0"/>
              <w:keepLines w:val="0"/>
              <w:suppressLineNumbers w:val="0"/>
              <w:spacing w:before="0" w:beforeAutospacing="0" w:after="0" w:afterAutospacing="0" w:line="360" w:lineRule="auto"/>
              <w:ind w:left="0" w:right="0" w:firstLine="480" w:firstLineChars="200"/>
              <w:jc w:val="both"/>
              <w:rPr>
                <w:color w:val="000000" w:themeColor="text1"/>
                <w:highlight w:val="none"/>
                <w14:textFill>
                  <w14:solidFill>
                    <w14:schemeClr w14:val="tx1"/>
                  </w14:solidFill>
                </w14:textFill>
              </w:rPr>
            </w:pPr>
          </w:p>
          <w:p>
            <w:pPr>
              <w:pStyle w:val="54"/>
              <w:keepNext w:val="0"/>
              <w:keepLines w:val="0"/>
              <w:suppressLineNumbers w:val="0"/>
              <w:spacing w:before="0" w:beforeAutospacing="0" w:after="0" w:afterAutospacing="0" w:line="360" w:lineRule="auto"/>
              <w:ind w:left="0" w:right="0" w:firstLine="480" w:firstLineChars="200"/>
              <w:jc w:val="both"/>
              <w:rPr>
                <w:color w:val="000000" w:themeColor="text1"/>
                <w:highlight w:val="none"/>
                <w14:textFill>
                  <w14:solidFill>
                    <w14:schemeClr w14:val="tx1"/>
                  </w14:solidFill>
                </w14:textFill>
              </w:rPr>
            </w:pPr>
          </w:p>
          <w:p>
            <w:pPr>
              <w:pStyle w:val="54"/>
              <w:keepNext w:val="0"/>
              <w:keepLines w:val="0"/>
              <w:suppressLineNumbers w:val="0"/>
              <w:spacing w:before="0" w:beforeAutospacing="0" w:after="0" w:afterAutospacing="0" w:line="360" w:lineRule="auto"/>
              <w:ind w:left="0" w:right="0" w:firstLine="480" w:firstLineChars="200"/>
              <w:jc w:val="both"/>
              <w:rPr>
                <w:color w:val="000000" w:themeColor="text1"/>
                <w:highlight w:val="none"/>
                <w14:textFill>
                  <w14:solidFill>
                    <w14:schemeClr w14:val="tx1"/>
                  </w14:solidFill>
                </w14:textFill>
              </w:rPr>
            </w:pPr>
          </w:p>
          <w:p>
            <w:pPr>
              <w:pStyle w:val="54"/>
              <w:keepNext w:val="0"/>
              <w:keepLines w:val="0"/>
              <w:suppressLineNumbers w:val="0"/>
              <w:spacing w:before="0" w:beforeAutospacing="0" w:after="0" w:afterAutospacing="0" w:line="360" w:lineRule="auto"/>
              <w:ind w:left="0" w:right="0" w:firstLine="480" w:firstLineChars="200"/>
              <w:jc w:val="both"/>
              <w:rPr>
                <w:color w:val="000000" w:themeColor="text1"/>
                <w:highlight w:val="none"/>
                <w14:textFill>
                  <w14:solidFill>
                    <w14:schemeClr w14:val="tx1"/>
                  </w14:solidFill>
                </w14:textFill>
              </w:rPr>
            </w:pPr>
          </w:p>
          <w:p>
            <w:pPr>
              <w:pStyle w:val="54"/>
              <w:keepNext w:val="0"/>
              <w:keepLines w:val="0"/>
              <w:suppressLineNumbers w:val="0"/>
              <w:spacing w:before="0" w:beforeAutospacing="0" w:after="0" w:afterAutospacing="0" w:line="360" w:lineRule="auto"/>
              <w:ind w:left="0" w:right="0" w:firstLine="480" w:firstLineChars="200"/>
              <w:jc w:val="both"/>
              <w:rPr>
                <w:color w:val="000000" w:themeColor="text1"/>
                <w:highlight w:val="none"/>
                <w14:textFill>
                  <w14:solidFill>
                    <w14:schemeClr w14:val="tx1"/>
                  </w14:solidFill>
                </w14:textFill>
              </w:rPr>
            </w:pPr>
          </w:p>
          <w:p>
            <w:pPr>
              <w:pStyle w:val="54"/>
              <w:keepNext w:val="0"/>
              <w:keepLines w:val="0"/>
              <w:suppressLineNumbers w:val="0"/>
              <w:spacing w:before="0" w:beforeAutospacing="0" w:after="0" w:afterAutospacing="0" w:line="360" w:lineRule="auto"/>
              <w:ind w:left="0" w:right="0" w:firstLine="480" w:firstLineChars="200"/>
              <w:jc w:val="both"/>
              <w:rPr>
                <w:color w:val="000000" w:themeColor="text1"/>
                <w:highlight w:val="none"/>
                <w14:textFill>
                  <w14:solidFill>
                    <w14:schemeClr w14:val="tx1"/>
                  </w14:solidFill>
                </w14:textFill>
              </w:rPr>
            </w:pPr>
          </w:p>
          <w:p>
            <w:pPr>
              <w:pStyle w:val="54"/>
              <w:keepNext w:val="0"/>
              <w:keepLines w:val="0"/>
              <w:suppressLineNumbers w:val="0"/>
              <w:spacing w:before="0" w:beforeAutospacing="0" w:after="0" w:afterAutospacing="0" w:line="360" w:lineRule="auto"/>
              <w:ind w:left="0" w:right="0" w:firstLine="480" w:firstLineChars="200"/>
              <w:jc w:val="both"/>
              <w:rPr>
                <w:color w:val="000000" w:themeColor="text1"/>
                <w:highlight w:val="none"/>
                <w14:textFill>
                  <w14:solidFill>
                    <w14:schemeClr w14:val="tx1"/>
                  </w14:solidFill>
                </w14:textFill>
              </w:rPr>
            </w:pPr>
          </w:p>
          <w:p>
            <w:pPr>
              <w:pStyle w:val="54"/>
              <w:keepNext w:val="0"/>
              <w:keepLines w:val="0"/>
              <w:suppressLineNumbers w:val="0"/>
              <w:spacing w:before="0" w:beforeAutospacing="0" w:after="0" w:afterAutospacing="0" w:line="360" w:lineRule="auto"/>
              <w:ind w:left="0" w:right="0" w:firstLine="480" w:firstLineChars="200"/>
              <w:jc w:val="both"/>
              <w:rPr>
                <w:color w:val="000000" w:themeColor="text1"/>
                <w:highlight w:val="none"/>
                <w14:textFill>
                  <w14:solidFill>
                    <w14:schemeClr w14:val="tx1"/>
                  </w14:solidFill>
                </w14:textFill>
              </w:rPr>
            </w:pPr>
          </w:p>
          <w:p>
            <w:pPr>
              <w:pStyle w:val="54"/>
              <w:keepNext w:val="0"/>
              <w:keepLines w:val="0"/>
              <w:suppressLineNumbers w:val="0"/>
              <w:spacing w:before="0" w:beforeAutospacing="0" w:after="0" w:afterAutospacing="0" w:line="360" w:lineRule="auto"/>
              <w:ind w:left="0" w:right="0" w:firstLine="480" w:firstLineChars="200"/>
              <w:jc w:val="both"/>
              <w:rPr>
                <w:color w:val="000000" w:themeColor="text1"/>
                <w:highlight w:val="none"/>
                <w14:textFill>
                  <w14:solidFill>
                    <w14:schemeClr w14:val="tx1"/>
                  </w14:solidFill>
                </w14:textFill>
              </w:rPr>
            </w:pPr>
          </w:p>
          <w:p>
            <w:pPr>
              <w:pStyle w:val="54"/>
              <w:keepNext w:val="0"/>
              <w:keepLines w:val="0"/>
              <w:suppressLineNumbers w:val="0"/>
              <w:spacing w:before="0" w:beforeAutospacing="0" w:after="0" w:afterAutospacing="0" w:line="360" w:lineRule="auto"/>
              <w:ind w:left="0" w:right="0" w:firstLine="480" w:firstLineChars="200"/>
              <w:jc w:val="both"/>
              <w:rPr>
                <w:color w:val="000000" w:themeColor="text1"/>
                <w:highlight w:val="none"/>
                <w14:textFill>
                  <w14:solidFill>
                    <w14:schemeClr w14:val="tx1"/>
                  </w14:solidFill>
                </w14:textFill>
              </w:rPr>
            </w:pPr>
          </w:p>
          <w:p>
            <w:pPr>
              <w:pStyle w:val="54"/>
              <w:keepNext w:val="0"/>
              <w:keepLines w:val="0"/>
              <w:suppressLineNumbers w:val="0"/>
              <w:spacing w:before="0" w:beforeAutospacing="0" w:after="0" w:afterAutospacing="0" w:line="360" w:lineRule="auto"/>
              <w:ind w:left="0" w:right="0" w:firstLine="0"/>
              <w:jc w:val="both"/>
              <w:rPr>
                <w:color w:val="000000" w:themeColor="text1"/>
                <w:highlight w:val="none"/>
                <w14:textFill>
                  <w14:solidFill>
                    <w14:schemeClr w14:val="tx1"/>
                  </w14:solidFill>
                </w14:textFill>
              </w:rPr>
            </w:pPr>
          </w:p>
        </w:tc>
      </w:tr>
    </w:tbl>
    <w:p>
      <w:pPr>
        <w:rPr>
          <w:color w:val="000000" w:themeColor="text1"/>
          <w:highlight w:val="none"/>
          <w14:textFill>
            <w14:solidFill>
              <w14:schemeClr w14:val="tx1"/>
            </w14:solidFill>
          </w14:textFill>
        </w:rPr>
      </w:pPr>
    </w:p>
    <w:p>
      <w:pPr>
        <w:spacing w:line="360" w:lineRule="auto"/>
        <w:rPr>
          <w:rFonts w:hint="eastAsia" w:ascii="Times" w:hAnsi="Times"/>
          <w:b/>
          <w:bCs/>
          <w:color w:val="000000" w:themeColor="text1"/>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w:hAnsi="Times"/>
          <w:b/>
          <w:bCs/>
          <w:color w:val="000000" w:themeColor="text1"/>
          <w:sz w:val="72"/>
          <w:szCs w:val="72"/>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w:hAnsi="Times"/>
          <w:b/>
          <w:bCs/>
          <w:color w:val="000000" w:themeColor="text1"/>
          <w:sz w:val="72"/>
          <w:szCs w:val="72"/>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w:hAnsi="Times"/>
          <w:b/>
          <w:bCs/>
          <w:color w:val="000000" w:themeColor="text1"/>
          <w:sz w:val="72"/>
          <w:szCs w:val="72"/>
          <w:highlight w:val="none"/>
          <w:lang w:val="en-US" w:eastAsia="zh-CN"/>
          <w14:textFill>
            <w14:solidFill>
              <w14:schemeClr w14:val="tx1"/>
            </w14:solidFill>
          </w14:textFill>
        </w:rPr>
      </w:pPr>
    </w:p>
    <w:p>
      <w:pPr>
        <w:pStyle w:val="32"/>
        <w:spacing w:line="360" w:lineRule="auto"/>
        <w:rPr>
          <w:rFonts w:hint="default"/>
          <w:color w:val="000000" w:themeColor="text1"/>
          <w:sz w:val="24"/>
          <w:szCs w:val="24"/>
          <w:highlight w:val="none"/>
          <w:lang w:val="en-US" w:eastAsia="zh-CN"/>
          <w14:textFill>
            <w14:solidFill>
              <w14:schemeClr w14:val="tx1"/>
            </w14:solidFill>
          </w14:textFill>
        </w:rPr>
      </w:pPr>
    </w:p>
    <w:sectPr>
      <w:footerReference r:id="rId6" w:type="default"/>
      <w:pgSz w:w="11906" w:h="16838"/>
      <w:pgMar w:top="1440" w:right="1800" w:bottom="1440" w:left="1800" w:header="851" w:footer="1077"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imes">
    <w:altName w:val="Times New Roman"/>
    <w:panose1 w:val="02020603050405020304"/>
    <w:charset w:val="00"/>
    <w:family w:val="roman"/>
    <w:pitch w:val="default"/>
    <w:sig w:usb0="00000000" w:usb1="00000000" w:usb2="00000009" w:usb3="00000000" w:csb0="000001FF"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p>
  <w:p>
    <w:pPr>
      <w:pStyle w:val="1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outside" w:y="1"/>
      <w:rPr>
        <w:rStyle w:val="28"/>
      </w:rPr>
    </w:pPr>
    <w:r>
      <w:rPr>
        <w:rStyle w:val="28"/>
      </w:rPr>
      <w:fldChar w:fldCharType="begin"/>
    </w:r>
    <w:r>
      <w:rPr>
        <w:rStyle w:val="28"/>
      </w:rPr>
      <w:instrText xml:space="preserve">PAGE  </w:instrText>
    </w:r>
    <w:r>
      <w:rPr>
        <w:rStyle w:val="28"/>
      </w:rPr>
      <w:fldChar w:fldCharType="end"/>
    </w:r>
  </w:p>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fldChar w:fldCharType="begin"/>
    </w:r>
    <w:r>
      <w:instrText xml:space="preserve">PAGE   \* MERGEFORMAT</w:instrText>
    </w:r>
    <w:r>
      <w:fldChar w:fldCharType="separate"/>
    </w:r>
    <w:r>
      <w:rPr>
        <w:lang w:val="zh-CN"/>
      </w:rPr>
      <w:t>83</w:t>
    </w:r>
    <w:r>
      <w:fldChar w:fldCharType="end"/>
    </w:r>
  </w:p>
  <w:p>
    <w:pPr>
      <w:pStyle w:val="15"/>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r>
      <w:fldChar w:fldCharType="begin"/>
    </w:r>
    <w:r>
      <w:instrText xml:space="preserve">PAGE   \* MERGEFORMAT</w:instrText>
    </w:r>
    <w:r>
      <w:fldChar w:fldCharType="separate"/>
    </w:r>
    <w:r>
      <w:rPr>
        <w:lang w:val="zh-CN"/>
      </w:rPr>
      <w:t>27</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FF06056"/>
    <w:multiLevelType w:val="multilevel"/>
    <w:tmpl w:val="4FF06056"/>
    <w:lvl w:ilvl="0" w:tentative="0">
      <w:start w:val="1"/>
      <w:numFmt w:val="decimal"/>
      <w:lvlText w:val="%1、"/>
      <w:lvlJc w:val="left"/>
      <w:pPr>
        <w:ind w:left="661" w:hanging="375"/>
      </w:pPr>
      <w:rPr>
        <w:rFonts w:hint="default"/>
      </w:rPr>
    </w:lvl>
    <w:lvl w:ilvl="1" w:tentative="0">
      <w:start w:val="1"/>
      <w:numFmt w:val="decimalEnclosedCircle"/>
      <w:lvlText w:val="%2"/>
      <w:lvlJc w:val="left"/>
      <w:pPr>
        <w:ind w:left="1066" w:hanging="360"/>
      </w:pPr>
      <w:rPr>
        <w:rFonts w:hint="default"/>
      </w:rPr>
    </w:lvl>
    <w:lvl w:ilvl="2" w:tentative="0">
      <w:start w:val="1"/>
      <w:numFmt w:val="lowerRoman"/>
      <w:lvlText w:val="%3."/>
      <w:lvlJc w:val="right"/>
      <w:pPr>
        <w:ind w:left="1546" w:hanging="420"/>
      </w:pPr>
    </w:lvl>
    <w:lvl w:ilvl="3" w:tentative="0">
      <w:start w:val="1"/>
      <w:numFmt w:val="decimal"/>
      <w:lvlText w:val="%4."/>
      <w:lvlJc w:val="left"/>
      <w:pPr>
        <w:ind w:left="1966" w:hanging="420"/>
      </w:pPr>
    </w:lvl>
    <w:lvl w:ilvl="4" w:tentative="0">
      <w:start w:val="1"/>
      <w:numFmt w:val="lowerLetter"/>
      <w:pStyle w:val="5"/>
      <w:lvlText w:val="%5)"/>
      <w:lvlJc w:val="left"/>
      <w:pPr>
        <w:ind w:left="2386" w:hanging="420"/>
      </w:pPr>
    </w:lvl>
    <w:lvl w:ilvl="5" w:tentative="0">
      <w:start w:val="1"/>
      <w:numFmt w:val="lowerRoman"/>
      <w:lvlText w:val="%6."/>
      <w:lvlJc w:val="right"/>
      <w:pPr>
        <w:ind w:left="2806" w:hanging="420"/>
      </w:pPr>
    </w:lvl>
    <w:lvl w:ilvl="6" w:tentative="0">
      <w:start w:val="1"/>
      <w:numFmt w:val="decimal"/>
      <w:lvlText w:val="%7."/>
      <w:lvlJc w:val="left"/>
      <w:pPr>
        <w:ind w:left="3226" w:hanging="420"/>
      </w:pPr>
    </w:lvl>
    <w:lvl w:ilvl="7" w:tentative="0">
      <w:start w:val="1"/>
      <w:numFmt w:val="lowerLetter"/>
      <w:lvlText w:val="%8)"/>
      <w:lvlJc w:val="left"/>
      <w:pPr>
        <w:ind w:left="3646" w:hanging="420"/>
      </w:pPr>
    </w:lvl>
    <w:lvl w:ilvl="8" w:tentative="0">
      <w:start w:val="1"/>
      <w:numFmt w:val="lowerRoman"/>
      <w:lvlText w:val="%9."/>
      <w:lvlJc w:val="right"/>
      <w:pPr>
        <w:ind w:left="4066" w:hanging="420"/>
      </w:pPr>
    </w:lvl>
  </w:abstractNum>
  <w:abstractNum w:abstractNumId="1">
    <w:nsid w:val="72C83D4B"/>
    <w:multiLevelType w:val="multilevel"/>
    <w:tmpl w:val="72C83D4B"/>
    <w:lvl w:ilvl="0" w:tentative="0">
      <w:start w:val="1"/>
      <w:numFmt w:val="chineseCountingThousand"/>
      <w:lvlText w:val="%1、"/>
      <w:lvlJc w:val="left"/>
      <w:pPr>
        <w:ind w:left="425" w:hanging="425"/>
      </w:pPr>
      <w:rPr>
        <w:rFonts w:hint="eastAsia"/>
      </w:rPr>
    </w:lvl>
    <w:lvl w:ilvl="1" w:tentative="0">
      <w:start w:val="1"/>
      <w:numFmt w:val="decimal"/>
      <w:isLgl/>
      <w:suff w:val="space"/>
      <w:lvlText w:val="%1.%2"/>
      <w:lvlJc w:val="left"/>
      <w:pPr>
        <w:ind w:left="0" w:firstLine="0"/>
      </w:pPr>
      <w:rPr>
        <w:rFonts w:hint="eastAsia" w:ascii="宋体" w:hAnsi="宋体" w:eastAsia="宋体"/>
      </w:rPr>
    </w:lvl>
    <w:lvl w:ilvl="2" w:tentative="0">
      <w:start w:val="1"/>
      <w:numFmt w:val="decimal"/>
      <w:pStyle w:val="4"/>
      <w:isLgl/>
      <w:suff w:val="space"/>
      <w:lvlText w:val="%1.%2.%3"/>
      <w:lvlJc w:val="left"/>
      <w:pPr>
        <w:ind w:left="0" w:firstLine="0"/>
      </w:pPr>
      <w:rPr>
        <w:rFonts w:hint="eastAsia" w:ascii="宋体" w:hAnsi="宋体" w:eastAsia="宋体"/>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UzY2E4Mzg5YmZjMzcxNGU1NzY5YmQ2NDA1YTE1MzIifQ=="/>
  </w:docVars>
  <w:rsids>
    <w:rsidRoot w:val="00A14947"/>
    <w:rsid w:val="0000022F"/>
    <w:rsid w:val="000004CD"/>
    <w:rsid w:val="0000084B"/>
    <w:rsid w:val="00000D23"/>
    <w:rsid w:val="00001CED"/>
    <w:rsid w:val="00001E67"/>
    <w:rsid w:val="000027AE"/>
    <w:rsid w:val="00003CD8"/>
    <w:rsid w:val="0000553C"/>
    <w:rsid w:val="000058C0"/>
    <w:rsid w:val="00006B56"/>
    <w:rsid w:val="00010082"/>
    <w:rsid w:val="00010212"/>
    <w:rsid w:val="00010398"/>
    <w:rsid w:val="0001167E"/>
    <w:rsid w:val="00011B4A"/>
    <w:rsid w:val="00011BCC"/>
    <w:rsid w:val="00011E33"/>
    <w:rsid w:val="000120AA"/>
    <w:rsid w:val="00012337"/>
    <w:rsid w:val="00012DD0"/>
    <w:rsid w:val="000131A6"/>
    <w:rsid w:val="0001395E"/>
    <w:rsid w:val="00013DA3"/>
    <w:rsid w:val="0001416B"/>
    <w:rsid w:val="00014965"/>
    <w:rsid w:val="0001523A"/>
    <w:rsid w:val="0001596A"/>
    <w:rsid w:val="000163EF"/>
    <w:rsid w:val="000168D3"/>
    <w:rsid w:val="00016DD8"/>
    <w:rsid w:val="00016ECB"/>
    <w:rsid w:val="000174DD"/>
    <w:rsid w:val="0001798D"/>
    <w:rsid w:val="00020539"/>
    <w:rsid w:val="00020993"/>
    <w:rsid w:val="00020A6D"/>
    <w:rsid w:val="00021B51"/>
    <w:rsid w:val="00021B97"/>
    <w:rsid w:val="00022170"/>
    <w:rsid w:val="00023633"/>
    <w:rsid w:val="0002395C"/>
    <w:rsid w:val="000269F6"/>
    <w:rsid w:val="00027056"/>
    <w:rsid w:val="000274F3"/>
    <w:rsid w:val="0003006D"/>
    <w:rsid w:val="000301A7"/>
    <w:rsid w:val="00030B6E"/>
    <w:rsid w:val="00031939"/>
    <w:rsid w:val="00031B02"/>
    <w:rsid w:val="00031DB6"/>
    <w:rsid w:val="00032C4E"/>
    <w:rsid w:val="00032D25"/>
    <w:rsid w:val="00033959"/>
    <w:rsid w:val="00034052"/>
    <w:rsid w:val="0003436F"/>
    <w:rsid w:val="00034AEB"/>
    <w:rsid w:val="000350B0"/>
    <w:rsid w:val="00035807"/>
    <w:rsid w:val="000365ED"/>
    <w:rsid w:val="000406DA"/>
    <w:rsid w:val="00040B79"/>
    <w:rsid w:val="00041CA0"/>
    <w:rsid w:val="00042D47"/>
    <w:rsid w:val="00043B5A"/>
    <w:rsid w:val="00045559"/>
    <w:rsid w:val="00047B76"/>
    <w:rsid w:val="000514F0"/>
    <w:rsid w:val="0005162D"/>
    <w:rsid w:val="000516BA"/>
    <w:rsid w:val="0005219D"/>
    <w:rsid w:val="000538FF"/>
    <w:rsid w:val="000553FB"/>
    <w:rsid w:val="0005568F"/>
    <w:rsid w:val="0005569D"/>
    <w:rsid w:val="00055734"/>
    <w:rsid w:val="00055FD6"/>
    <w:rsid w:val="000568F4"/>
    <w:rsid w:val="00056B47"/>
    <w:rsid w:val="00057139"/>
    <w:rsid w:val="00057341"/>
    <w:rsid w:val="000574A6"/>
    <w:rsid w:val="00061531"/>
    <w:rsid w:val="0006153D"/>
    <w:rsid w:val="00061B1F"/>
    <w:rsid w:val="000623E9"/>
    <w:rsid w:val="0006277D"/>
    <w:rsid w:val="00062D8A"/>
    <w:rsid w:val="00064496"/>
    <w:rsid w:val="000664DB"/>
    <w:rsid w:val="00066819"/>
    <w:rsid w:val="00066C07"/>
    <w:rsid w:val="0006739B"/>
    <w:rsid w:val="000675CD"/>
    <w:rsid w:val="00067A41"/>
    <w:rsid w:val="00067D77"/>
    <w:rsid w:val="00067F2D"/>
    <w:rsid w:val="00070D78"/>
    <w:rsid w:val="00070FB1"/>
    <w:rsid w:val="0007127D"/>
    <w:rsid w:val="0007150A"/>
    <w:rsid w:val="00071AE5"/>
    <w:rsid w:val="00071BE4"/>
    <w:rsid w:val="00071FC7"/>
    <w:rsid w:val="00074783"/>
    <w:rsid w:val="000760B1"/>
    <w:rsid w:val="0007668D"/>
    <w:rsid w:val="000801E0"/>
    <w:rsid w:val="00080A2B"/>
    <w:rsid w:val="00080A8C"/>
    <w:rsid w:val="00082220"/>
    <w:rsid w:val="00082A29"/>
    <w:rsid w:val="0008331D"/>
    <w:rsid w:val="000833D8"/>
    <w:rsid w:val="00083C18"/>
    <w:rsid w:val="00083C8B"/>
    <w:rsid w:val="00084469"/>
    <w:rsid w:val="00084A5E"/>
    <w:rsid w:val="000853A7"/>
    <w:rsid w:val="0008625A"/>
    <w:rsid w:val="000906C8"/>
    <w:rsid w:val="00090C9F"/>
    <w:rsid w:val="00090E44"/>
    <w:rsid w:val="00091361"/>
    <w:rsid w:val="00091489"/>
    <w:rsid w:val="000920E9"/>
    <w:rsid w:val="00092428"/>
    <w:rsid w:val="000924BE"/>
    <w:rsid w:val="00092899"/>
    <w:rsid w:val="000940F1"/>
    <w:rsid w:val="0009423F"/>
    <w:rsid w:val="00094FC2"/>
    <w:rsid w:val="00094FE6"/>
    <w:rsid w:val="00095682"/>
    <w:rsid w:val="0009598F"/>
    <w:rsid w:val="0009704E"/>
    <w:rsid w:val="000A05B2"/>
    <w:rsid w:val="000A069E"/>
    <w:rsid w:val="000A0D25"/>
    <w:rsid w:val="000A0F96"/>
    <w:rsid w:val="000A178E"/>
    <w:rsid w:val="000A24EC"/>
    <w:rsid w:val="000A258B"/>
    <w:rsid w:val="000A281C"/>
    <w:rsid w:val="000A29F6"/>
    <w:rsid w:val="000A557E"/>
    <w:rsid w:val="000A56F2"/>
    <w:rsid w:val="000A5DDC"/>
    <w:rsid w:val="000A6132"/>
    <w:rsid w:val="000A62D1"/>
    <w:rsid w:val="000A6EA9"/>
    <w:rsid w:val="000A6FBA"/>
    <w:rsid w:val="000A71F4"/>
    <w:rsid w:val="000A73C4"/>
    <w:rsid w:val="000A7EBF"/>
    <w:rsid w:val="000A7F5F"/>
    <w:rsid w:val="000B058F"/>
    <w:rsid w:val="000B05C7"/>
    <w:rsid w:val="000B0854"/>
    <w:rsid w:val="000B09A4"/>
    <w:rsid w:val="000B0C6A"/>
    <w:rsid w:val="000B0C8E"/>
    <w:rsid w:val="000B2760"/>
    <w:rsid w:val="000B2D62"/>
    <w:rsid w:val="000B3A4A"/>
    <w:rsid w:val="000B4081"/>
    <w:rsid w:val="000B5A8C"/>
    <w:rsid w:val="000B693F"/>
    <w:rsid w:val="000B7244"/>
    <w:rsid w:val="000B7958"/>
    <w:rsid w:val="000B7ADB"/>
    <w:rsid w:val="000B7BEE"/>
    <w:rsid w:val="000B7C02"/>
    <w:rsid w:val="000C09AC"/>
    <w:rsid w:val="000C0A63"/>
    <w:rsid w:val="000C10CB"/>
    <w:rsid w:val="000C1970"/>
    <w:rsid w:val="000C36D4"/>
    <w:rsid w:val="000C42D3"/>
    <w:rsid w:val="000C437E"/>
    <w:rsid w:val="000C46ED"/>
    <w:rsid w:val="000C5192"/>
    <w:rsid w:val="000C718B"/>
    <w:rsid w:val="000D09D1"/>
    <w:rsid w:val="000D1780"/>
    <w:rsid w:val="000D1847"/>
    <w:rsid w:val="000D1E7B"/>
    <w:rsid w:val="000D20C1"/>
    <w:rsid w:val="000D2747"/>
    <w:rsid w:val="000D3FA5"/>
    <w:rsid w:val="000D407D"/>
    <w:rsid w:val="000D41F1"/>
    <w:rsid w:val="000D4359"/>
    <w:rsid w:val="000D45D2"/>
    <w:rsid w:val="000D4CBA"/>
    <w:rsid w:val="000D6A40"/>
    <w:rsid w:val="000D6C29"/>
    <w:rsid w:val="000D6FCE"/>
    <w:rsid w:val="000D7415"/>
    <w:rsid w:val="000E0C10"/>
    <w:rsid w:val="000E1229"/>
    <w:rsid w:val="000E2D01"/>
    <w:rsid w:val="000E2E53"/>
    <w:rsid w:val="000E42C8"/>
    <w:rsid w:val="000E48A9"/>
    <w:rsid w:val="000E48CA"/>
    <w:rsid w:val="000E48E1"/>
    <w:rsid w:val="000E4A8B"/>
    <w:rsid w:val="000E4EC5"/>
    <w:rsid w:val="000E5A57"/>
    <w:rsid w:val="000E5F16"/>
    <w:rsid w:val="000E6F7C"/>
    <w:rsid w:val="000E70E7"/>
    <w:rsid w:val="000E7543"/>
    <w:rsid w:val="000E79E5"/>
    <w:rsid w:val="000E7FE6"/>
    <w:rsid w:val="000F0955"/>
    <w:rsid w:val="000F193F"/>
    <w:rsid w:val="000F2C58"/>
    <w:rsid w:val="000F4452"/>
    <w:rsid w:val="000F5C94"/>
    <w:rsid w:val="000F6D1B"/>
    <w:rsid w:val="000F6DA1"/>
    <w:rsid w:val="000F701B"/>
    <w:rsid w:val="000F7314"/>
    <w:rsid w:val="000F7459"/>
    <w:rsid w:val="00100652"/>
    <w:rsid w:val="001009CA"/>
    <w:rsid w:val="00100E12"/>
    <w:rsid w:val="00101D2B"/>
    <w:rsid w:val="00102CA1"/>
    <w:rsid w:val="0010323F"/>
    <w:rsid w:val="001033DD"/>
    <w:rsid w:val="00103FB5"/>
    <w:rsid w:val="00104BB2"/>
    <w:rsid w:val="001056A0"/>
    <w:rsid w:val="00105A0B"/>
    <w:rsid w:val="00105F27"/>
    <w:rsid w:val="00107970"/>
    <w:rsid w:val="001116F2"/>
    <w:rsid w:val="001117D2"/>
    <w:rsid w:val="00111A98"/>
    <w:rsid w:val="00111C6C"/>
    <w:rsid w:val="00112468"/>
    <w:rsid w:val="00112861"/>
    <w:rsid w:val="00112CB7"/>
    <w:rsid w:val="0011304E"/>
    <w:rsid w:val="0011346E"/>
    <w:rsid w:val="001137B6"/>
    <w:rsid w:val="001148FC"/>
    <w:rsid w:val="00115279"/>
    <w:rsid w:val="00115837"/>
    <w:rsid w:val="00115AC2"/>
    <w:rsid w:val="00117459"/>
    <w:rsid w:val="0011749A"/>
    <w:rsid w:val="00117936"/>
    <w:rsid w:val="0011798B"/>
    <w:rsid w:val="00117E17"/>
    <w:rsid w:val="00117FA9"/>
    <w:rsid w:val="00120626"/>
    <w:rsid w:val="00120760"/>
    <w:rsid w:val="00120ACF"/>
    <w:rsid w:val="00121AF7"/>
    <w:rsid w:val="0012237B"/>
    <w:rsid w:val="00123FA1"/>
    <w:rsid w:val="00125195"/>
    <w:rsid w:val="001263BC"/>
    <w:rsid w:val="00126ABD"/>
    <w:rsid w:val="00126EF2"/>
    <w:rsid w:val="001271C0"/>
    <w:rsid w:val="00127A68"/>
    <w:rsid w:val="001308B1"/>
    <w:rsid w:val="00130CCE"/>
    <w:rsid w:val="001317F2"/>
    <w:rsid w:val="00132582"/>
    <w:rsid w:val="00132BE7"/>
    <w:rsid w:val="00132F2D"/>
    <w:rsid w:val="0013319A"/>
    <w:rsid w:val="00133E54"/>
    <w:rsid w:val="00134A5D"/>
    <w:rsid w:val="00134A66"/>
    <w:rsid w:val="00135135"/>
    <w:rsid w:val="00135218"/>
    <w:rsid w:val="001352D8"/>
    <w:rsid w:val="0013768F"/>
    <w:rsid w:val="0013773A"/>
    <w:rsid w:val="00137FEB"/>
    <w:rsid w:val="00140B13"/>
    <w:rsid w:val="0014117F"/>
    <w:rsid w:val="001417A1"/>
    <w:rsid w:val="00141B68"/>
    <w:rsid w:val="00141CAA"/>
    <w:rsid w:val="0014289C"/>
    <w:rsid w:val="001428F5"/>
    <w:rsid w:val="00142D76"/>
    <w:rsid w:val="00143DDE"/>
    <w:rsid w:val="00144020"/>
    <w:rsid w:val="001455F2"/>
    <w:rsid w:val="0014560D"/>
    <w:rsid w:val="00145800"/>
    <w:rsid w:val="001466DA"/>
    <w:rsid w:val="001469B3"/>
    <w:rsid w:val="00147477"/>
    <w:rsid w:val="00147FC4"/>
    <w:rsid w:val="0015029F"/>
    <w:rsid w:val="001504F9"/>
    <w:rsid w:val="00150BB2"/>
    <w:rsid w:val="00150ECB"/>
    <w:rsid w:val="00151FEA"/>
    <w:rsid w:val="0015281D"/>
    <w:rsid w:val="00153149"/>
    <w:rsid w:val="0015377A"/>
    <w:rsid w:val="0015451B"/>
    <w:rsid w:val="00154CDD"/>
    <w:rsid w:val="00154DE1"/>
    <w:rsid w:val="0015533C"/>
    <w:rsid w:val="00155351"/>
    <w:rsid w:val="001554C9"/>
    <w:rsid w:val="00155B40"/>
    <w:rsid w:val="001573E2"/>
    <w:rsid w:val="00157435"/>
    <w:rsid w:val="00160966"/>
    <w:rsid w:val="00161BFB"/>
    <w:rsid w:val="00161F3B"/>
    <w:rsid w:val="0016229F"/>
    <w:rsid w:val="001635C6"/>
    <w:rsid w:val="001638BB"/>
    <w:rsid w:val="00163EEA"/>
    <w:rsid w:val="00164423"/>
    <w:rsid w:val="00165418"/>
    <w:rsid w:val="00165545"/>
    <w:rsid w:val="001663B6"/>
    <w:rsid w:val="0016653C"/>
    <w:rsid w:val="001666B1"/>
    <w:rsid w:val="00166D8E"/>
    <w:rsid w:val="00167A07"/>
    <w:rsid w:val="0017046A"/>
    <w:rsid w:val="001704A3"/>
    <w:rsid w:val="00170D58"/>
    <w:rsid w:val="00171C6B"/>
    <w:rsid w:val="00172497"/>
    <w:rsid w:val="00172884"/>
    <w:rsid w:val="001728EF"/>
    <w:rsid w:val="00172FAE"/>
    <w:rsid w:val="00173728"/>
    <w:rsid w:val="00173E40"/>
    <w:rsid w:val="00174FCC"/>
    <w:rsid w:val="0017504D"/>
    <w:rsid w:val="00175E45"/>
    <w:rsid w:val="00175F29"/>
    <w:rsid w:val="00177422"/>
    <w:rsid w:val="00177F35"/>
    <w:rsid w:val="001800AC"/>
    <w:rsid w:val="00181894"/>
    <w:rsid w:val="0018353D"/>
    <w:rsid w:val="001838D6"/>
    <w:rsid w:val="00184EAF"/>
    <w:rsid w:val="00184F10"/>
    <w:rsid w:val="00185546"/>
    <w:rsid w:val="00186D5E"/>
    <w:rsid w:val="00186DFA"/>
    <w:rsid w:val="00186DFB"/>
    <w:rsid w:val="00187BAC"/>
    <w:rsid w:val="00190185"/>
    <w:rsid w:val="00190858"/>
    <w:rsid w:val="0019146B"/>
    <w:rsid w:val="001936A9"/>
    <w:rsid w:val="00194398"/>
    <w:rsid w:val="00195A38"/>
    <w:rsid w:val="0019625D"/>
    <w:rsid w:val="001967CD"/>
    <w:rsid w:val="00196AB7"/>
    <w:rsid w:val="00196AEF"/>
    <w:rsid w:val="00197816"/>
    <w:rsid w:val="0019786E"/>
    <w:rsid w:val="001A003E"/>
    <w:rsid w:val="001A1130"/>
    <w:rsid w:val="001A2580"/>
    <w:rsid w:val="001A26A3"/>
    <w:rsid w:val="001A3573"/>
    <w:rsid w:val="001A3AF3"/>
    <w:rsid w:val="001A4333"/>
    <w:rsid w:val="001A4940"/>
    <w:rsid w:val="001A5688"/>
    <w:rsid w:val="001A7A77"/>
    <w:rsid w:val="001A7D2A"/>
    <w:rsid w:val="001B0600"/>
    <w:rsid w:val="001B1353"/>
    <w:rsid w:val="001B1B50"/>
    <w:rsid w:val="001B3389"/>
    <w:rsid w:val="001B33CC"/>
    <w:rsid w:val="001B35C1"/>
    <w:rsid w:val="001B36A0"/>
    <w:rsid w:val="001B3AE5"/>
    <w:rsid w:val="001B417A"/>
    <w:rsid w:val="001B4AD7"/>
    <w:rsid w:val="001B524F"/>
    <w:rsid w:val="001B574C"/>
    <w:rsid w:val="001B64B2"/>
    <w:rsid w:val="001B65BA"/>
    <w:rsid w:val="001B6E74"/>
    <w:rsid w:val="001B715D"/>
    <w:rsid w:val="001B74E3"/>
    <w:rsid w:val="001C0493"/>
    <w:rsid w:val="001C068F"/>
    <w:rsid w:val="001C0AF9"/>
    <w:rsid w:val="001C12FE"/>
    <w:rsid w:val="001C155A"/>
    <w:rsid w:val="001C25AB"/>
    <w:rsid w:val="001C263D"/>
    <w:rsid w:val="001C396B"/>
    <w:rsid w:val="001C3F64"/>
    <w:rsid w:val="001C48C0"/>
    <w:rsid w:val="001C5818"/>
    <w:rsid w:val="001C5B42"/>
    <w:rsid w:val="001C6DC7"/>
    <w:rsid w:val="001C7024"/>
    <w:rsid w:val="001C7246"/>
    <w:rsid w:val="001C72CC"/>
    <w:rsid w:val="001D0568"/>
    <w:rsid w:val="001D1218"/>
    <w:rsid w:val="001D13A0"/>
    <w:rsid w:val="001D26DD"/>
    <w:rsid w:val="001D2C02"/>
    <w:rsid w:val="001D4887"/>
    <w:rsid w:val="001D520C"/>
    <w:rsid w:val="001D5257"/>
    <w:rsid w:val="001D5FB4"/>
    <w:rsid w:val="001D6726"/>
    <w:rsid w:val="001D701B"/>
    <w:rsid w:val="001D7E40"/>
    <w:rsid w:val="001E2D1F"/>
    <w:rsid w:val="001E746B"/>
    <w:rsid w:val="001F0866"/>
    <w:rsid w:val="001F11BA"/>
    <w:rsid w:val="001F2E8F"/>
    <w:rsid w:val="001F3347"/>
    <w:rsid w:val="001F39A0"/>
    <w:rsid w:val="001F3D04"/>
    <w:rsid w:val="001F430B"/>
    <w:rsid w:val="001F4440"/>
    <w:rsid w:val="001F521F"/>
    <w:rsid w:val="001F53BC"/>
    <w:rsid w:val="001F5477"/>
    <w:rsid w:val="001F5480"/>
    <w:rsid w:val="001F6298"/>
    <w:rsid w:val="001F69E4"/>
    <w:rsid w:val="001F6E7C"/>
    <w:rsid w:val="001F71BC"/>
    <w:rsid w:val="001F72EA"/>
    <w:rsid w:val="001F7ED3"/>
    <w:rsid w:val="00200532"/>
    <w:rsid w:val="00200C99"/>
    <w:rsid w:val="00201A4F"/>
    <w:rsid w:val="00201B20"/>
    <w:rsid w:val="00203E40"/>
    <w:rsid w:val="0020470D"/>
    <w:rsid w:val="00205F4B"/>
    <w:rsid w:val="00206A65"/>
    <w:rsid w:val="0020723E"/>
    <w:rsid w:val="00210171"/>
    <w:rsid w:val="002108AD"/>
    <w:rsid w:val="00210A1F"/>
    <w:rsid w:val="002119AF"/>
    <w:rsid w:val="00212503"/>
    <w:rsid w:val="00212D31"/>
    <w:rsid w:val="002130C7"/>
    <w:rsid w:val="00214451"/>
    <w:rsid w:val="00215DE7"/>
    <w:rsid w:val="00220658"/>
    <w:rsid w:val="00220789"/>
    <w:rsid w:val="00220A6C"/>
    <w:rsid w:val="002212D0"/>
    <w:rsid w:val="002218A8"/>
    <w:rsid w:val="00221910"/>
    <w:rsid w:val="00222896"/>
    <w:rsid w:val="00222917"/>
    <w:rsid w:val="0022306D"/>
    <w:rsid w:val="00223468"/>
    <w:rsid w:val="002236A5"/>
    <w:rsid w:val="002247ED"/>
    <w:rsid w:val="00225100"/>
    <w:rsid w:val="00226574"/>
    <w:rsid w:val="002278EC"/>
    <w:rsid w:val="0023141C"/>
    <w:rsid w:val="0023174B"/>
    <w:rsid w:val="00231D5F"/>
    <w:rsid w:val="002322DF"/>
    <w:rsid w:val="0023275D"/>
    <w:rsid w:val="002339B6"/>
    <w:rsid w:val="00233A03"/>
    <w:rsid w:val="00233CFB"/>
    <w:rsid w:val="002340F7"/>
    <w:rsid w:val="0023441C"/>
    <w:rsid w:val="002345CB"/>
    <w:rsid w:val="002357C7"/>
    <w:rsid w:val="00235A49"/>
    <w:rsid w:val="00235DE1"/>
    <w:rsid w:val="002360B3"/>
    <w:rsid w:val="002367C4"/>
    <w:rsid w:val="00237BD4"/>
    <w:rsid w:val="00237F31"/>
    <w:rsid w:val="00240916"/>
    <w:rsid w:val="00240C6D"/>
    <w:rsid w:val="00241723"/>
    <w:rsid w:val="00241A42"/>
    <w:rsid w:val="0024323C"/>
    <w:rsid w:val="002442DC"/>
    <w:rsid w:val="002458F8"/>
    <w:rsid w:val="00246D64"/>
    <w:rsid w:val="00247981"/>
    <w:rsid w:val="00250737"/>
    <w:rsid w:val="002509F9"/>
    <w:rsid w:val="00250BEC"/>
    <w:rsid w:val="00252592"/>
    <w:rsid w:val="002527E5"/>
    <w:rsid w:val="0025355E"/>
    <w:rsid w:val="0025479C"/>
    <w:rsid w:val="00254900"/>
    <w:rsid w:val="00254D56"/>
    <w:rsid w:val="00255A25"/>
    <w:rsid w:val="0025679E"/>
    <w:rsid w:val="00256D82"/>
    <w:rsid w:val="00257521"/>
    <w:rsid w:val="00257C22"/>
    <w:rsid w:val="00260C68"/>
    <w:rsid w:val="002614EC"/>
    <w:rsid w:val="00261F16"/>
    <w:rsid w:val="002634FF"/>
    <w:rsid w:val="002648B0"/>
    <w:rsid w:val="00265B42"/>
    <w:rsid w:val="0026648D"/>
    <w:rsid w:val="00267131"/>
    <w:rsid w:val="002679E8"/>
    <w:rsid w:val="002704F9"/>
    <w:rsid w:val="0027068F"/>
    <w:rsid w:val="00270B97"/>
    <w:rsid w:val="00272526"/>
    <w:rsid w:val="002748F3"/>
    <w:rsid w:val="00275271"/>
    <w:rsid w:val="0027535E"/>
    <w:rsid w:val="00275AA6"/>
    <w:rsid w:val="0027623C"/>
    <w:rsid w:val="0027674D"/>
    <w:rsid w:val="0028021F"/>
    <w:rsid w:val="002807D5"/>
    <w:rsid w:val="002814A8"/>
    <w:rsid w:val="00281561"/>
    <w:rsid w:val="002815E2"/>
    <w:rsid w:val="00281FA2"/>
    <w:rsid w:val="0028221A"/>
    <w:rsid w:val="00282557"/>
    <w:rsid w:val="00282CCD"/>
    <w:rsid w:val="00282F40"/>
    <w:rsid w:val="0028348C"/>
    <w:rsid w:val="00285C2C"/>
    <w:rsid w:val="002870E9"/>
    <w:rsid w:val="0028746B"/>
    <w:rsid w:val="002878BF"/>
    <w:rsid w:val="002901D6"/>
    <w:rsid w:val="002903A2"/>
    <w:rsid w:val="002906E3"/>
    <w:rsid w:val="0029127B"/>
    <w:rsid w:val="00292C39"/>
    <w:rsid w:val="002932FF"/>
    <w:rsid w:val="00293842"/>
    <w:rsid w:val="00295AAA"/>
    <w:rsid w:val="00295EB4"/>
    <w:rsid w:val="002970E2"/>
    <w:rsid w:val="002A0B1D"/>
    <w:rsid w:val="002A168C"/>
    <w:rsid w:val="002A16FE"/>
    <w:rsid w:val="002A17E5"/>
    <w:rsid w:val="002A2623"/>
    <w:rsid w:val="002A2C48"/>
    <w:rsid w:val="002A3287"/>
    <w:rsid w:val="002A3EED"/>
    <w:rsid w:val="002A40A4"/>
    <w:rsid w:val="002A44EB"/>
    <w:rsid w:val="002A4A39"/>
    <w:rsid w:val="002A4C97"/>
    <w:rsid w:val="002A5A17"/>
    <w:rsid w:val="002A6425"/>
    <w:rsid w:val="002A6586"/>
    <w:rsid w:val="002A66D0"/>
    <w:rsid w:val="002A68AE"/>
    <w:rsid w:val="002A7125"/>
    <w:rsid w:val="002A715B"/>
    <w:rsid w:val="002B0475"/>
    <w:rsid w:val="002B1900"/>
    <w:rsid w:val="002B2C75"/>
    <w:rsid w:val="002B2CD3"/>
    <w:rsid w:val="002B49E2"/>
    <w:rsid w:val="002B4DF6"/>
    <w:rsid w:val="002B5EEE"/>
    <w:rsid w:val="002B6BE1"/>
    <w:rsid w:val="002B73E4"/>
    <w:rsid w:val="002B79F1"/>
    <w:rsid w:val="002B7B00"/>
    <w:rsid w:val="002B7C44"/>
    <w:rsid w:val="002B7DB7"/>
    <w:rsid w:val="002C0743"/>
    <w:rsid w:val="002C1388"/>
    <w:rsid w:val="002C1FAC"/>
    <w:rsid w:val="002C2621"/>
    <w:rsid w:val="002C28C6"/>
    <w:rsid w:val="002C3C6A"/>
    <w:rsid w:val="002C3F89"/>
    <w:rsid w:val="002C473E"/>
    <w:rsid w:val="002C5E8F"/>
    <w:rsid w:val="002C6637"/>
    <w:rsid w:val="002C745E"/>
    <w:rsid w:val="002D1E0A"/>
    <w:rsid w:val="002D308C"/>
    <w:rsid w:val="002D4159"/>
    <w:rsid w:val="002D42DB"/>
    <w:rsid w:val="002D44EC"/>
    <w:rsid w:val="002D5C9E"/>
    <w:rsid w:val="002D5EF5"/>
    <w:rsid w:val="002D65F7"/>
    <w:rsid w:val="002D6A91"/>
    <w:rsid w:val="002D784F"/>
    <w:rsid w:val="002E0959"/>
    <w:rsid w:val="002E0E2E"/>
    <w:rsid w:val="002E1040"/>
    <w:rsid w:val="002E1CFC"/>
    <w:rsid w:val="002E1F3A"/>
    <w:rsid w:val="002E298A"/>
    <w:rsid w:val="002E2C20"/>
    <w:rsid w:val="002E416D"/>
    <w:rsid w:val="002E438E"/>
    <w:rsid w:val="002E4DCC"/>
    <w:rsid w:val="002E51C0"/>
    <w:rsid w:val="002E53D3"/>
    <w:rsid w:val="002E6A93"/>
    <w:rsid w:val="002E6D07"/>
    <w:rsid w:val="002E6F1D"/>
    <w:rsid w:val="002E7F7A"/>
    <w:rsid w:val="002F02A4"/>
    <w:rsid w:val="002F07FF"/>
    <w:rsid w:val="002F0827"/>
    <w:rsid w:val="002F0D7D"/>
    <w:rsid w:val="002F1341"/>
    <w:rsid w:val="002F1730"/>
    <w:rsid w:val="002F17DF"/>
    <w:rsid w:val="002F20F6"/>
    <w:rsid w:val="002F272B"/>
    <w:rsid w:val="002F38A4"/>
    <w:rsid w:val="002F5534"/>
    <w:rsid w:val="002F5BEA"/>
    <w:rsid w:val="002F631F"/>
    <w:rsid w:val="002F7C6D"/>
    <w:rsid w:val="0030017A"/>
    <w:rsid w:val="003004BD"/>
    <w:rsid w:val="003007DB"/>
    <w:rsid w:val="003013E0"/>
    <w:rsid w:val="003013E8"/>
    <w:rsid w:val="00301A94"/>
    <w:rsid w:val="003027E4"/>
    <w:rsid w:val="00302D4B"/>
    <w:rsid w:val="0030332C"/>
    <w:rsid w:val="00303CD7"/>
    <w:rsid w:val="00304AE2"/>
    <w:rsid w:val="00304BDE"/>
    <w:rsid w:val="0030526D"/>
    <w:rsid w:val="00305E8B"/>
    <w:rsid w:val="00305EB7"/>
    <w:rsid w:val="003065DE"/>
    <w:rsid w:val="00310F25"/>
    <w:rsid w:val="00311DDA"/>
    <w:rsid w:val="00312296"/>
    <w:rsid w:val="0031340E"/>
    <w:rsid w:val="0031363E"/>
    <w:rsid w:val="00314E74"/>
    <w:rsid w:val="00315396"/>
    <w:rsid w:val="0031551B"/>
    <w:rsid w:val="00315CA2"/>
    <w:rsid w:val="00316043"/>
    <w:rsid w:val="00316464"/>
    <w:rsid w:val="00316A43"/>
    <w:rsid w:val="00316D2A"/>
    <w:rsid w:val="0032073A"/>
    <w:rsid w:val="00320982"/>
    <w:rsid w:val="0032160C"/>
    <w:rsid w:val="003216F6"/>
    <w:rsid w:val="00321B00"/>
    <w:rsid w:val="00321CD9"/>
    <w:rsid w:val="00321D8E"/>
    <w:rsid w:val="00322D99"/>
    <w:rsid w:val="003237B8"/>
    <w:rsid w:val="0032444E"/>
    <w:rsid w:val="00324795"/>
    <w:rsid w:val="003252AD"/>
    <w:rsid w:val="0032728D"/>
    <w:rsid w:val="00327540"/>
    <w:rsid w:val="00327A32"/>
    <w:rsid w:val="00327BE4"/>
    <w:rsid w:val="00330888"/>
    <w:rsid w:val="00330B19"/>
    <w:rsid w:val="00333676"/>
    <w:rsid w:val="00333861"/>
    <w:rsid w:val="00334093"/>
    <w:rsid w:val="0033421E"/>
    <w:rsid w:val="003342C9"/>
    <w:rsid w:val="00334996"/>
    <w:rsid w:val="00334C54"/>
    <w:rsid w:val="00334DA4"/>
    <w:rsid w:val="00336969"/>
    <w:rsid w:val="00336C52"/>
    <w:rsid w:val="0033760D"/>
    <w:rsid w:val="00340BE5"/>
    <w:rsid w:val="00340C66"/>
    <w:rsid w:val="00341B3E"/>
    <w:rsid w:val="00341B42"/>
    <w:rsid w:val="00343454"/>
    <w:rsid w:val="00345154"/>
    <w:rsid w:val="0034560E"/>
    <w:rsid w:val="00345871"/>
    <w:rsid w:val="00345F0A"/>
    <w:rsid w:val="00346094"/>
    <w:rsid w:val="003462C8"/>
    <w:rsid w:val="00350523"/>
    <w:rsid w:val="00350C5E"/>
    <w:rsid w:val="00351E0E"/>
    <w:rsid w:val="00352975"/>
    <w:rsid w:val="003537D4"/>
    <w:rsid w:val="00353BC0"/>
    <w:rsid w:val="00354035"/>
    <w:rsid w:val="00355256"/>
    <w:rsid w:val="00355D09"/>
    <w:rsid w:val="003566A7"/>
    <w:rsid w:val="00356715"/>
    <w:rsid w:val="00356868"/>
    <w:rsid w:val="00356AF8"/>
    <w:rsid w:val="00357EAC"/>
    <w:rsid w:val="00360027"/>
    <w:rsid w:val="003609C1"/>
    <w:rsid w:val="003610C2"/>
    <w:rsid w:val="00361705"/>
    <w:rsid w:val="003623CF"/>
    <w:rsid w:val="00362D2A"/>
    <w:rsid w:val="003642C5"/>
    <w:rsid w:val="0036485B"/>
    <w:rsid w:val="00365309"/>
    <w:rsid w:val="00365358"/>
    <w:rsid w:val="0036744F"/>
    <w:rsid w:val="00367DC6"/>
    <w:rsid w:val="00372F10"/>
    <w:rsid w:val="00373460"/>
    <w:rsid w:val="003734F4"/>
    <w:rsid w:val="00373B0D"/>
    <w:rsid w:val="0037478E"/>
    <w:rsid w:val="00374A1D"/>
    <w:rsid w:val="00374A22"/>
    <w:rsid w:val="00374A89"/>
    <w:rsid w:val="00375C52"/>
    <w:rsid w:val="00375DBC"/>
    <w:rsid w:val="00376988"/>
    <w:rsid w:val="0038101D"/>
    <w:rsid w:val="00381A72"/>
    <w:rsid w:val="00381A89"/>
    <w:rsid w:val="00381E3D"/>
    <w:rsid w:val="003824A6"/>
    <w:rsid w:val="003825E0"/>
    <w:rsid w:val="003829F5"/>
    <w:rsid w:val="00383C22"/>
    <w:rsid w:val="00383E2F"/>
    <w:rsid w:val="0038435E"/>
    <w:rsid w:val="003855AB"/>
    <w:rsid w:val="00385856"/>
    <w:rsid w:val="003860D3"/>
    <w:rsid w:val="0038769E"/>
    <w:rsid w:val="00387782"/>
    <w:rsid w:val="0039142C"/>
    <w:rsid w:val="00391BD0"/>
    <w:rsid w:val="00391CD0"/>
    <w:rsid w:val="0039467E"/>
    <w:rsid w:val="003964C5"/>
    <w:rsid w:val="00396504"/>
    <w:rsid w:val="0039683C"/>
    <w:rsid w:val="0039695A"/>
    <w:rsid w:val="0039717A"/>
    <w:rsid w:val="0039732D"/>
    <w:rsid w:val="00397C36"/>
    <w:rsid w:val="003A0070"/>
    <w:rsid w:val="003A0165"/>
    <w:rsid w:val="003A06D8"/>
    <w:rsid w:val="003A1378"/>
    <w:rsid w:val="003A1948"/>
    <w:rsid w:val="003A1B0E"/>
    <w:rsid w:val="003A1ECB"/>
    <w:rsid w:val="003A1FB0"/>
    <w:rsid w:val="003A2976"/>
    <w:rsid w:val="003A3A5C"/>
    <w:rsid w:val="003A3BC3"/>
    <w:rsid w:val="003A3F47"/>
    <w:rsid w:val="003A4465"/>
    <w:rsid w:val="003A57FE"/>
    <w:rsid w:val="003A59C8"/>
    <w:rsid w:val="003A5B00"/>
    <w:rsid w:val="003A6CFA"/>
    <w:rsid w:val="003A75F2"/>
    <w:rsid w:val="003A7C18"/>
    <w:rsid w:val="003B02B7"/>
    <w:rsid w:val="003B0B87"/>
    <w:rsid w:val="003B1466"/>
    <w:rsid w:val="003B152A"/>
    <w:rsid w:val="003B17A4"/>
    <w:rsid w:val="003B387B"/>
    <w:rsid w:val="003B3EFB"/>
    <w:rsid w:val="003B48AA"/>
    <w:rsid w:val="003B4F14"/>
    <w:rsid w:val="003B51A9"/>
    <w:rsid w:val="003B545B"/>
    <w:rsid w:val="003B6227"/>
    <w:rsid w:val="003B627A"/>
    <w:rsid w:val="003B6650"/>
    <w:rsid w:val="003B6C70"/>
    <w:rsid w:val="003B711B"/>
    <w:rsid w:val="003B72B2"/>
    <w:rsid w:val="003B7982"/>
    <w:rsid w:val="003C1E91"/>
    <w:rsid w:val="003C2303"/>
    <w:rsid w:val="003C3183"/>
    <w:rsid w:val="003C4AD9"/>
    <w:rsid w:val="003C5037"/>
    <w:rsid w:val="003C5B6E"/>
    <w:rsid w:val="003C7FDE"/>
    <w:rsid w:val="003D154D"/>
    <w:rsid w:val="003D1F68"/>
    <w:rsid w:val="003D22D2"/>
    <w:rsid w:val="003D2338"/>
    <w:rsid w:val="003D351E"/>
    <w:rsid w:val="003D36E0"/>
    <w:rsid w:val="003D3AB5"/>
    <w:rsid w:val="003D3DFD"/>
    <w:rsid w:val="003D3EE9"/>
    <w:rsid w:val="003D48D9"/>
    <w:rsid w:val="003D498C"/>
    <w:rsid w:val="003D5A26"/>
    <w:rsid w:val="003D5A7A"/>
    <w:rsid w:val="003D5D40"/>
    <w:rsid w:val="003D65B3"/>
    <w:rsid w:val="003D70B2"/>
    <w:rsid w:val="003D7F1D"/>
    <w:rsid w:val="003E0140"/>
    <w:rsid w:val="003E04F6"/>
    <w:rsid w:val="003E1393"/>
    <w:rsid w:val="003E1D22"/>
    <w:rsid w:val="003E1DC2"/>
    <w:rsid w:val="003E2238"/>
    <w:rsid w:val="003E249F"/>
    <w:rsid w:val="003E26E5"/>
    <w:rsid w:val="003E3088"/>
    <w:rsid w:val="003E33D3"/>
    <w:rsid w:val="003E3712"/>
    <w:rsid w:val="003E3B17"/>
    <w:rsid w:val="003E3CD7"/>
    <w:rsid w:val="003E4822"/>
    <w:rsid w:val="003E6685"/>
    <w:rsid w:val="003E6F40"/>
    <w:rsid w:val="003E7429"/>
    <w:rsid w:val="003E7681"/>
    <w:rsid w:val="003E7FA4"/>
    <w:rsid w:val="003F070C"/>
    <w:rsid w:val="003F0809"/>
    <w:rsid w:val="003F1BF1"/>
    <w:rsid w:val="003F1FDE"/>
    <w:rsid w:val="003F3B74"/>
    <w:rsid w:val="003F43ED"/>
    <w:rsid w:val="003F4690"/>
    <w:rsid w:val="003F611C"/>
    <w:rsid w:val="003F70F2"/>
    <w:rsid w:val="003F755C"/>
    <w:rsid w:val="004010EB"/>
    <w:rsid w:val="004033EC"/>
    <w:rsid w:val="00403955"/>
    <w:rsid w:val="004059F5"/>
    <w:rsid w:val="00406F01"/>
    <w:rsid w:val="0040762C"/>
    <w:rsid w:val="004110FE"/>
    <w:rsid w:val="0041112E"/>
    <w:rsid w:val="00411383"/>
    <w:rsid w:val="004113F0"/>
    <w:rsid w:val="00411B36"/>
    <w:rsid w:val="00411C35"/>
    <w:rsid w:val="004121D7"/>
    <w:rsid w:val="004130EB"/>
    <w:rsid w:val="00413358"/>
    <w:rsid w:val="00414209"/>
    <w:rsid w:val="004145A9"/>
    <w:rsid w:val="00415620"/>
    <w:rsid w:val="00415A30"/>
    <w:rsid w:val="00416D50"/>
    <w:rsid w:val="00417517"/>
    <w:rsid w:val="00417772"/>
    <w:rsid w:val="004208B6"/>
    <w:rsid w:val="00420977"/>
    <w:rsid w:val="00420E6A"/>
    <w:rsid w:val="00421924"/>
    <w:rsid w:val="004234B5"/>
    <w:rsid w:val="00423C6E"/>
    <w:rsid w:val="00423EB8"/>
    <w:rsid w:val="00423F4A"/>
    <w:rsid w:val="00424212"/>
    <w:rsid w:val="00424B53"/>
    <w:rsid w:val="0042521F"/>
    <w:rsid w:val="004256F5"/>
    <w:rsid w:val="00426056"/>
    <w:rsid w:val="004273A4"/>
    <w:rsid w:val="004276AC"/>
    <w:rsid w:val="004278D4"/>
    <w:rsid w:val="00430AF6"/>
    <w:rsid w:val="004312FA"/>
    <w:rsid w:val="00432C72"/>
    <w:rsid w:val="004333E2"/>
    <w:rsid w:val="00433CA9"/>
    <w:rsid w:val="00433F6B"/>
    <w:rsid w:val="0043433C"/>
    <w:rsid w:val="00434352"/>
    <w:rsid w:val="0043521D"/>
    <w:rsid w:val="004354FE"/>
    <w:rsid w:val="004356AB"/>
    <w:rsid w:val="004363DA"/>
    <w:rsid w:val="0043674A"/>
    <w:rsid w:val="00436A4A"/>
    <w:rsid w:val="00437DFF"/>
    <w:rsid w:val="00442024"/>
    <w:rsid w:val="00442215"/>
    <w:rsid w:val="00442285"/>
    <w:rsid w:val="0044254C"/>
    <w:rsid w:val="004427BB"/>
    <w:rsid w:val="00442867"/>
    <w:rsid w:val="004433C9"/>
    <w:rsid w:val="00443BA0"/>
    <w:rsid w:val="00443F6A"/>
    <w:rsid w:val="00446654"/>
    <w:rsid w:val="004467FE"/>
    <w:rsid w:val="004477CC"/>
    <w:rsid w:val="00450A17"/>
    <w:rsid w:val="00450DCA"/>
    <w:rsid w:val="00451805"/>
    <w:rsid w:val="00451D8C"/>
    <w:rsid w:val="0045357E"/>
    <w:rsid w:val="004537DF"/>
    <w:rsid w:val="0045383D"/>
    <w:rsid w:val="00454549"/>
    <w:rsid w:val="0045471F"/>
    <w:rsid w:val="0045545C"/>
    <w:rsid w:val="004561B5"/>
    <w:rsid w:val="00456200"/>
    <w:rsid w:val="004568B4"/>
    <w:rsid w:val="0045720F"/>
    <w:rsid w:val="00457328"/>
    <w:rsid w:val="004615D1"/>
    <w:rsid w:val="004616E3"/>
    <w:rsid w:val="004634B4"/>
    <w:rsid w:val="004641FB"/>
    <w:rsid w:val="004647A6"/>
    <w:rsid w:val="004650B4"/>
    <w:rsid w:val="00465E46"/>
    <w:rsid w:val="00466133"/>
    <w:rsid w:val="00466321"/>
    <w:rsid w:val="004667A2"/>
    <w:rsid w:val="004672AF"/>
    <w:rsid w:val="00471375"/>
    <w:rsid w:val="00471780"/>
    <w:rsid w:val="0047183D"/>
    <w:rsid w:val="004727B0"/>
    <w:rsid w:val="00472E53"/>
    <w:rsid w:val="004742CC"/>
    <w:rsid w:val="00475316"/>
    <w:rsid w:val="004757B6"/>
    <w:rsid w:val="00475EDF"/>
    <w:rsid w:val="0047674A"/>
    <w:rsid w:val="004767E8"/>
    <w:rsid w:val="00477F49"/>
    <w:rsid w:val="00480247"/>
    <w:rsid w:val="004804E9"/>
    <w:rsid w:val="00480789"/>
    <w:rsid w:val="0048081D"/>
    <w:rsid w:val="0048117E"/>
    <w:rsid w:val="00481758"/>
    <w:rsid w:val="00483151"/>
    <w:rsid w:val="00483334"/>
    <w:rsid w:val="0048347E"/>
    <w:rsid w:val="00483F79"/>
    <w:rsid w:val="00484116"/>
    <w:rsid w:val="00484F76"/>
    <w:rsid w:val="004855F6"/>
    <w:rsid w:val="004857D2"/>
    <w:rsid w:val="00486F0C"/>
    <w:rsid w:val="00487273"/>
    <w:rsid w:val="00491DB0"/>
    <w:rsid w:val="004924E6"/>
    <w:rsid w:val="00493B6E"/>
    <w:rsid w:val="00493C18"/>
    <w:rsid w:val="004942D3"/>
    <w:rsid w:val="00494670"/>
    <w:rsid w:val="00494B37"/>
    <w:rsid w:val="00494BC9"/>
    <w:rsid w:val="004951B9"/>
    <w:rsid w:val="004A0EB4"/>
    <w:rsid w:val="004A0EB5"/>
    <w:rsid w:val="004A1E56"/>
    <w:rsid w:val="004A3722"/>
    <w:rsid w:val="004A3823"/>
    <w:rsid w:val="004A3B92"/>
    <w:rsid w:val="004A4D74"/>
    <w:rsid w:val="004A52E8"/>
    <w:rsid w:val="004A59BB"/>
    <w:rsid w:val="004A6412"/>
    <w:rsid w:val="004A68C4"/>
    <w:rsid w:val="004A7ED6"/>
    <w:rsid w:val="004B0028"/>
    <w:rsid w:val="004B0AAF"/>
    <w:rsid w:val="004B0E21"/>
    <w:rsid w:val="004B260F"/>
    <w:rsid w:val="004B34EB"/>
    <w:rsid w:val="004B43A3"/>
    <w:rsid w:val="004B44E3"/>
    <w:rsid w:val="004B4C49"/>
    <w:rsid w:val="004B50E2"/>
    <w:rsid w:val="004B58A5"/>
    <w:rsid w:val="004B63D9"/>
    <w:rsid w:val="004C052F"/>
    <w:rsid w:val="004C0882"/>
    <w:rsid w:val="004C093B"/>
    <w:rsid w:val="004C19EC"/>
    <w:rsid w:val="004C1BC1"/>
    <w:rsid w:val="004C308D"/>
    <w:rsid w:val="004C5468"/>
    <w:rsid w:val="004C55BE"/>
    <w:rsid w:val="004D0457"/>
    <w:rsid w:val="004D2B26"/>
    <w:rsid w:val="004D3668"/>
    <w:rsid w:val="004D3BC7"/>
    <w:rsid w:val="004D3D91"/>
    <w:rsid w:val="004D4C8B"/>
    <w:rsid w:val="004D5791"/>
    <w:rsid w:val="004D7615"/>
    <w:rsid w:val="004D7743"/>
    <w:rsid w:val="004E1194"/>
    <w:rsid w:val="004E1C7B"/>
    <w:rsid w:val="004E20A9"/>
    <w:rsid w:val="004E3203"/>
    <w:rsid w:val="004E3822"/>
    <w:rsid w:val="004E4CD4"/>
    <w:rsid w:val="004E4E65"/>
    <w:rsid w:val="004E5213"/>
    <w:rsid w:val="004E5281"/>
    <w:rsid w:val="004E5B30"/>
    <w:rsid w:val="004E6EFB"/>
    <w:rsid w:val="004E7898"/>
    <w:rsid w:val="004F0707"/>
    <w:rsid w:val="004F0779"/>
    <w:rsid w:val="004F1230"/>
    <w:rsid w:val="004F150A"/>
    <w:rsid w:val="004F173F"/>
    <w:rsid w:val="004F177C"/>
    <w:rsid w:val="004F1BAE"/>
    <w:rsid w:val="004F2020"/>
    <w:rsid w:val="004F2DCE"/>
    <w:rsid w:val="004F4315"/>
    <w:rsid w:val="004F4E95"/>
    <w:rsid w:val="004F679C"/>
    <w:rsid w:val="004F6CD1"/>
    <w:rsid w:val="004F7130"/>
    <w:rsid w:val="005003A9"/>
    <w:rsid w:val="00500617"/>
    <w:rsid w:val="00501F58"/>
    <w:rsid w:val="00502201"/>
    <w:rsid w:val="0050286E"/>
    <w:rsid w:val="00503993"/>
    <w:rsid w:val="005039CB"/>
    <w:rsid w:val="00504CD7"/>
    <w:rsid w:val="0050558F"/>
    <w:rsid w:val="005057E0"/>
    <w:rsid w:val="00506286"/>
    <w:rsid w:val="00506EAF"/>
    <w:rsid w:val="0050702C"/>
    <w:rsid w:val="00510813"/>
    <w:rsid w:val="00511D03"/>
    <w:rsid w:val="00511DE0"/>
    <w:rsid w:val="00512426"/>
    <w:rsid w:val="0051308B"/>
    <w:rsid w:val="0051422F"/>
    <w:rsid w:val="00515946"/>
    <w:rsid w:val="0051647E"/>
    <w:rsid w:val="00517303"/>
    <w:rsid w:val="00517319"/>
    <w:rsid w:val="00517AB5"/>
    <w:rsid w:val="00517F02"/>
    <w:rsid w:val="00517FBD"/>
    <w:rsid w:val="00521D30"/>
    <w:rsid w:val="00521F30"/>
    <w:rsid w:val="00524547"/>
    <w:rsid w:val="00524988"/>
    <w:rsid w:val="005258A2"/>
    <w:rsid w:val="00525A9E"/>
    <w:rsid w:val="00525CBF"/>
    <w:rsid w:val="005262AD"/>
    <w:rsid w:val="005264C2"/>
    <w:rsid w:val="00526A33"/>
    <w:rsid w:val="00526B4A"/>
    <w:rsid w:val="00526DEF"/>
    <w:rsid w:val="00527E7F"/>
    <w:rsid w:val="00527FCA"/>
    <w:rsid w:val="00530997"/>
    <w:rsid w:val="00530D6E"/>
    <w:rsid w:val="00530F7C"/>
    <w:rsid w:val="0053164E"/>
    <w:rsid w:val="00532915"/>
    <w:rsid w:val="00533718"/>
    <w:rsid w:val="00533E45"/>
    <w:rsid w:val="00534085"/>
    <w:rsid w:val="005344A7"/>
    <w:rsid w:val="00534567"/>
    <w:rsid w:val="00534F43"/>
    <w:rsid w:val="005353CD"/>
    <w:rsid w:val="00535A69"/>
    <w:rsid w:val="00535A84"/>
    <w:rsid w:val="00535AFB"/>
    <w:rsid w:val="005362E9"/>
    <w:rsid w:val="00536889"/>
    <w:rsid w:val="00536F31"/>
    <w:rsid w:val="005370A6"/>
    <w:rsid w:val="00537C36"/>
    <w:rsid w:val="00540A41"/>
    <w:rsid w:val="00542C25"/>
    <w:rsid w:val="00542E07"/>
    <w:rsid w:val="00543E76"/>
    <w:rsid w:val="0054425A"/>
    <w:rsid w:val="00544A5D"/>
    <w:rsid w:val="005465D2"/>
    <w:rsid w:val="0054754F"/>
    <w:rsid w:val="00550CC7"/>
    <w:rsid w:val="005511D9"/>
    <w:rsid w:val="005513F6"/>
    <w:rsid w:val="005516B1"/>
    <w:rsid w:val="00551FC8"/>
    <w:rsid w:val="00552BF2"/>
    <w:rsid w:val="00552EFC"/>
    <w:rsid w:val="0055495E"/>
    <w:rsid w:val="00554A7B"/>
    <w:rsid w:val="00554C5F"/>
    <w:rsid w:val="00555052"/>
    <w:rsid w:val="005553B4"/>
    <w:rsid w:val="0055572C"/>
    <w:rsid w:val="00557D3F"/>
    <w:rsid w:val="0056064F"/>
    <w:rsid w:val="00560CF9"/>
    <w:rsid w:val="00560D4C"/>
    <w:rsid w:val="00561B84"/>
    <w:rsid w:val="005624EB"/>
    <w:rsid w:val="00564103"/>
    <w:rsid w:val="00564173"/>
    <w:rsid w:val="00564183"/>
    <w:rsid w:val="0056580D"/>
    <w:rsid w:val="00567085"/>
    <w:rsid w:val="0057026E"/>
    <w:rsid w:val="005707B5"/>
    <w:rsid w:val="0057082F"/>
    <w:rsid w:val="00571D98"/>
    <w:rsid w:val="0057200D"/>
    <w:rsid w:val="005720AE"/>
    <w:rsid w:val="00575516"/>
    <w:rsid w:val="00575A1E"/>
    <w:rsid w:val="00575B6B"/>
    <w:rsid w:val="0057662A"/>
    <w:rsid w:val="00576E60"/>
    <w:rsid w:val="00577911"/>
    <w:rsid w:val="0058030D"/>
    <w:rsid w:val="00581495"/>
    <w:rsid w:val="0058166B"/>
    <w:rsid w:val="00581DE8"/>
    <w:rsid w:val="00581FC7"/>
    <w:rsid w:val="00582045"/>
    <w:rsid w:val="00582816"/>
    <w:rsid w:val="00582AB0"/>
    <w:rsid w:val="00585D06"/>
    <w:rsid w:val="00587992"/>
    <w:rsid w:val="00590AE3"/>
    <w:rsid w:val="005910D4"/>
    <w:rsid w:val="005918C0"/>
    <w:rsid w:val="005918F1"/>
    <w:rsid w:val="0059230C"/>
    <w:rsid w:val="00592776"/>
    <w:rsid w:val="005938D1"/>
    <w:rsid w:val="0059395C"/>
    <w:rsid w:val="00593C8E"/>
    <w:rsid w:val="00593CDB"/>
    <w:rsid w:val="00595DDA"/>
    <w:rsid w:val="00596E1B"/>
    <w:rsid w:val="00597D61"/>
    <w:rsid w:val="00597F35"/>
    <w:rsid w:val="005A06B7"/>
    <w:rsid w:val="005A1505"/>
    <w:rsid w:val="005A1759"/>
    <w:rsid w:val="005A3E46"/>
    <w:rsid w:val="005A524F"/>
    <w:rsid w:val="005A5C2E"/>
    <w:rsid w:val="005A6FAC"/>
    <w:rsid w:val="005A779E"/>
    <w:rsid w:val="005A7D4B"/>
    <w:rsid w:val="005B03BE"/>
    <w:rsid w:val="005B0C2E"/>
    <w:rsid w:val="005B13E6"/>
    <w:rsid w:val="005B2CBD"/>
    <w:rsid w:val="005B37FF"/>
    <w:rsid w:val="005B3FD6"/>
    <w:rsid w:val="005B4067"/>
    <w:rsid w:val="005B441C"/>
    <w:rsid w:val="005B47BA"/>
    <w:rsid w:val="005B4DD0"/>
    <w:rsid w:val="005B5570"/>
    <w:rsid w:val="005B7182"/>
    <w:rsid w:val="005B7724"/>
    <w:rsid w:val="005C0F0E"/>
    <w:rsid w:val="005C36CA"/>
    <w:rsid w:val="005D0369"/>
    <w:rsid w:val="005D12E7"/>
    <w:rsid w:val="005D1ADE"/>
    <w:rsid w:val="005D34B7"/>
    <w:rsid w:val="005D3751"/>
    <w:rsid w:val="005D53FE"/>
    <w:rsid w:val="005D6697"/>
    <w:rsid w:val="005D7A0F"/>
    <w:rsid w:val="005D7B62"/>
    <w:rsid w:val="005E0438"/>
    <w:rsid w:val="005E057C"/>
    <w:rsid w:val="005E1791"/>
    <w:rsid w:val="005E1B2B"/>
    <w:rsid w:val="005E21C7"/>
    <w:rsid w:val="005E2523"/>
    <w:rsid w:val="005E25B5"/>
    <w:rsid w:val="005E2837"/>
    <w:rsid w:val="005E2CE6"/>
    <w:rsid w:val="005E2CEB"/>
    <w:rsid w:val="005E3C5B"/>
    <w:rsid w:val="005E472D"/>
    <w:rsid w:val="005E4DA4"/>
    <w:rsid w:val="005E5546"/>
    <w:rsid w:val="005E5B6E"/>
    <w:rsid w:val="005E6324"/>
    <w:rsid w:val="005E6D66"/>
    <w:rsid w:val="005E7031"/>
    <w:rsid w:val="005E7079"/>
    <w:rsid w:val="005F09E3"/>
    <w:rsid w:val="005F0C7D"/>
    <w:rsid w:val="005F1F4E"/>
    <w:rsid w:val="005F1FFA"/>
    <w:rsid w:val="005F228B"/>
    <w:rsid w:val="005F2771"/>
    <w:rsid w:val="005F2831"/>
    <w:rsid w:val="005F29CD"/>
    <w:rsid w:val="005F2D39"/>
    <w:rsid w:val="005F335F"/>
    <w:rsid w:val="005F37E1"/>
    <w:rsid w:val="005F46CD"/>
    <w:rsid w:val="005F4A1A"/>
    <w:rsid w:val="005F4DFB"/>
    <w:rsid w:val="005F541D"/>
    <w:rsid w:val="005F6BAF"/>
    <w:rsid w:val="005F6CC0"/>
    <w:rsid w:val="005F7038"/>
    <w:rsid w:val="005F770E"/>
    <w:rsid w:val="005F7EED"/>
    <w:rsid w:val="00600375"/>
    <w:rsid w:val="006005C7"/>
    <w:rsid w:val="00601198"/>
    <w:rsid w:val="00601896"/>
    <w:rsid w:val="006019B7"/>
    <w:rsid w:val="00601D0F"/>
    <w:rsid w:val="006038CD"/>
    <w:rsid w:val="00603E5B"/>
    <w:rsid w:val="00603E8F"/>
    <w:rsid w:val="00604BC8"/>
    <w:rsid w:val="00604F75"/>
    <w:rsid w:val="0060533B"/>
    <w:rsid w:val="00605905"/>
    <w:rsid w:val="00605AF5"/>
    <w:rsid w:val="00606002"/>
    <w:rsid w:val="00607185"/>
    <w:rsid w:val="00607B8D"/>
    <w:rsid w:val="00611707"/>
    <w:rsid w:val="00611BB4"/>
    <w:rsid w:val="00612345"/>
    <w:rsid w:val="0061280A"/>
    <w:rsid w:val="00613C3A"/>
    <w:rsid w:val="00613C99"/>
    <w:rsid w:val="00614180"/>
    <w:rsid w:val="006144F8"/>
    <w:rsid w:val="00615908"/>
    <w:rsid w:val="00615B4C"/>
    <w:rsid w:val="00615B5D"/>
    <w:rsid w:val="0061628A"/>
    <w:rsid w:val="0061673A"/>
    <w:rsid w:val="006169AE"/>
    <w:rsid w:val="00617493"/>
    <w:rsid w:val="00617596"/>
    <w:rsid w:val="00617957"/>
    <w:rsid w:val="00617D15"/>
    <w:rsid w:val="00620887"/>
    <w:rsid w:val="0062146F"/>
    <w:rsid w:val="00621F83"/>
    <w:rsid w:val="00623DF4"/>
    <w:rsid w:val="00624C6F"/>
    <w:rsid w:val="006255D8"/>
    <w:rsid w:val="006266C8"/>
    <w:rsid w:val="0062783C"/>
    <w:rsid w:val="00627B70"/>
    <w:rsid w:val="00627EA6"/>
    <w:rsid w:val="00630377"/>
    <w:rsid w:val="0063107E"/>
    <w:rsid w:val="006329D7"/>
    <w:rsid w:val="006335FE"/>
    <w:rsid w:val="006343AF"/>
    <w:rsid w:val="00634579"/>
    <w:rsid w:val="006361B5"/>
    <w:rsid w:val="0063634A"/>
    <w:rsid w:val="00636F74"/>
    <w:rsid w:val="00637550"/>
    <w:rsid w:val="00640284"/>
    <w:rsid w:val="006404D4"/>
    <w:rsid w:val="00640558"/>
    <w:rsid w:val="00641FE2"/>
    <w:rsid w:val="0064250D"/>
    <w:rsid w:val="00643EC1"/>
    <w:rsid w:val="0064432C"/>
    <w:rsid w:val="00646049"/>
    <w:rsid w:val="00646554"/>
    <w:rsid w:val="00646956"/>
    <w:rsid w:val="00647C85"/>
    <w:rsid w:val="00650F1B"/>
    <w:rsid w:val="0065311F"/>
    <w:rsid w:val="006535EB"/>
    <w:rsid w:val="006536D8"/>
    <w:rsid w:val="00654334"/>
    <w:rsid w:val="006546DA"/>
    <w:rsid w:val="00655541"/>
    <w:rsid w:val="00655A86"/>
    <w:rsid w:val="00655C9B"/>
    <w:rsid w:val="0065601E"/>
    <w:rsid w:val="00657CB7"/>
    <w:rsid w:val="006603E4"/>
    <w:rsid w:val="006606B9"/>
    <w:rsid w:val="00661188"/>
    <w:rsid w:val="006613F3"/>
    <w:rsid w:val="006624A0"/>
    <w:rsid w:val="0066260A"/>
    <w:rsid w:val="00662D5C"/>
    <w:rsid w:val="00663016"/>
    <w:rsid w:val="00663359"/>
    <w:rsid w:val="0066385A"/>
    <w:rsid w:val="006638DF"/>
    <w:rsid w:val="0066429B"/>
    <w:rsid w:val="006649E0"/>
    <w:rsid w:val="00664A5E"/>
    <w:rsid w:val="0066586F"/>
    <w:rsid w:val="0066597A"/>
    <w:rsid w:val="006664A8"/>
    <w:rsid w:val="00667B18"/>
    <w:rsid w:val="0067119C"/>
    <w:rsid w:val="00672B63"/>
    <w:rsid w:val="00674605"/>
    <w:rsid w:val="006748B8"/>
    <w:rsid w:val="00674AEF"/>
    <w:rsid w:val="00674D0F"/>
    <w:rsid w:val="006756AC"/>
    <w:rsid w:val="006767BA"/>
    <w:rsid w:val="00676D9F"/>
    <w:rsid w:val="0067767C"/>
    <w:rsid w:val="00677CD9"/>
    <w:rsid w:val="0068199C"/>
    <w:rsid w:val="00681D9E"/>
    <w:rsid w:val="00682BD3"/>
    <w:rsid w:val="006833C7"/>
    <w:rsid w:val="0068487F"/>
    <w:rsid w:val="0068535B"/>
    <w:rsid w:val="00687340"/>
    <w:rsid w:val="0068736E"/>
    <w:rsid w:val="00690E63"/>
    <w:rsid w:val="006914BA"/>
    <w:rsid w:val="00691DB5"/>
    <w:rsid w:val="0069290A"/>
    <w:rsid w:val="00692D39"/>
    <w:rsid w:val="0069353C"/>
    <w:rsid w:val="00694183"/>
    <w:rsid w:val="00696A9C"/>
    <w:rsid w:val="00696BA5"/>
    <w:rsid w:val="00697032"/>
    <w:rsid w:val="00697105"/>
    <w:rsid w:val="006975AC"/>
    <w:rsid w:val="006977D7"/>
    <w:rsid w:val="00697FE1"/>
    <w:rsid w:val="006A03B2"/>
    <w:rsid w:val="006A0876"/>
    <w:rsid w:val="006A0CC3"/>
    <w:rsid w:val="006A14E2"/>
    <w:rsid w:val="006A15FB"/>
    <w:rsid w:val="006A2060"/>
    <w:rsid w:val="006A2982"/>
    <w:rsid w:val="006A2E3B"/>
    <w:rsid w:val="006A47CB"/>
    <w:rsid w:val="006A64B6"/>
    <w:rsid w:val="006A6A22"/>
    <w:rsid w:val="006A6D11"/>
    <w:rsid w:val="006A70B2"/>
    <w:rsid w:val="006A72BF"/>
    <w:rsid w:val="006A799E"/>
    <w:rsid w:val="006B0C5D"/>
    <w:rsid w:val="006B230E"/>
    <w:rsid w:val="006B332A"/>
    <w:rsid w:val="006B335E"/>
    <w:rsid w:val="006B33BD"/>
    <w:rsid w:val="006B4163"/>
    <w:rsid w:val="006B4A0B"/>
    <w:rsid w:val="006B4A4B"/>
    <w:rsid w:val="006B7843"/>
    <w:rsid w:val="006B7BF5"/>
    <w:rsid w:val="006C00F9"/>
    <w:rsid w:val="006C0DB6"/>
    <w:rsid w:val="006C146F"/>
    <w:rsid w:val="006C246A"/>
    <w:rsid w:val="006C3663"/>
    <w:rsid w:val="006C3ACB"/>
    <w:rsid w:val="006C3F75"/>
    <w:rsid w:val="006C44B4"/>
    <w:rsid w:val="006C4973"/>
    <w:rsid w:val="006C5486"/>
    <w:rsid w:val="006C5ACA"/>
    <w:rsid w:val="006D170E"/>
    <w:rsid w:val="006D38E2"/>
    <w:rsid w:val="006D4EF5"/>
    <w:rsid w:val="006D5215"/>
    <w:rsid w:val="006D59BE"/>
    <w:rsid w:val="006D5CD7"/>
    <w:rsid w:val="006D64AF"/>
    <w:rsid w:val="006D72B8"/>
    <w:rsid w:val="006D7A90"/>
    <w:rsid w:val="006D7B3C"/>
    <w:rsid w:val="006D7C23"/>
    <w:rsid w:val="006E06AF"/>
    <w:rsid w:val="006E15E4"/>
    <w:rsid w:val="006E1C78"/>
    <w:rsid w:val="006E324E"/>
    <w:rsid w:val="006E59D3"/>
    <w:rsid w:val="006E5E1A"/>
    <w:rsid w:val="006E6836"/>
    <w:rsid w:val="006E6B1B"/>
    <w:rsid w:val="006E7719"/>
    <w:rsid w:val="006F0616"/>
    <w:rsid w:val="006F0BD4"/>
    <w:rsid w:val="006F1212"/>
    <w:rsid w:val="006F1789"/>
    <w:rsid w:val="006F1FBB"/>
    <w:rsid w:val="006F2879"/>
    <w:rsid w:val="006F2C66"/>
    <w:rsid w:val="006F332F"/>
    <w:rsid w:val="006F3544"/>
    <w:rsid w:val="006F41B6"/>
    <w:rsid w:val="006F6219"/>
    <w:rsid w:val="006F64F8"/>
    <w:rsid w:val="006F768B"/>
    <w:rsid w:val="00700583"/>
    <w:rsid w:val="00701376"/>
    <w:rsid w:val="007018A6"/>
    <w:rsid w:val="00702354"/>
    <w:rsid w:val="007045A6"/>
    <w:rsid w:val="007047F1"/>
    <w:rsid w:val="007054F9"/>
    <w:rsid w:val="00706597"/>
    <w:rsid w:val="00706C5D"/>
    <w:rsid w:val="00710C00"/>
    <w:rsid w:val="007112EF"/>
    <w:rsid w:val="007118E6"/>
    <w:rsid w:val="00711C2B"/>
    <w:rsid w:val="00712F8F"/>
    <w:rsid w:val="0071646E"/>
    <w:rsid w:val="007164F8"/>
    <w:rsid w:val="0071670D"/>
    <w:rsid w:val="00717F92"/>
    <w:rsid w:val="00720164"/>
    <w:rsid w:val="00720FA9"/>
    <w:rsid w:val="00721CDD"/>
    <w:rsid w:val="007225C9"/>
    <w:rsid w:val="007228D3"/>
    <w:rsid w:val="00722B1E"/>
    <w:rsid w:val="00722F89"/>
    <w:rsid w:val="00723751"/>
    <w:rsid w:val="007239FB"/>
    <w:rsid w:val="00724176"/>
    <w:rsid w:val="00724BD8"/>
    <w:rsid w:val="0072661A"/>
    <w:rsid w:val="0072725D"/>
    <w:rsid w:val="00727A23"/>
    <w:rsid w:val="00727ED5"/>
    <w:rsid w:val="00731187"/>
    <w:rsid w:val="00731913"/>
    <w:rsid w:val="00731D75"/>
    <w:rsid w:val="00732E6A"/>
    <w:rsid w:val="00733784"/>
    <w:rsid w:val="0073399C"/>
    <w:rsid w:val="00734820"/>
    <w:rsid w:val="0073485F"/>
    <w:rsid w:val="00734CB0"/>
    <w:rsid w:val="00735CD7"/>
    <w:rsid w:val="007377F7"/>
    <w:rsid w:val="00737A53"/>
    <w:rsid w:val="00744535"/>
    <w:rsid w:val="007448B8"/>
    <w:rsid w:val="00744AFC"/>
    <w:rsid w:val="00745204"/>
    <w:rsid w:val="007458AD"/>
    <w:rsid w:val="00745D63"/>
    <w:rsid w:val="0074614C"/>
    <w:rsid w:val="00746800"/>
    <w:rsid w:val="00746E8A"/>
    <w:rsid w:val="007500A2"/>
    <w:rsid w:val="007517E9"/>
    <w:rsid w:val="00751A04"/>
    <w:rsid w:val="007525EE"/>
    <w:rsid w:val="00753770"/>
    <w:rsid w:val="00754034"/>
    <w:rsid w:val="007548E6"/>
    <w:rsid w:val="00754BF1"/>
    <w:rsid w:val="00754C78"/>
    <w:rsid w:val="007554A9"/>
    <w:rsid w:val="00755A30"/>
    <w:rsid w:val="00755E1C"/>
    <w:rsid w:val="00756556"/>
    <w:rsid w:val="0075688D"/>
    <w:rsid w:val="00756E7D"/>
    <w:rsid w:val="007601FB"/>
    <w:rsid w:val="00760364"/>
    <w:rsid w:val="00760A2D"/>
    <w:rsid w:val="0076132B"/>
    <w:rsid w:val="00761B68"/>
    <w:rsid w:val="007623AE"/>
    <w:rsid w:val="007624FA"/>
    <w:rsid w:val="007625BD"/>
    <w:rsid w:val="00766DCE"/>
    <w:rsid w:val="007678AA"/>
    <w:rsid w:val="00767F1A"/>
    <w:rsid w:val="0077068C"/>
    <w:rsid w:val="007708F1"/>
    <w:rsid w:val="00770B19"/>
    <w:rsid w:val="0077153B"/>
    <w:rsid w:val="00771A21"/>
    <w:rsid w:val="00773558"/>
    <w:rsid w:val="007737FE"/>
    <w:rsid w:val="0077417A"/>
    <w:rsid w:val="0077460D"/>
    <w:rsid w:val="007748DC"/>
    <w:rsid w:val="00774FA0"/>
    <w:rsid w:val="00776620"/>
    <w:rsid w:val="00776C90"/>
    <w:rsid w:val="00777B6D"/>
    <w:rsid w:val="00780376"/>
    <w:rsid w:val="00780C2F"/>
    <w:rsid w:val="00780FDD"/>
    <w:rsid w:val="00781A38"/>
    <w:rsid w:val="00781CD9"/>
    <w:rsid w:val="00781E2C"/>
    <w:rsid w:val="00782C2B"/>
    <w:rsid w:val="00783605"/>
    <w:rsid w:val="0078477C"/>
    <w:rsid w:val="00784855"/>
    <w:rsid w:val="00784F39"/>
    <w:rsid w:val="0078506E"/>
    <w:rsid w:val="007852A0"/>
    <w:rsid w:val="0078545C"/>
    <w:rsid w:val="00785D67"/>
    <w:rsid w:val="0078654B"/>
    <w:rsid w:val="00787A13"/>
    <w:rsid w:val="007905AE"/>
    <w:rsid w:val="007906C4"/>
    <w:rsid w:val="007908E3"/>
    <w:rsid w:val="007920A4"/>
    <w:rsid w:val="00792535"/>
    <w:rsid w:val="007930A3"/>
    <w:rsid w:val="00793302"/>
    <w:rsid w:val="00793BA7"/>
    <w:rsid w:val="007940EA"/>
    <w:rsid w:val="00794E20"/>
    <w:rsid w:val="007953D4"/>
    <w:rsid w:val="00795C3E"/>
    <w:rsid w:val="00796648"/>
    <w:rsid w:val="007967E8"/>
    <w:rsid w:val="00796961"/>
    <w:rsid w:val="00797923"/>
    <w:rsid w:val="00797F6D"/>
    <w:rsid w:val="007A0047"/>
    <w:rsid w:val="007A2494"/>
    <w:rsid w:val="007A48EF"/>
    <w:rsid w:val="007A5E12"/>
    <w:rsid w:val="007A5F43"/>
    <w:rsid w:val="007A63F2"/>
    <w:rsid w:val="007A68B3"/>
    <w:rsid w:val="007A6C4D"/>
    <w:rsid w:val="007A6E93"/>
    <w:rsid w:val="007A6F63"/>
    <w:rsid w:val="007A71C4"/>
    <w:rsid w:val="007A79D0"/>
    <w:rsid w:val="007A79E7"/>
    <w:rsid w:val="007B0522"/>
    <w:rsid w:val="007B1612"/>
    <w:rsid w:val="007B3026"/>
    <w:rsid w:val="007B3967"/>
    <w:rsid w:val="007B48AA"/>
    <w:rsid w:val="007B4C71"/>
    <w:rsid w:val="007B4DF4"/>
    <w:rsid w:val="007B569C"/>
    <w:rsid w:val="007B68DE"/>
    <w:rsid w:val="007B699C"/>
    <w:rsid w:val="007B7B05"/>
    <w:rsid w:val="007B7C31"/>
    <w:rsid w:val="007B7DAC"/>
    <w:rsid w:val="007B7E65"/>
    <w:rsid w:val="007C170B"/>
    <w:rsid w:val="007C1857"/>
    <w:rsid w:val="007C2163"/>
    <w:rsid w:val="007C2565"/>
    <w:rsid w:val="007C321C"/>
    <w:rsid w:val="007C514F"/>
    <w:rsid w:val="007C60D0"/>
    <w:rsid w:val="007C67B6"/>
    <w:rsid w:val="007C6DB0"/>
    <w:rsid w:val="007D0013"/>
    <w:rsid w:val="007D03BB"/>
    <w:rsid w:val="007D0720"/>
    <w:rsid w:val="007D0F95"/>
    <w:rsid w:val="007D1F46"/>
    <w:rsid w:val="007D213F"/>
    <w:rsid w:val="007D2B07"/>
    <w:rsid w:val="007D2B99"/>
    <w:rsid w:val="007D3A34"/>
    <w:rsid w:val="007D5153"/>
    <w:rsid w:val="007D6CB4"/>
    <w:rsid w:val="007D7D40"/>
    <w:rsid w:val="007D7DFC"/>
    <w:rsid w:val="007D7ECB"/>
    <w:rsid w:val="007D7EFD"/>
    <w:rsid w:val="007E0442"/>
    <w:rsid w:val="007E0C20"/>
    <w:rsid w:val="007E107F"/>
    <w:rsid w:val="007E25A1"/>
    <w:rsid w:val="007E394A"/>
    <w:rsid w:val="007E3B69"/>
    <w:rsid w:val="007E3B8E"/>
    <w:rsid w:val="007E3D2E"/>
    <w:rsid w:val="007E4531"/>
    <w:rsid w:val="007E4BD2"/>
    <w:rsid w:val="007E4F50"/>
    <w:rsid w:val="007E6C0B"/>
    <w:rsid w:val="007E7145"/>
    <w:rsid w:val="007E7321"/>
    <w:rsid w:val="007F09D4"/>
    <w:rsid w:val="007F126C"/>
    <w:rsid w:val="007F22ED"/>
    <w:rsid w:val="007F3071"/>
    <w:rsid w:val="007F30A0"/>
    <w:rsid w:val="007F3916"/>
    <w:rsid w:val="007F4876"/>
    <w:rsid w:val="007F4D7B"/>
    <w:rsid w:val="007F6EA7"/>
    <w:rsid w:val="00800748"/>
    <w:rsid w:val="008008E9"/>
    <w:rsid w:val="00801179"/>
    <w:rsid w:val="008012BD"/>
    <w:rsid w:val="0080198E"/>
    <w:rsid w:val="00802479"/>
    <w:rsid w:val="00802754"/>
    <w:rsid w:val="008033A9"/>
    <w:rsid w:val="00803D62"/>
    <w:rsid w:val="00804A5C"/>
    <w:rsid w:val="008051EB"/>
    <w:rsid w:val="00805372"/>
    <w:rsid w:val="00805589"/>
    <w:rsid w:val="00805B7B"/>
    <w:rsid w:val="00805F71"/>
    <w:rsid w:val="008068F9"/>
    <w:rsid w:val="00806C76"/>
    <w:rsid w:val="0080757C"/>
    <w:rsid w:val="00807DA4"/>
    <w:rsid w:val="008112AF"/>
    <w:rsid w:val="0081148A"/>
    <w:rsid w:val="00811D69"/>
    <w:rsid w:val="0081207D"/>
    <w:rsid w:val="0081293E"/>
    <w:rsid w:val="0081358A"/>
    <w:rsid w:val="00813921"/>
    <w:rsid w:val="008143DC"/>
    <w:rsid w:val="00814FFB"/>
    <w:rsid w:val="00815A7F"/>
    <w:rsid w:val="00820244"/>
    <w:rsid w:val="00820568"/>
    <w:rsid w:val="0082072E"/>
    <w:rsid w:val="00820A66"/>
    <w:rsid w:val="00820AFD"/>
    <w:rsid w:val="00822724"/>
    <w:rsid w:val="00823FDD"/>
    <w:rsid w:val="00824F73"/>
    <w:rsid w:val="0082543A"/>
    <w:rsid w:val="00831041"/>
    <w:rsid w:val="00831A80"/>
    <w:rsid w:val="00832DF3"/>
    <w:rsid w:val="00833059"/>
    <w:rsid w:val="008332C8"/>
    <w:rsid w:val="00833743"/>
    <w:rsid w:val="00833D82"/>
    <w:rsid w:val="008340A4"/>
    <w:rsid w:val="00834CDA"/>
    <w:rsid w:val="0083566D"/>
    <w:rsid w:val="00836799"/>
    <w:rsid w:val="00837028"/>
    <w:rsid w:val="00837131"/>
    <w:rsid w:val="0083776E"/>
    <w:rsid w:val="0084141C"/>
    <w:rsid w:val="008417E7"/>
    <w:rsid w:val="00841AB8"/>
    <w:rsid w:val="00845950"/>
    <w:rsid w:val="00845A91"/>
    <w:rsid w:val="00845F57"/>
    <w:rsid w:val="008470D4"/>
    <w:rsid w:val="008475ED"/>
    <w:rsid w:val="00847DE1"/>
    <w:rsid w:val="0085041E"/>
    <w:rsid w:val="0085160C"/>
    <w:rsid w:val="008521E0"/>
    <w:rsid w:val="008522C2"/>
    <w:rsid w:val="0085239B"/>
    <w:rsid w:val="008525B0"/>
    <w:rsid w:val="00852660"/>
    <w:rsid w:val="00852DAB"/>
    <w:rsid w:val="00853BC5"/>
    <w:rsid w:val="00854648"/>
    <w:rsid w:val="008546F5"/>
    <w:rsid w:val="008547AB"/>
    <w:rsid w:val="008571B8"/>
    <w:rsid w:val="00857E5D"/>
    <w:rsid w:val="008600C5"/>
    <w:rsid w:val="00860324"/>
    <w:rsid w:val="00861860"/>
    <w:rsid w:val="00862937"/>
    <w:rsid w:val="008634E7"/>
    <w:rsid w:val="0086422A"/>
    <w:rsid w:val="00864AB6"/>
    <w:rsid w:val="00865BB6"/>
    <w:rsid w:val="00867894"/>
    <w:rsid w:val="00867CBC"/>
    <w:rsid w:val="0087021E"/>
    <w:rsid w:val="00870C01"/>
    <w:rsid w:val="0087163C"/>
    <w:rsid w:val="008719E0"/>
    <w:rsid w:val="008719F0"/>
    <w:rsid w:val="00872391"/>
    <w:rsid w:val="008724D1"/>
    <w:rsid w:val="008728F6"/>
    <w:rsid w:val="00873589"/>
    <w:rsid w:val="00873D1A"/>
    <w:rsid w:val="00873DA9"/>
    <w:rsid w:val="00874E39"/>
    <w:rsid w:val="00876C30"/>
    <w:rsid w:val="00877017"/>
    <w:rsid w:val="0087731C"/>
    <w:rsid w:val="008773C0"/>
    <w:rsid w:val="00880364"/>
    <w:rsid w:val="008804F7"/>
    <w:rsid w:val="0088214D"/>
    <w:rsid w:val="00884AA4"/>
    <w:rsid w:val="008853E5"/>
    <w:rsid w:val="008859AD"/>
    <w:rsid w:val="00886806"/>
    <w:rsid w:val="00886C4C"/>
    <w:rsid w:val="00886E6A"/>
    <w:rsid w:val="00886EFC"/>
    <w:rsid w:val="0088711C"/>
    <w:rsid w:val="008901CD"/>
    <w:rsid w:val="00890F2A"/>
    <w:rsid w:val="00891824"/>
    <w:rsid w:val="00892779"/>
    <w:rsid w:val="008927C6"/>
    <w:rsid w:val="00892A48"/>
    <w:rsid w:val="00892ECF"/>
    <w:rsid w:val="00892F06"/>
    <w:rsid w:val="0089413F"/>
    <w:rsid w:val="00894285"/>
    <w:rsid w:val="00894460"/>
    <w:rsid w:val="00894881"/>
    <w:rsid w:val="00895C57"/>
    <w:rsid w:val="00896240"/>
    <w:rsid w:val="008974EB"/>
    <w:rsid w:val="0089772B"/>
    <w:rsid w:val="008A0016"/>
    <w:rsid w:val="008A1C2A"/>
    <w:rsid w:val="008A3687"/>
    <w:rsid w:val="008A368A"/>
    <w:rsid w:val="008A40AE"/>
    <w:rsid w:val="008A4E19"/>
    <w:rsid w:val="008A5CCE"/>
    <w:rsid w:val="008A5CEE"/>
    <w:rsid w:val="008A67C5"/>
    <w:rsid w:val="008A6AA7"/>
    <w:rsid w:val="008B09A9"/>
    <w:rsid w:val="008B0EFF"/>
    <w:rsid w:val="008B11FA"/>
    <w:rsid w:val="008B22E1"/>
    <w:rsid w:val="008B36CF"/>
    <w:rsid w:val="008B3C78"/>
    <w:rsid w:val="008B3CBC"/>
    <w:rsid w:val="008B4AE9"/>
    <w:rsid w:val="008B5180"/>
    <w:rsid w:val="008B633B"/>
    <w:rsid w:val="008C0436"/>
    <w:rsid w:val="008C0F26"/>
    <w:rsid w:val="008C1292"/>
    <w:rsid w:val="008C15BF"/>
    <w:rsid w:val="008C1AC5"/>
    <w:rsid w:val="008C2125"/>
    <w:rsid w:val="008C2344"/>
    <w:rsid w:val="008C28CE"/>
    <w:rsid w:val="008C2C49"/>
    <w:rsid w:val="008C30AD"/>
    <w:rsid w:val="008C4910"/>
    <w:rsid w:val="008C4C41"/>
    <w:rsid w:val="008C692C"/>
    <w:rsid w:val="008C6A25"/>
    <w:rsid w:val="008C6ED1"/>
    <w:rsid w:val="008C7B8D"/>
    <w:rsid w:val="008D068E"/>
    <w:rsid w:val="008D0CCD"/>
    <w:rsid w:val="008D0F7A"/>
    <w:rsid w:val="008D14EC"/>
    <w:rsid w:val="008D195C"/>
    <w:rsid w:val="008D3289"/>
    <w:rsid w:val="008D4491"/>
    <w:rsid w:val="008D4A2A"/>
    <w:rsid w:val="008D4D73"/>
    <w:rsid w:val="008D4EE8"/>
    <w:rsid w:val="008D512A"/>
    <w:rsid w:val="008D5B62"/>
    <w:rsid w:val="008D5BCF"/>
    <w:rsid w:val="008D63BE"/>
    <w:rsid w:val="008D70B3"/>
    <w:rsid w:val="008E0CFF"/>
    <w:rsid w:val="008E0DDB"/>
    <w:rsid w:val="008E0EDF"/>
    <w:rsid w:val="008E550B"/>
    <w:rsid w:val="008E5D6B"/>
    <w:rsid w:val="008E5EED"/>
    <w:rsid w:val="008E689B"/>
    <w:rsid w:val="008E6FAE"/>
    <w:rsid w:val="008E7543"/>
    <w:rsid w:val="008E76F0"/>
    <w:rsid w:val="008F15FE"/>
    <w:rsid w:val="008F1CA5"/>
    <w:rsid w:val="008F2A94"/>
    <w:rsid w:val="008F3100"/>
    <w:rsid w:val="008F3463"/>
    <w:rsid w:val="008F50A5"/>
    <w:rsid w:val="008F5187"/>
    <w:rsid w:val="008F5B7A"/>
    <w:rsid w:val="008F672D"/>
    <w:rsid w:val="008F6DF5"/>
    <w:rsid w:val="008F6FBA"/>
    <w:rsid w:val="008F709C"/>
    <w:rsid w:val="008F78F3"/>
    <w:rsid w:val="00901414"/>
    <w:rsid w:val="0090188A"/>
    <w:rsid w:val="00901C99"/>
    <w:rsid w:val="0090233F"/>
    <w:rsid w:val="00902581"/>
    <w:rsid w:val="00902A62"/>
    <w:rsid w:val="0090312B"/>
    <w:rsid w:val="00903274"/>
    <w:rsid w:val="009039B2"/>
    <w:rsid w:val="00903FD9"/>
    <w:rsid w:val="0090444B"/>
    <w:rsid w:val="00904961"/>
    <w:rsid w:val="009049D8"/>
    <w:rsid w:val="00904E8F"/>
    <w:rsid w:val="00905EA2"/>
    <w:rsid w:val="00906936"/>
    <w:rsid w:val="00907F17"/>
    <w:rsid w:val="00910716"/>
    <w:rsid w:val="009110E5"/>
    <w:rsid w:val="00911142"/>
    <w:rsid w:val="00911335"/>
    <w:rsid w:val="00912FA0"/>
    <w:rsid w:val="009131E6"/>
    <w:rsid w:val="00914D43"/>
    <w:rsid w:val="00914DE7"/>
    <w:rsid w:val="00916116"/>
    <w:rsid w:val="00916D8C"/>
    <w:rsid w:val="009172B9"/>
    <w:rsid w:val="0091736D"/>
    <w:rsid w:val="00917453"/>
    <w:rsid w:val="009174D9"/>
    <w:rsid w:val="00917DA4"/>
    <w:rsid w:val="00921592"/>
    <w:rsid w:val="00923DC2"/>
    <w:rsid w:val="00923FD5"/>
    <w:rsid w:val="00925384"/>
    <w:rsid w:val="0092556D"/>
    <w:rsid w:val="009255BE"/>
    <w:rsid w:val="009260A0"/>
    <w:rsid w:val="00926FE8"/>
    <w:rsid w:val="009270C1"/>
    <w:rsid w:val="00930024"/>
    <w:rsid w:val="00930310"/>
    <w:rsid w:val="00931001"/>
    <w:rsid w:val="00931863"/>
    <w:rsid w:val="00932B82"/>
    <w:rsid w:val="00933524"/>
    <w:rsid w:val="00934C54"/>
    <w:rsid w:val="00935222"/>
    <w:rsid w:val="00935CFD"/>
    <w:rsid w:val="00936333"/>
    <w:rsid w:val="00936A93"/>
    <w:rsid w:val="00937A23"/>
    <w:rsid w:val="00940918"/>
    <w:rsid w:val="0094093D"/>
    <w:rsid w:val="00941B17"/>
    <w:rsid w:val="00942055"/>
    <w:rsid w:val="0094278D"/>
    <w:rsid w:val="00944511"/>
    <w:rsid w:val="00945745"/>
    <w:rsid w:val="00946486"/>
    <w:rsid w:val="00947A23"/>
    <w:rsid w:val="009512C6"/>
    <w:rsid w:val="0095167C"/>
    <w:rsid w:val="00952C24"/>
    <w:rsid w:val="00952E5B"/>
    <w:rsid w:val="0095308A"/>
    <w:rsid w:val="00953139"/>
    <w:rsid w:val="009531C6"/>
    <w:rsid w:val="009532C3"/>
    <w:rsid w:val="009540BE"/>
    <w:rsid w:val="00954C0D"/>
    <w:rsid w:val="00955AEE"/>
    <w:rsid w:val="00955B36"/>
    <w:rsid w:val="00955ECB"/>
    <w:rsid w:val="0095687F"/>
    <w:rsid w:val="00956CD7"/>
    <w:rsid w:val="00956D65"/>
    <w:rsid w:val="00956F14"/>
    <w:rsid w:val="00957323"/>
    <w:rsid w:val="00957C58"/>
    <w:rsid w:val="0096050B"/>
    <w:rsid w:val="009620FD"/>
    <w:rsid w:val="0096247A"/>
    <w:rsid w:val="00963BC9"/>
    <w:rsid w:val="0096478A"/>
    <w:rsid w:val="00965122"/>
    <w:rsid w:val="00965394"/>
    <w:rsid w:val="0096570A"/>
    <w:rsid w:val="00965F4B"/>
    <w:rsid w:val="00966131"/>
    <w:rsid w:val="00967273"/>
    <w:rsid w:val="00967F86"/>
    <w:rsid w:val="00970BE6"/>
    <w:rsid w:val="00970F8A"/>
    <w:rsid w:val="009712B6"/>
    <w:rsid w:val="00971FB5"/>
    <w:rsid w:val="00972207"/>
    <w:rsid w:val="009728E1"/>
    <w:rsid w:val="00972BE2"/>
    <w:rsid w:val="00972D2A"/>
    <w:rsid w:val="009737FC"/>
    <w:rsid w:val="00974E40"/>
    <w:rsid w:val="00974F9D"/>
    <w:rsid w:val="00975868"/>
    <w:rsid w:val="00975CC5"/>
    <w:rsid w:val="00976328"/>
    <w:rsid w:val="00976A8D"/>
    <w:rsid w:val="00976B4E"/>
    <w:rsid w:val="0097781A"/>
    <w:rsid w:val="00977B7A"/>
    <w:rsid w:val="0098132D"/>
    <w:rsid w:val="009818F0"/>
    <w:rsid w:val="009830FE"/>
    <w:rsid w:val="00983FC4"/>
    <w:rsid w:val="00984458"/>
    <w:rsid w:val="0098458A"/>
    <w:rsid w:val="00985283"/>
    <w:rsid w:val="009864BF"/>
    <w:rsid w:val="00986513"/>
    <w:rsid w:val="0098702E"/>
    <w:rsid w:val="00987322"/>
    <w:rsid w:val="009874A1"/>
    <w:rsid w:val="00990450"/>
    <w:rsid w:val="009919CC"/>
    <w:rsid w:val="00992020"/>
    <w:rsid w:val="009937C9"/>
    <w:rsid w:val="00995673"/>
    <w:rsid w:val="00996B9B"/>
    <w:rsid w:val="00997BE5"/>
    <w:rsid w:val="00997D2B"/>
    <w:rsid w:val="009A09EC"/>
    <w:rsid w:val="009A0EEF"/>
    <w:rsid w:val="009A0F3B"/>
    <w:rsid w:val="009A1876"/>
    <w:rsid w:val="009A25FF"/>
    <w:rsid w:val="009A2A4F"/>
    <w:rsid w:val="009A4609"/>
    <w:rsid w:val="009A55FE"/>
    <w:rsid w:val="009A5B92"/>
    <w:rsid w:val="009A5E9F"/>
    <w:rsid w:val="009A64D2"/>
    <w:rsid w:val="009A6ACD"/>
    <w:rsid w:val="009A72C7"/>
    <w:rsid w:val="009B0897"/>
    <w:rsid w:val="009B1727"/>
    <w:rsid w:val="009B27CC"/>
    <w:rsid w:val="009B364B"/>
    <w:rsid w:val="009B3CA3"/>
    <w:rsid w:val="009B5741"/>
    <w:rsid w:val="009B7822"/>
    <w:rsid w:val="009C0847"/>
    <w:rsid w:val="009C0C6F"/>
    <w:rsid w:val="009C1F7A"/>
    <w:rsid w:val="009C2033"/>
    <w:rsid w:val="009C2A46"/>
    <w:rsid w:val="009C3672"/>
    <w:rsid w:val="009C3FFC"/>
    <w:rsid w:val="009C454A"/>
    <w:rsid w:val="009C4735"/>
    <w:rsid w:val="009C5E2C"/>
    <w:rsid w:val="009C5EB9"/>
    <w:rsid w:val="009C7079"/>
    <w:rsid w:val="009C795C"/>
    <w:rsid w:val="009D0852"/>
    <w:rsid w:val="009D0AE9"/>
    <w:rsid w:val="009D0D1B"/>
    <w:rsid w:val="009D1CD4"/>
    <w:rsid w:val="009D1FBF"/>
    <w:rsid w:val="009D1FC9"/>
    <w:rsid w:val="009D2204"/>
    <w:rsid w:val="009D2523"/>
    <w:rsid w:val="009D4B6B"/>
    <w:rsid w:val="009D64E5"/>
    <w:rsid w:val="009D72DF"/>
    <w:rsid w:val="009E00CF"/>
    <w:rsid w:val="009E0262"/>
    <w:rsid w:val="009E0F25"/>
    <w:rsid w:val="009E16CE"/>
    <w:rsid w:val="009E1EC9"/>
    <w:rsid w:val="009E3458"/>
    <w:rsid w:val="009E399C"/>
    <w:rsid w:val="009E414E"/>
    <w:rsid w:val="009E43C1"/>
    <w:rsid w:val="009E48EB"/>
    <w:rsid w:val="009E4A8A"/>
    <w:rsid w:val="009E5016"/>
    <w:rsid w:val="009E5845"/>
    <w:rsid w:val="009E6082"/>
    <w:rsid w:val="009E60D3"/>
    <w:rsid w:val="009E692B"/>
    <w:rsid w:val="009E70F5"/>
    <w:rsid w:val="009E7E95"/>
    <w:rsid w:val="009F01E5"/>
    <w:rsid w:val="009F116F"/>
    <w:rsid w:val="009F1943"/>
    <w:rsid w:val="009F1C8B"/>
    <w:rsid w:val="009F1D1E"/>
    <w:rsid w:val="009F2240"/>
    <w:rsid w:val="009F301F"/>
    <w:rsid w:val="009F329E"/>
    <w:rsid w:val="009F41D7"/>
    <w:rsid w:val="009F434D"/>
    <w:rsid w:val="009F48B8"/>
    <w:rsid w:val="009F589D"/>
    <w:rsid w:val="009F5BC7"/>
    <w:rsid w:val="009F5E9A"/>
    <w:rsid w:val="009F5FA3"/>
    <w:rsid w:val="009F68C5"/>
    <w:rsid w:val="009F7487"/>
    <w:rsid w:val="009F76D6"/>
    <w:rsid w:val="009F7ED3"/>
    <w:rsid w:val="00A03607"/>
    <w:rsid w:val="00A03909"/>
    <w:rsid w:val="00A047FF"/>
    <w:rsid w:val="00A0480B"/>
    <w:rsid w:val="00A04FEF"/>
    <w:rsid w:val="00A0561F"/>
    <w:rsid w:val="00A05A58"/>
    <w:rsid w:val="00A05D16"/>
    <w:rsid w:val="00A05F1F"/>
    <w:rsid w:val="00A06E0D"/>
    <w:rsid w:val="00A070F9"/>
    <w:rsid w:val="00A07656"/>
    <w:rsid w:val="00A11702"/>
    <w:rsid w:val="00A11C8A"/>
    <w:rsid w:val="00A12268"/>
    <w:rsid w:val="00A122CD"/>
    <w:rsid w:val="00A12426"/>
    <w:rsid w:val="00A127C4"/>
    <w:rsid w:val="00A12A32"/>
    <w:rsid w:val="00A130C9"/>
    <w:rsid w:val="00A137EE"/>
    <w:rsid w:val="00A13847"/>
    <w:rsid w:val="00A13FE7"/>
    <w:rsid w:val="00A14248"/>
    <w:rsid w:val="00A142CC"/>
    <w:rsid w:val="00A14947"/>
    <w:rsid w:val="00A155BE"/>
    <w:rsid w:val="00A15AC8"/>
    <w:rsid w:val="00A1642F"/>
    <w:rsid w:val="00A16A43"/>
    <w:rsid w:val="00A20125"/>
    <w:rsid w:val="00A2078C"/>
    <w:rsid w:val="00A2131B"/>
    <w:rsid w:val="00A23519"/>
    <w:rsid w:val="00A23DC5"/>
    <w:rsid w:val="00A243DB"/>
    <w:rsid w:val="00A248FD"/>
    <w:rsid w:val="00A24CE0"/>
    <w:rsid w:val="00A3057F"/>
    <w:rsid w:val="00A30899"/>
    <w:rsid w:val="00A3114A"/>
    <w:rsid w:val="00A3122D"/>
    <w:rsid w:val="00A31980"/>
    <w:rsid w:val="00A335AE"/>
    <w:rsid w:val="00A33892"/>
    <w:rsid w:val="00A33F8A"/>
    <w:rsid w:val="00A34028"/>
    <w:rsid w:val="00A340FC"/>
    <w:rsid w:val="00A34814"/>
    <w:rsid w:val="00A348DA"/>
    <w:rsid w:val="00A34F2D"/>
    <w:rsid w:val="00A35402"/>
    <w:rsid w:val="00A35422"/>
    <w:rsid w:val="00A35568"/>
    <w:rsid w:val="00A362D0"/>
    <w:rsid w:val="00A37056"/>
    <w:rsid w:val="00A37534"/>
    <w:rsid w:val="00A379F3"/>
    <w:rsid w:val="00A40483"/>
    <w:rsid w:val="00A41621"/>
    <w:rsid w:val="00A420C6"/>
    <w:rsid w:val="00A425E4"/>
    <w:rsid w:val="00A4358F"/>
    <w:rsid w:val="00A437D8"/>
    <w:rsid w:val="00A4495D"/>
    <w:rsid w:val="00A44CC0"/>
    <w:rsid w:val="00A45746"/>
    <w:rsid w:val="00A45ADF"/>
    <w:rsid w:val="00A460C8"/>
    <w:rsid w:val="00A46EAF"/>
    <w:rsid w:val="00A46F67"/>
    <w:rsid w:val="00A47EDD"/>
    <w:rsid w:val="00A51D4B"/>
    <w:rsid w:val="00A52DBE"/>
    <w:rsid w:val="00A53978"/>
    <w:rsid w:val="00A54AA1"/>
    <w:rsid w:val="00A568FF"/>
    <w:rsid w:val="00A56B3B"/>
    <w:rsid w:val="00A56E10"/>
    <w:rsid w:val="00A56F9A"/>
    <w:rsid w:val="00A608F6"/>
    <w:rsid w:val="00A61496"/>
    <w:rsid w:val="00A615EB"/>
    <w:rsid w:val="00A61833"/>
    <w:rsid w:val="00A624C6"/>
    <w:rsid w:val="00A62B36"/>
    <w:rsid w:val="00A63CEC"/>
    <w:rsid w:val="00A64148"/>
    <w:rsid w:val="00A66A87"/>
    <w:rsid w:val="00A66DE7"/>
    <w:rsid w:val="00A67C76"/>
    <w:rsid w:val="00A7031E"/>
    <w:rsid w:val="00A7045B"/>
    <w:rsid w:val="00A72182"/>
    <w:rsid w:val="00A7242E"/>
    <w:rsid w:val="00A728B1"/>
    <w:rsid w:val="00A73AF9"/>
    <w:rsid w:val="00A7536D"/>
    <w:rsid w:val="00A763DE"/>
    <w:rsid w:val="00A764AF"/>
    <w:rsid w:val="00A803D6"/>
    <w:rsid w:val="00A80F31"/>
    <w:rsid w:val="00A81144"/>
    <w:rsid w:val="00A81282"/>
    <w:rsid w:val="00A817F7"/>
    <w:rsid w:val="00A818B1"/>
    <w:rsid w:val="00A82650"/>
    <w:rsid w:val="00A82D3C"/>
    <w:rsid w:val="00A8338A"/>
    <w:rsid w:val="00A8360C"/>
    <w:rsid w:val="00A86A50"/>
    <w:rsid w:val="00A8713F"/>
    <w:rsid w:val="00A8774F"/>
    <w:rsid w:val="00A87868"/>
    <w:rsid w:val="00A90EBB"/>
    <w:rsid w:val="00A91167"/>
    <w:rsid w:val="00A912D3"/>
    <w:rsid w:val="00A9171C"/>
    <w:rsid w:val="00A91987"/>
    <w:rsid w:val="00A92A23"/>
    <w:rsid w:val="00A92FFD"/>
    <w:rsid w:val="00A93B24"/>
    <w:rsid w:val="00A93F76"/>
    <w:rsid w:val="00A94C19"/>
    <w:rsid w:val="00A95975"/>
    <w:rsid w:val="00A9708D"/>
    <w:rsid w:val="00A974F1"/>
    <w:rsid w:val="00AA18E9"/>
    <w:rsid w:val="00AA1C83"/>
    <w:rsid w:val="00AA2C17"/>
    <w:rsid w:val="00AA38EF"/>
    <w:rsid w:val="00AA4172"/>
    <w:rsid w:val="00AA42FE"/>
    <w:rsid w:val="00AA4FC3"/>
    <w:rsid w:val="00AA5022"/>
    <w:rsid w:val="00AA5624"/>
    <w:rsid w:val="00AA6275"/>
    <w:rsid w:val="00AA646B"/>
    <w:rsid w:val="00AA6BF9"/>
    <w:rsid w:val="00AA70F9"/>
    <w:rsid w:val="00AA7D3A"/>
    <w:rsid w:val="00AB0656"/>
    <w:rsid w:val="00AB1914"/>
    <w:rsid w:val="00AB33CD"/>
    <w:rsid w:val="00AB3EEC"/>
    <w:rsid w:val="00AB5330"/>
    <w:rsid w:val="00AB53BD"/>
    <w:rsid w:val="00AB55A6"/>
    <w:rsid w:val="00AB55F9"/>
    <w:rsid w:val="00AB5CAB"/>
    <w:rsid w:val="00AB6D08"/>
    <w:rsid w:val="00AB7747"/>
    <w:rsid w:val="00AC05A6"/>
    <w:rsid w:val="00AC0873"/>
    <w:rsid w:val="00AC0999"/>
    <w:rsid w:val="00AC15F7"/>
    <w:rsid w:val="00AC17C0"/>
    <w:rsid w:val="00AC1BBB"/>
    <w:rsid w:val="00AC1E58"/>
    <w:rsid w:val="00AC239D"/>
    <w:rsid w:val="00AC2532"/>
    <w:rsid w:val="00AC39D2"/>
    <w:rsid w:val="00AC3EE9"/>
    <w:rsid w:val="00AC4777"/>
    <w:rsid w:val="00AC4841"/>
    <w:rsid w:val="00AC4E37"/>
    <w:rsid w:val="00AC5D39"/>
    <w:rsid w:val="00AC61A2"/>
    <w:rsid w:val="00AC68F0"/>
    <w:rsid w:val="00AC6DD2"/>
    <w:rsid w:val="00AC7C09"/>
    <w:rsid w:val="00AD0BDA"/>
    <w:rsid w:val="00AD0CEC"/>
    <w:rsid w:val="00AD1507"/>
    <w:rsid w:val="00AD1D65"/>
    <w:rsid w:val="00AD1FA8"/>
    <w:rsid w:val="00AD22F0"/>
    <w:rsid w:val="00AD2A29"/>
    <w:rsid w:val="00AD3002"/>
    <w:rsid w:val="00AD403D"/>
    <w:rsid w:val="00AD4473"/>
    <w:rsid w:val="00AD4A55"/>
    <w:rsid w:val="00AD4F96"/>
    <w:rsid w:val="00AD5712"/>
    <w:rsid w:val="00AD5A70"/>
    <w:rsid w:val="00AD610B"/>
    <w:rsid w:val="00AD62B8"/>
    <w:rsid w:val="00AD63FC"/>
    <w:rsid w:val="00AD738B"/>
    <w:rsid w:val="00AD746D"/>
    <w:rsid w:val="00AE0334"/>
    <w:rsid w:val="00AE0695"/>
    <w:rsid w:val="00AE0DB6"/>
    <w:rsid w:val="00AE19B7"/>
    <w:rsid w:val="00AE1BED"/>
    <w:rsid w:val="00AE1BF4"/>
    <w:rsid w:val="00AE2669"/>
    <w:rsid w:val="00AE295D"/>
    <w:rsid w:val="00AE32D1"/>
    <w:rsid w:val="00AE4102"/>
    <w:rsid w:val="00AE430E"/>
    <w:rsid w:val="00AE53CB"/>
    <w:rsid w:val="00AE5D97"/>
    <w:rsid w:val="00AE631A"/>
    <w:rsid w:val="00AE6794"/>
    <w:rsid w:val="00AE68E1"/>
    <w:rsid w:val="00AE7173"/>
    <w:rsid w:val="00AF07F0"/>
    <w:rsid w:val="00AF09D5"/>
    <w:rsid w:val="00AF0A08"/>
    <w:rsid w:val="00AF1DBE"/>
    <w:rsid w:val="00AF2B58"/>
    <w:rsid w:val="00AF36F5"/>
    <w:rsid w:val="00AF47C1"/>
    <w:rsid w:val="00AF4AC1"/>
    <w:rsid w:val="00AF4B2D"/>
    <w:rsid w:val="00AF58E5"/>
    <w:rsid w:val="00AF6489"/>
    <w:rsid w:val="00AF6A7E"/>
    <w:rsid w:val="00AF7521"/>
    <w:rsid w:val="00AF7A2D"/>
    <w:rsid w:val="00B00A03"/>
    <w:rsid w:val="00B01110"/>
    <w:rsid w:val="00B01945"/>
    <w:rsid w:val="00B01C9A"/>
    <w:rsid w:val="00B02262"/>
    <w:rsid w:val="00B0255A"/>
    <w:rsid w:val="00B035E7"/>
    <w:rsid w:val="00B03CEC"/>
    <w:rsid w:val="00B0402D"/>
    <w:rsid w:val="00B0455B"/>
    <w:rsid w:val="00B049D7"/>
    <w:rsid w:val="00B04CFA"/>
    <w:rsid w:val="00B0515A"/>
    <w:rsid w:val="00B056EB"/>
    <w:rsid w:val="00B05FAE"/>
    <w:rsid w:val="00B0641D"/>
    <w:rsid w:val="00B06A9D"/>
    <w:rsid w:val="00B1029C"/>
    <w:rsid w:val="00B10779"/>
    <w:rsid w:val="00B108B2"/>
    <w:rsid w:val="00B1209F"/>
    <w:rsid w:val="00B1240B"/>
    <w:rsid w:val="00B1256B"/>
    <w:rsid w:val="00B125E2"/>
    <w:rsid w:val="00B12992"/>
    <w:rsid w:val="00B12AD0"/>
    <w:rsid w:val="00B132BF"/>
    <w:rsid w:val="00B143D7"/>
    <w:rsid w:val="00B14A19"/>
    <w:rsid w:val="00B161AF"/>
    <w:rsid w:val="00B16F8E"/>
    <w:rsid w:val="00B17979"/>
    <w:rsid w:val="00B223BE"/>
    <w:rsid w:val="00B2258F"/>
    <w:rsid w:val="00B22CD1"/>
    <w:rsid w:val="00B22ECE"/>
    <w:rsid w:val="00B24F30"/>
    <w:rsid w:val="00B25A73"/>
    <w:rsid w:val="00B27403"/>
    <w:rsid w:val="00B27755"/>
    <w:rsid w:val="00B278D0"/>
    <w:rsid w:val="00B30215"/>
    <w:rsid w:val="00B30B52"/>
    <w:rsid w:val="00B30C9A"/>
    <w:rsid w:val="00B31ABF"/>
    <w:rsid w:val="00B31F8E"/>
    <w:rsid w:val="00B32391"/>
    <w:rsid w:val="00B335AE"/>
    <w:rsid w:val="00B3442D"/>
    <w:rsid w:val="00B36021"/>
    <w:rsid w:val="00B36382"/>
    <w:rsid w:val="00B36A29"/>
    <w:rsid w:val="00B36CA6"/>
    <w:rsid w:val="00B36E14"/>
    <w:rsid w:val="00B37CE1"/>
    <w:rsid w:val="00B4002E"/>
    <w:rsid w:val="00B407BB"/>
    <w:rsid w:val="00B407CD"/>
    <w:rsid w:val="00B408F9"/>
    <w:rsid w:val="00B409D4"/>
    <w:rsid w:val="00B40ACF"/>
    <w:rsid w:val="00B41C9B"/>
    <w:rsid w:val="00B41ECF"/>
    <w:rsid w:val="00B42064"/>
    <w:rsid w:val="00B421A0"/>
    <w:rsid w:val="00B423B8"/>
    <w:rsid w:val="00B4296E"/>
    <w:rsid w:val="00B42DD7"/>
    <w:rsid w:val="00B43034"/>
    <w:rsid w:val="00B4469F"/>
    <w:rsid w:val="00B449BD"/>
    <w:rsid w:val="00B4552C"/>
    <w:rsid w:val="00B458FF"/>
    <w:rsid w:val="00B45C38"/>
    <w:rsid w:val="00B45D08"/>
    <w:rsid w:val="00B461CC"/>
    <w:rsid w:val="00B46463"/>
    <w:rsid w:val="00B46BAA"/>
    <w:rsid w:val="00B47CDF"/>
    <w:rsid w:val="00B47F54"/>
    <w:rsid w:val="00B50B5F"/>
    <w:rsid w:val="00B513F9"/>
    <w:rsid w:val="00B53F4C"/>
    <w:rsid w:val="00B54128"/>
    <w:rsid w:val="00B54A9D"/>
    <w:rsid w:val="00B54B24"/>
    <w:rsid w:val="00B55125"/>
    <w:rsid w:val="00B55826"/>
    <w:rsid w:val="00B566A2"/>
    <w:rsid w:val="00B60426"/>
    <w:rsid w:val="00B61923"/>
    <w:rsid w:val="00B61A6C"/>
    <w:rsid w:val="00B61E27"/>
    <w:rsid w:val="00B622DD"/>
    <w:rsid w:val="00B63522"/>
    <w:rsid w:val="00B63B36"/>
    <w:rsid w:val="00B64A83"/>
    <w:rsid w:val="00B65CB6"/>
    <w:rsid w:val="00B6609F"/>
    <w:rsid w:val="00B701B7"/>
    <w:rsid w:val="00B70204"/>
    <w:rsid w:val="00B70369"/>
    <w:rsid w:val="00B72104"/>
    <w:rsid w:val="00B728E4"/>
    <w:rsid w:val="00B72993"/>
    <w:rsid w:val="00B735F7"/>
    <w:rsid w:val="00B75089"/>
    <w:rsid w:val="00B75A33"/>
    <w:rsid w:val="00B75BEB"/>
    <w:rsid w:val="00B7612E"/>
    <w:rsid w:val="00B766B9"/>
    <w:rsid w:val="00B76F1D"/>
    <w:rsid w:val="00B80C8A"/>
    <w:rsid w:val="00B80D1D"/>
    <w:rsid w:val="00B8136A"/>
    <w:rsid w:val="00B814B1"/>
    <w:rsid w:val="00B8292F"/>
    <w:rsid w:val="00B82956"/>
    <w:rsid w:val="00B83FB2"/>
    <w:rsid w:val="00B876E7"/>
    <w:rsid w:val="00B8784E"/>
    <w:rsid w:val="00B87AF4"/>
    <w:rsid w:val="00B905CD"/>
    <w:rsid w:val="00B91CA5"/>
    <w:rsid w:val="00B924BD"/>
    <w:rsid w:val="00B92A19"/>
    <w:rsid w:val="00B92F50"/>
    <w:rsid w:val="00B94504"/>
    <w:rsid w:val="00B9467B"/>
    <w:rsid w:val="00B94921"/>
    <w:rsid w:val="00B94A1F"/>
    <w:rsid w:val="00B94D08"/>
    <w:rsid w:val="00B9544C"/>
    <w:rsid w:val="00B955F1"/>
    <w:rsid w:val="00B95697"/>
    <w:rsid w:val="00B95DF3"/>
    <w:rsid w:val="00B97320"/>
    <w:rsid w:val="00B97643"/>
    <w:rsid w:val="00B97F50"/>
    <w:rsid w:val="00BA09F0"/>
    <w:rsid w:val="00BA187E"/>
    <w:rsid w:val="00BA19EB"/>
    <w:rsid w:val="00BA23B2"/>
    <w:rsid w:val="00BA2417"/>
    <w:rsid w:val="00BA2847"/>
    <w:rsid w:val="00BA29E9"/>
    <w:rsid w:val="00BA5E1A"/>
    <w:rsid w:val="00BA5F4C"/>
    <w:rsid w:val="00BA6B43"/>
    <w:rsid w:val="00BA7A53"/>
    <w:rsid w:val="00BA7F07"/>
    <w:rsid w:val="00BB0967"/>
    <w:rsid w:val="00BB0EDE"/>
    <w:rsid w:val="00BB14B4"/>
    <w:rsid w:val="00BB202C"/>
    <w:rsid w:val="00BB2722"/>
    <w:rsid w:val="00BB3618"/>
    <w:rsid w:val="00BB370B"/>
    <w:rsid w:val="00BB42D7"/>
    <w:rsid w:val="00BB5B85"/>
    <w:rsid w:val="00BC0AAD"/>
    <w:rsid w:val="00BC0C9E"/>
    <w:rsid w:val="00BC0DD4"/>
    <w:rsid w:val="00BC0FB2"/>
    <w:rsid w:val="00BC130E"/>
    <w:rsid w:val="00BC183C"/>
    <w:rsid w:val="00BC1CB7"/>
    <w:rsid w:val="00BC2015"/>
    <w:rsid w:val="00BC2511"/>
    <w:rsid w:val="00BC32DC"/>
    <w:rsid w:val="00BC3A02"/>
    <w:rsid w:val="00BC3A28"/>
    <w:rsid w:val="00BC3B08"/>
    <w:rsid w:val="00BC5E22"/>
    <w:rsid w:val="00BC6487"/>
    <w:rsid w:val="00BC669B"/>
    <w:rsid w:val="00BC6F9B"/>
    <w:rsid w:val="00BC7382"/>
    <w:rsid w:val="00BC757B"/>
    <w:rsid w:val="00BC7C5C"/>
    <w:rsid w:val="00BD1422"/>
    <w:rsid w:val="00BD1B51"/>
    <w:rsid w:val="00BD2694"/>
    <w:rsid w:val="00BD2DAC"/>
    <w:rsid w:val="00BD304B"/>
    <w:rsid w:val="00BD350D"/>
    <w:rsid w:val="00BD3AAD"/>
    <w:rsid w:val="00BD3B26"/>
    <w:rsid w:val="00BD4373"/>
    <w:rsid w:val="00BD47F6"/>
    <w:rsid w:val="00BD5D8E"/>
    <w:rsid w:val="00BD5E9B"/>
    <w:rsid w:val="00BE054D"/>
    <w:rsid w:val="00BE1DE8"/>
    <w:rsid w:val="00BE2C43"/>
    <w:rsid w:val="00BE3053"/>
    <w:rsid w:val="00BE312D"/>
    <w:rsid w:val="00BE33F6"/>
    <w:rsid w:val="00BE3FCA"/>
    <w:rsid w:val="00BE4CB4"/>
    <w:rsid w:val="00BE5537"/>
    <w:rsid w:val="00BE5827"/>
    <w:rsid w:val="00BE6DA0"/>
    <w:rsid w:val="00BE7D1D"/>
    <w:rsid w:val="00BF00C2"/>
    <w:rsid w:val="00BF0466"/>
    <w:rsid w:val="00BF0D68"/>
    <w:rsid w:val="00BF1249"/>
    <w:rsid w:val="00BF20AA"/>
    <w:rsid w:val="00BF4080"/>
    <w:rsid w:val="00BF4447"/>
    <w:rsid w:val="00BF46FE"/>
    <w:rsid w:val="00BF49EF"/>
    <w:rsid w:val="00BF4F5D"/>
    <w:rsid w:val="00BF706B"/>
    <w:rsid w:val="00BF7CFE"/>
    <w:rsid w:val="00C004B8"/>
    <w:rsid w:val="00C016A4"/>
    <w:rsid w:val="00C025FF"/>
    <w:rsid w:val="00C026C6"/>
    <w:rsid w:val="00C0426A"/>
    <w:rsid w:val="00C0480F"/>
    <w:rsid w:val="00C0494A"/>
    <w:rsid w:val="00C05719"/>
    <w:rsid w:val="00C075E1"/>
    <w:rsid w:val="00C10578"/>
    <w:rsid w:val="00C10D4A"/>
    <w:rsid w:val="00C11748"/>
    <w:rsid w:val="00C1210F"/>
    <w:rsid w:val="00C12252"/>
    <w:rsid w:val="00C1280F"/>
    <w:rsid w:val="00C12FE0"/>
    <w:rsid w:val="00C13138"/>
    <w:rsid w:val="00C13AEA"/>
    <w:rsid w:val="00C144A4"/>
    <w:rsid w:val="00C14538"/>
    <w:rsid w:val="00C1457A"/>
    <w:rsid w:val="00C1476A"/>
    <w:rsid w:val="00C148E9"/>
    <w:rsid w:val="00C14974"/>
    <w:rsid w:val="00C14B91"/>
    <w:rsid w:val="00C153C2"/>
    <w:rsid w:val="00C15408"/>
    <w:rsid w:val="00C1667B"/>
    <w:rsid w:val="00C16910"/>
    <w:rsid w:val="00C16CA7"/>
    <w:rsid w:val="00C16DF9"/>
    <w:rsid w:val="00C17121"/>
    <w:rsid w:val="00C17D62"/>
    <w:rsid w:val="00C21FDC"/>
    <w:rsid w:val="00C226A2"/>
    <w:rsid w:val="00C22D73"/>
    <w:rsid w:val="00C23D30"/>
    <w:rsid w:val="00C24607"/>
    <w:rsid w:val="00C24AFA"/>
    <w:rsid w:val="00C24EE7"/>
    <w:rsid w:val="00C25197"/>
    <w:rsid w:val="00C2596A"/>
    <w:rsid w:val="00C26116"/>
    <w:rsid w:val="00C271BE"/>
    <w:rsid w:val="00C27425"/>
    <w:rsid w:val="00C30D86"/>
    <w:rsid w:val="00C31168"/>
    <w:rsid w:val="00C318BB"/>
    <w:rsid w:val="00C328FE"/>
    <w:rsid w:val="00C32E6F"/>
    <w:rsid w:val="00C3317C"/>
    <w:rsid w:val="00C3337B"/>
    <w:rsid w:val="00C33A05"/>
    <w:rsid w:val="00C34569"/>
    <w:rsid w:val="00C34AF1"/>
    <w:rsid w:val="00C35571"/>
    <w:rsid w:val="00C35AA9"/>
    <w:rsid w:val="00C36711"/>
    <w:rsid w:val="00C36A23"/>
    <w:rsid w:val="00C373F7"/>
    <w:rsid w:val="00C37C63"/>
    <w:rsid w:val="00C42500"/>
    <w:rsid w:val="00C4358E"/>
    <w:rsid w:val="00C436C1"/>
    <w:rsid w:val="00C43B56"/>
    <w:rsid w:val="00C4409D"/>
    <w:rsid w:val="00C45118"/>
    <w:rsid w:val="00C455BE"/>
    <w:rsid w:val="00C4568B"/>
    <w:rsid w:val="00C45935"/>
    <w:rsid w:val="00C474EF"/>
    <w:rsid w:val="00C4779C"/>
    <w:rsid w:val="00C5076C"/>
    <w:rsid w:val="00C51687"/>
    <w:rsid w:val="00C51A1E"/>
    <w:rsid w:val="00C51E5F"/>
    <w:rsid w:val="00C52257"/>
    <w:rsid w:val="00C536FD"/>
    <w:rsid w:val="00C547A7"/>
    <w:rsid w:val="00C54A71"/>
    <w:rsid w:val="00C55406"/>
    <w:rsid w:val="00C55B15"/>
    <w:rsid w:val="00C5682D"/>
    <w:rsid w:val="00C606BE"/>
    <w:rsid w:val="00C61E4B"/>
    <w:rsid w:val="00C62E3A"/>
    <w:rsid w:val="00C62F8C"/>
    <w:rsid w:val="00C64503"/>
    <w:rsid w:val="00C64A1F"/>
    <w:rsid w:val="00C64BFF"/>
    <w:rsid w:val="00C652FD"/>
    <w:rsid w:val="00C654CA"/>
    <w:rsid w:val="00C657E4"/>
    <w:rsid w:val="00C65C78"/>
    <w:rsid w:val="00C66489"/>
    <w:rsid w:val="00C66AAD"/>
    <w:rsid w:val="00C672CD"/>
    <w:rsid w:val="00C67728"/>
    <w:rsid w:val="00C67E64"/>
    <w:rsid w:val="00C7328F"/>
    <w:rsid w:val="00C73D11"/>
    <w:rsid w:val="00C74888"/>
    <w:rsid w:val="00C755B3"/>
    <w:rsid w:val="00C755F0"/>
    <w:rsid w:val="00C756F2"/>
    <w:rsid w:val="00C761B1"/>
    <w:rsid w:val="00C763C9"/>
    <w:rsid w:val="00C76C66"/>
    <w:rsid w:val="00C76CAD"/>
    <w:rsid w:val="00C77413"/>
    <w:rsid w:val="00C80057"/>
    <w:rsid w:val="00C8011F"/>
    <w:rsid w:val="00C809E0"/>
    <w:rsid w:val="00C8271E"/>
    <w:rsid w:val="00C82C79"/>
    <w:rsid w:val="00C83E6E"/>
    <w:rsid w:val="00C84753"/>
    <w:rsid w:val="00C84C35"/>
    <w:rsid w:val="00C84E82"/>
    <w:rsid w:val="00C85009"/>
    <w:rsid w:val="00C85EF3"/>
    <w:rsid w:val="00C866D6"/>
    <w:rsid w:val="00C86849"/>
    <w:rsid w:val="00C869F7"/>
    <w:rsid w:val="00C86B2A"/>
    <w:rsid w:val="00C87355"/>
    <w:rsid w:val="00C91611"/>
    <w:rsid w:val="00C91ADE"/>
    <w:rsid w:val="00C92C76"/>
    <w:rsid w:val="00C93540"/>
    <w:rsid w:val="00C935D5"/>
    <w:rsid w:val="00C9425B"/>
    <w:rsid w:val="00C94E92"/>
    <w:rsid w:val="00C95BFC"/>
    <w:rsid w:val="00C95E73"/>
    <w:rsid w:val="00C976EF"/>
    <w:rsid w:val="00CA0041"/>
    <w:rsid w:val="00CA03F4"/>
    <w:rsid w:val="00CA1AFD"/>
    <w:rsid w:val="00CA1BEC"/>
    <w:rsid w:val="00CA1F10"/>
    <w:rsid w:val="00CA20C8"/>
    <w:rsid w:val="00CA2B84"/>
    <w:rsid w:val="00CA2FF7"/>
    <w:rsid w:val="00CA3585"/>
    <w:rsid w:val="00CA3D5A"/>
    <w:rsid w:val="00CA4347"/>
    <w:rsid w:val="00CA43E2"/>
    <w:rsid w:val="00CA4C7C"/>
    <w:rsid w:val="00CA7705"/>
    <w:rsid w:val="00CB0183"/>
    <w:rsid w:val="00CB0276"/>
    <w:rsid w:val="00CB0716"/>
    <w:rsid w:val="00CB0854"/>
    <w:rsid w:val="00CB0F3E"/>
    <w:rsid w:val="00CB128A"/>
    <w:rsid w:val="00CB1EA3"/>
    <w:rsid w:val="00CB1EBC"/>
    <w:rsid w:val="00CB28D0"/>
    <w:rsid w:val="00CB2BBF"/>
    <w:rsid w:val="00CB3026"/>
    <w:rsid w:val="00CB3226"/>
    <w:rsid w:val="00CB3364"/>
    <w:rsid w:val="00CB3FCD"/>
    <w:rsid w:val="00CB5356"/>
    <w:rsid w:val="00CB552C"/>
    <w:rsid w:val="00CB5B51"/>
    <w:rsid w:val="00CB68AB"/>
    <w:rsid w:val="00CB6A9E"/>
    <w:rsid w:val="00CB6AFF"/>
    <w:rsid w:val="00CC0080"/>
    <w:rsid w:val="00CC1BCE"/>
    <w:rsid w:val="00CC2442"/>
    <w:rsid w:val="00CC2DFE"/>
    <w:rsid w:val="00CC2FA8"/>
    <w:rsid w:val="00CC3816"/>
    <w:rsid w:val="00CC4049"/>
    <w:rsid w:val="00CC424D"/>
    <w:rsid w:val="00CC4512"/>
    <w:rsid w:val="00CC574C"/>
    <w:rsid w:val="00CC6181"/>
    <w:rsid w:val="00CC62E5"/>
    <w:rsid w:val="00CC66B6"/>
    <w:rsid w:val="00CC791F"/>
    <w:rsid w:val="00CD0AA0"/>
    <w:rsid w:val="00CD110F"/>
    <w:rsid w:val="00CD281B"/>
    <w:rsid w:val="00CD2BCD"/>
    <w:rsid w:val="00CD36AA"/>
    <w:rsid w:val="00CD3791"/>
    <w:rsid w:val="00CD485F"/>
    <w:rsid w:val="00CD65B0"/>
    <w:rsid w:val="00CD72DF"/>
    <w:rsid w:val="00CD7506"/>
    <w:rsid w:val="00CD7CBC"/>
    <w:rsid w:val="00CE02CD"/>
    <w:rsid w:val="00CE02FE"/>
    <w:rsid w:val="00CE10E9"/>
    <w:rsid w:val="00CE1843"/>
    <w:rsid w:val="00CE29BC"/>
    <w:rsid w:val="00CE2CD2"/>
    <w:rsid w:val="00CE475A"/>
    <w:rsid w:val="00CE4DA2"/>
    <w:rsid w:val="00CE50BA"/>
    <w:rsid w:val="00CE5FC4"/>
    <w:rsid w:val="00CE6027"/>
    <w:rsid w:val="00CE6B82"/>
    <w:rsid w:val="00CE7605"/>
    <w:rsid w:val="00CE7BD8"/>
    <w:rsid w:val="00CE7EEC"/>
    <w:rsid w:val="00CF04C0"/>
    <w:rsid w:val="00CF0782"/>
    <w:rsid w:val="00CF0A00"/>
    <w:rsid w:val="00CF180C"/>
    <w:rsid w:val="00CF2578"/>
    <w:rsid w:val="00CF2894"/>
    <w:rsid w:val="00CF3A35"/>
    <w:rsid w:val="00CF3FC6"/>
    <w:rsid w:val="00CF5069"/>
    <w:rsid w:val="00CF650F"/>
    <w:rsid w:val="00CF6E2F"/>
    <w:rsid w:val="00CF7347"/>
    <w:rsid w:val="00D0057A"/>
    <w:rsid w:val="00D0058B"/>
    <w:rsid w:val="00D0072E"/>
    <w:rsid w:val="00D05DCF"/>
    <w:rsid w:val="00D061E4"/>
    <w:rsid w:val="00D06B82"/>
    <w:rsid w:val="00D075B0"/>
    <w:rsid w:val="00D1192B"/>
    <w:rsid w:val="00D134FA"/>
    <w:rsid w:val="00D14A25"/>
    <w:rsid w:val="00D15727"/>
    <w:rsid w:val="00D16332"/>
    <w:rsid w:val="00D17BDA"/>
    <w:rsid w:val="00D20B9D"/>
    <w:rsid w:val="00D20E22"/>
    <w:rsid w:val="00D2110E"/>
    <w:rsid w:val="00D22C0F"/>
    <w:rsid w:val="00D22C7A"/>
    <w:rsid w:val="00D22DBD"/>
    <w:rsid w:val="00D23618"/>
    <w:rsid w:val="00D237AC"/>
    <w:rsid w:val="00D24972"/>
    <w:rsid w:val="00D2515E"/>
    <w:rsid w:val="00D256BF"/>
    <w:rsid w:val="00D257C8"/>
    <w:rsid w:val="00D308ED"/>
    <w:rsid w:val="00D323BB"/>
    <w:rsid w:val="00D33DC5"/>
    <w:rsid w:val="00D349DD"/>
    <w:rsid w:val="00D36256"/>
    <w:rsid w:val="00D37098"/>
    <w:rsid w:val="00D400B0"/>
    <w:rsid w:val="00D41940"/>
    <w:rsid w:val="00D429A3"/>
    <w:rsid w:val="00D42E17"/>
    <w:rsid w:val="00D44993"/>
    <w:rsid w:val="00D44C81"/>
    <w:rsid w:val="00D44F99"/>
    <w:rsid w:val="00D4604D"/>
    <w:rsid w:val="00D51782"/>
    <w:rsid w:val="00D53584"/>
    <w:rsid w:val="00D53EFD"/>
    <w:rsid w:val="00D545B5"/>
    <w:rsid w:val="00D55794"/>
    <w:rsid w:val="00D559C5"/>
    <w:rsid w:val="00D56178"/>
    <w:rsid w:val="00D56ADB"/>
    <w:rsid w:val="00D56CF0"/>
    <w:rsid w:val="00D56F5C"/>
    <w:rsid w:val="00D57161"/>
    <w:rsid w:val="00D57D3D"/>
    <w:rsid w:val="00D62B11"/>
    <w:rsid w:val="00D631BF"/>
    <w:rsid w:val="00D6343D"/>
    <w:rsid w:val="00D638B3"/>
    <w:rsid w:val="00D645DB"/>
    <w:rsid w:val="00D64649"/>
    <w:rsid w:val="00D64C06"/>
    <w:rsid w:val="00D65290"/>
    <w:rsid w:val="00D660A6"/>
    <w:rsid w:val="00D662C2"/>
    <w:rsid w:val="00D66E92"/>
    <w:rsid w:val="00D704B1"/>
    <w:rsid w:val="00D70653"/>
    <w:rsid w:val="00D708A6"/>
    <w:rsid w:val="00D70A0A"/>
    <w:rsid w:val="00D70B63"/>
    <w:rsid w:val="00D70ECD"/>
    <w:rsid w:val="00D71DF2"/>
    <w:rsid w:val="00D7297A"/>
    <w:rsid w:val="00D72B92"/>
    <w:rsid w:val="00D72ED4"/>
    <w:rsid w:val="00D7333E"/>
    <w:rsid w:val="00D738AC"/>
    <w:rsid w:val="00D73F61"/>
    <w:rsid w:val="00D7416E"/>
    <w:rsid w:val="00D75335"/>
    <w:rsid w:val="00D754C0"/>
    <w:rsid w:val="00D75AFE"/>
    <w:rsid w:val="00D75EC5"/>
    <w:rsid w:val="00D76160"/>
    <w:rsid w:val="00D770B4"/>
    <w:rsid w:val="00D776A2"/>
    <w:rsid w:val="00D77A72"/>
    <w:rsid w:val="00D801C4"/>
    <w:rsid w:val="00D83160"/>
    <w:rsid w:val="00D83347"/>
    <w:rsid w:val="00D86847"/>
    <w:rsid w:val="00D86B38"/>
    <w:rsid w:val="00D86DA6"/>
    <w:rsid w:val="00D87948"/>
    <w:rsid w:val="00D90836"/>
    <w:rsid w:val="00D90919"/>
    <w:rsid w:val="00D91EC2"/>
    <w:rsid w:val="00D9396E"/>
    <w:rsid w:val="00D939D6"/>
    <w:rsid w:val="00D93A60"/>
    <w:rsid w:val="00D94043"/>
    <w:rsid w:val="00D94A58"/>
    <w:rsid w:val="00D94EC7"/>
    <w:rsid w:val="00D951F8"/>
    <w:rsid w:val="00D95896"/>
    <w:rsid w:val="00D95CC6"/>
    <w:rsid w:val="00D96056"/>
    <w:rsid w:val="00D96471"/>
    <w:rsid w:val="00D97372"/>
    <w:rsid w:val="00DA08F9"/>
    <w:rsid w:val="00DA17DE"/>
    <w:rsid w:val="00DA2DA3"/>
    <w:rsid w:val="00DA3056"/>
    <w:rsid w:val="00DA34F2"/>
    <w:rsid w:val="00DA3EA5"/>
    <w:rsid w:val="00DA4394"/>
    <w:rsid w:val="00DA4503"/>
    <w:rsid w:val="00DA64E1"/>
    <w:rsid w:val="00DA6615"/>
    <w:rsid w:val="00DA6EE9"/>
    <w:rsid w:val="00DA76AE"/>
    <w:rsid w:val="00DB0D4B"/>
    <w:rsid w:val="00DB181E"/>
    <w:rsid w:val="00DB1C7A"/>
    <w:rsid w:val="00DB1E11"/>
    <w:rsid w:val="00DB2611"/>
    <w:rsid w:val="00DB2983"/>
    <w:rsid w:val="00DB343D"/>
    <w:rsid w:val="00DB36C0"/>
    <w:rsid w:val="00DB4DE1"/>
    <w:rsid w:val="00DB5579"/>
    <w:rsid w:val="00DB5CFE"/>
    <w:rsid w:val="00DB615D"/>
    <w:rsid w:val="00DB67F1"/>
    <w:rsid w:val="00DB71EF"/>
    <w:rsid w:val="00DC0A95"/>
    <w:rsid w:val="00DC1354"/>
    <w:rsid w:val="00DC156D"/>
    <w:rsid w:val="00DC1BDB"/>
    <w:rsid w:val="00DC2551"/>
    <w:rsid w:val="00DC2A92"/>
    <w:rsid w:val="00DC45CC"/>
    <w:rsid w:val="00DC4637"/>
    <w:rsid w:val="00DC72A6"/>
    <w:rsid w:val="00DC797D"/>
    <w:rsid w:val="00DD014B"/>
    <w:rsid w:val="00DD039B"/>
    <w:rsid w:val="00DD2113"/>
    <w:rsid w:val="00DD254C"/>
    <w:rsid w:val="00DD265E"/>
    <w:rsid w:val="00DD29B3"/>
    <w:rsid w:val="00DD5878"/>
    <w:rsid w:val="00DD60DC"/>
    <w:rsid w:val="00DD6A15"/>
    <w:rsid w:val="00DE012A"/>
    <w:rsid w:val="00DE06ED"/>
    <w:rsid w:val="00DE0C3A"/>
    <w:rsid w:val="00DE3A8C"/>
    <w:rsid w:val="00DE41D0"/>
    <w:rsid w:val="00DE49B0"/>
    <w:rsid w:val="00DE5333"/>
    <w:rsid w:val="00DE7314"/>
    <w:rsid w:val="00DE7D5E"/>
    <w:rsid w:val="00DF1484"/>
    <w:rsid w:val="00DF1930"/>
    <w:rsid w:val="00DF22BA"/>
    <w:rsid w:val="00DF2953"/>
    <w:rsid w:val="00DF36C9"/>
    <w:rsid w:val="00DF3E03"/>
    <w:rsid w:val="00DF3E27"/>
    <w:rsid w:val="00DF42CC"/>
    <w:rsid w:val="00DF514A"/>
    <w:rsid w:val="00DF5ACF"/>
    <w:rsid w:val="00DF5B96"/>
    <w:rsid w:val="00DF66C0"/>
    <w:rsid w:val="00DF6D7A"/>
    <w:rsid w:val="00DF6F52"/>
    <w:rsid w:val="00E016A1"/>
    <w:rsid w:val="00E01D03"/>
    <w:rsid w:val="00E02813"/>
    <w:rsid w:val="00E032EB"/>
    <w:rsid w:val="00E0358D"/>
    <w:rsid w:val="00E0385C"/>
    <w:rsid w:val="00E03BE0"/>
    <w:rsid w:val="00E058A7"/>
    <w:rsid w:val="00E06327"/>
    <w:rsid w:val="00E06781"/>
    <w:rsid w:val="00E0710A"/>
    <w:rsid w:val="00E07557"/>
    <w:rsid w:val="00E10E7E"/>
    <w:rsid w:val="00E1280C"/>
    <w:rsid w:val="00E12D8E"/>
    <w:rsid w:val="00E14584"/>
    <w:rsid w:val="00E15763"/>
    <w:rsid w:val="00E158BE"/>
    <w:rsid w:val="00E15DD1"/>
    <w:rsid w:val="00E15FD8"/>
    <w:rsid w:val="00E16865"/>
    <w:rsid w:val="00E16FE2"/>
    <w:rsid w:val="00E1770E"/>
    <w:rsid w:val="00E1798F"/>
    <w:rsid w:val="00E2064B"/>
    <w:rsid w:val="00E2080A"/>
    <w:rsid w:val="00E20901"/>
    <w:rsid w:val="00E20D28"/>
    <w:rsid w:val="00E21895"/>
    <w:rsid w:val="00E2248C"/>
    <w:rsid w:val="00E23031"/>
    <w:rsid w:val="00E23065"/>
    <w:rsid w:val="00E23F2E"/>
    <w:rsid w:val="00E24F6A"/>
    <w:rsid w:val="00E25239"/>
    <w:rsid w:val="00E265B1"/>
    <w:rsid w:val="00E275B0"/>
    <w:rsid w:val="00E27666"/>
    <w:rsid w:val="00E279F1"/>
    <w:rsid w:val="00E301AB"/>
    <w:rsid w:val="00E31C1B"/>
    <w:rsid w:val="00E3254E"/>
    <w:rsid w:val="00E32E02"/>
    <w:rsid w:val="00E32E95"/>
    <w:rsid w:val="00E33A8C"/>
    <w:rsid w:val="00E343D5"/>
    <w:rsid w:val="00E35442"/>
    <w:rsid w:val="00E35F66"/>
    <w:rsid w:val="00E37703"/>
    <w:rsid w:val="00E40244"/>
    <w:rsid w:val="00E411AF"/>
    <w:rsid w:val="00E412D0"/>
    <w:rsid w:val="00E430DF"/>
    <w:rsid w:val="00E45002"/>
    <w:rsid w:val="00E451CE"/>
    <w:rsid w:val="00E45962"/>
    <w:rsid w:val="00E45F21"/>
    <w:rsid w:val="00E47742"/>
    <w:rsid w:val="00E47CDB"/>
    <w:rsid w:val="00E47D6F"/>
    <w:rsid w:val="00E5113F"/>
    <w:rsid w:val="00E52DDA"/>
    <w:rsid w:val="00E5339D"/>
    <w:rsid w:val="00E5376F"/>
    <w:rsid w:val="00E53E93"/>
    <w:rsid w:val="00E549CF"/>
    <w:rsid w:val="00E5576D"/>
    <w:rsid w:val="00E55960"/>
    <w:rsid w:val="00E56023"/>
    <w:rsid w:val="00E566BC"/>
    <w:rsid w:val="00E56CCF"/>
    <w:rsid w:val="00E578EF"/>
    <w:rsid w:val="00E60982"/>
    <w:rsid w:val="00E60C8D"/>
    <w:rsid w:val="00E6162F"/>
    <w:rsid w:val="00E623B7"/>
    <w:rsid w:val="00E6311B"/>
    <w:rsid w:val="00E63E12"/>
    <w:rsid w:val="00E644FA"/>
    <w:rsid w:val="00E64DD3"/>
    <w:rsid w:val="00E658F1"/>
    <w:rsid w:val="00E65D97"/>
    <w:rsid w:val="00E661B3"/>
    <w:rsid w:val="00E66463"/>
    <w:rsid w:val="00E6717E"/>
    <w:rsid w:val="00E67D50"/>
    <w:rsid w:val="00E67EFD"/>
    <w:rsid w:val="00E7008D"/>
    <w:rsid w:val="00E702DC"/>
    <w:rsid w:val="00E71FFB"/>
    <w:rsid w:val="00E74030"/>
    <w:rsid w:val="00E74669"/>
    <w:rsid w:val="00E74E0C"/>
    <w:rsid w:val="00E758EB"/>
    <w:rsid w:val="00E75BF8"/>
    <w:rsid w:val="00E76023"/>
    <w:rsid w:val="00E76716"/>
    <w:rsid w:val="00E768A8"/>
    <w:rsid w:val="00E76C59"/>
    <w:rsid w:val="00E76D1D"/>
    <w:rsid w:val="00E770EC"/>
    <w:rsid w:val="00E775B7"/>
    <w:rsid w:val="00E77F0B"/>
    <w:rsid w:val="00E806F8"/>
    <w:rsid w:val="00E8144D"/>
    <w:rsid w:val="00E81B93"/>
    <w:rsid w:val="00E81F31"/>
    <w:rsid w:val="00E825D9"/>
    <w:rsid w:val="00E8368F"/>
    <w:rsid w:val="00E83FBF"/>
    <w:rsid w:val="00E84CDE"/>
    <w:rsid w:val="00E85850"/>
    <w:rsid w:val="00E85C54"/>
    <w:rsid w:val="00E85CBA"/>
    <w:rsid w:val="00E87133"/>
    <w:rsid w:val="00E875F0"/>
    <w:rsid w:val="00E8762B"/>
    <w:rsid w:val="00E87752"/>
    <w:rsid w:val="00E8793B"/>
    <w:rsid w:val="00E90F81"/>
    <w:rsid w:val="00E91A6D"/>
    <w:rsid w:val="00E9242D"/>
    <w:rsid w:val="00E93FF2"/>
    <w:rsid w:val="00E94F58"/>
    <w:rsid w:val="00E9551F"/>
    <w:rsid w:val="00E95817"/>
    <w:rsid w:val="00E96017"/>
    <w:rsid w:val="00E96F2D"/>
    <w:rsid w:val="00E973D7"/>
    <w:rsid w:val="00EA07DC"/>
    <w:rsid w:val="00EA1B52"/>
    <w:rsid w:val="00EA55AC"/>
    <w:rsid w:val="00EA6EF5"/>
    <w:rsid w:val="00EA71A6"/>
    <w:rsid w:val="00EB041C"/>
    <w:rsid w:val="00EB0E16"/>
    <w:rsid w:val="00EB1435"/>
    <w:rsid w:val="00EB2319"/>
    <w:rsid w:val="00EB24F2"/>
    <w:rsid w:val="00EB3DBB"/>
    <w:rsid w:val="00EB3EAA"/>
    <w:rsid w:val="00EB4BA7"/>
    <w:rsid w:val="00EB4F35"/>
    <w:rsid w:val="00EB51E4"/>
    <w:rsid w:val="00EB523D"/>
    <w:rsid w:val="00EB55F8"/>
    <w:rsid w:val="00EB5753"/>
    <w:rsid w:val="00EB6693"/>
    <w:rsid w:val="00EB6C76"/>
    <w:rsid w:val="00EB6E24"/>
    <w:rsid w:val="00EB762C"/>
    <w:rsid w:val="00EB7E4A"/>
    <w:rsid w:val="00EC0AA2"/>
    <w:rsid w:val="00EC308C"/>
    <w:rsid w:val="00EC45A9"/>
    <w:rsid w:val="00EC5523"/>
    <w:rsid w:val="00EC5874"/>
    <w:rsid w:val="00EC5910"/>
    <w:rsid w:val="00EC5991"/>
    <w:rsid w:val="00EC6288"/>
    <w:rsid w:val="00EC76BF"/>
    <w:rsid w:val="00ED07FF"/>
    <w:rsid w:val="00ED192D"/>
    <w:rsid w:val="00ED1977"/>
    <w:rsid w:val="00ED1BE5"/>
    <w:rsid w:val="00ED1EA3"/>
    <w:rsid w:val="00ED30B4"/>
    <w:rsid w:val="00ED30D1"/>
    <w:rsid w:val="00ED31F5"/>
    <w:rsid w:val="00ED5CDF"/>
    <w:rsid w:val="00ED5F9F"/>
    <w:rsid w:val="00EE07CE"/>
    <w:rsid w:val="00EE1E75"/>
    <w:rsid w:val="00EE2E0A"/>
    <w:rsid w:val="00EE4201"/>
    <w:rsid w:val="00EE4F25"/>
    <w:rsid w:val="00EE588C"/>
    <w:rsid w:val="00EE5C45"/>
    <w:rsid w:val="00EE62B6"/>
    <w:rsid w:val="00EE6641"/>
    <w:rsid w:val="00EE7022"/>
    <w:rsid w:val="00EF03E1"/>
    <w:rsid w:val="00EF0820"/>
    <w:rsid w:val="00EF09F7"/>
    <w:rsid w:val="00EF1157"/>
    <w:rsid w:val="00EF11C0"/>
    <w:rsid w:val="00EF1F63"/>
    <w:rsid w:val="00EF2759"/>
    <w:rsid w:val="00EF45EB"/>
    <w:rsid w:val="00EF4AF0"/>
    <w:rsid w:val="00EF4C00"/>
    <w:rsid w:val="00EF5099"/>
    <w:rsid w:val="00EF5B7F"/>
    <w:rsid w:val="00EF5E33"/>
    <w:rsid w:val="00EF6F58"/>
    <w:rsid w:val="00EF7765"/>
    <w:rsid w:val="00EF78B2"/>
    <w:rsid w:val="00EF7C98"/>
    <w:rsid w:val="00F00075"/>
    <w:rsid w:val="00F0066F"/>
    <w:rsid w:val="00F008B4"/>
    <w:rsid w:val="00F00EB5"/>
    <w:rsid w:val="00F0100C"/>
    <w:rsid w:val="00F01085"/>
    <w:rsid w:val="00F01E6B"/>
    <w:rsid w:val="00F01F42"/>
    <w:rsid w:val="00F01FD4"/>
    <w:rsid w:val="00F03E77"/>
    <w:rsid w:val="00F04059"/>
    <w:rsid w:val="00F04C66"/>
    <w:rsid w:val="00F052AA"/>
    <w:rsid w:val="00F0681F"/>
    <w:rsid w:val="00F07127"/>
    <w:rsid w:val="00F07822"/>
    <w:rsid w:val="00F07853"/>
    <w:rsid w:val="00F10CAE"/>
    <w:rsid w:val="00F11142"/>
    <w:rsid w:val="00F114CA"/>
    <w:rsid w:val="00F12401"/>
    <w:rsid w:val="00F124EC"/>
    <w:rsid w:val="00F12B44"/>
    <w:rsid w:val="00F1304C"/>
    <w:rsid w:val="00F13A3B"/>
    <w:rsid w:val="00F13EA9"/>
    <w:rsid w:val="00F1446D"/>
    <w:rsid w:val="00F14B64"/>
    <w:rsid w:val="00F154C5"/>
    <w:rsid w:val="00F15657"/>
    <w:rsid w:val="00F15C95"/>
    <w:rsid w:val="00F16D31"/>
    <w:rsid w:val="00F173D7"/>
    <w:rsid w:val="00F1753A"/>
    <w:rsid w:val="00F17C23"/>
    <w:rsid w:val="00F21D0F"/>
    <w:rsid w:val="00F22985"/>
    <w:rsid w:val="00F22D80"/>
    <w:rsid w:val="00F241AB"/>
    <w:rsid w:val="00F246A4"/>
    <w:rsid w:val="00F24A57"/>
    <w:rsid w:val="00F24FB0"/>
    <w:rsid w:val="00F25029"/>
    <w:rsid w:val="00F26E31"/>
    <w:rsid w:val="00F27988"/>
    <w:rsid w:val="00F27CBE"/>
    <w:rsid w:val="00F27D5E"/>
    <w:rsid w:val="00F31382"/>
    <w:rsid w:val="00F31FFA"/>
    <w:rsid w:val="00F3299D"/>
    <w:rsid w:val="00F330AA"/>
    <w:rsid w:val="00F338C7"/>
    <w:rsid w:val="00F33DD6"/>
    <w:rsid w:val="00F341B0"/>
    <w:rsid w:val="00F344DC"/>
    <w:rsid w:val="00F34681"/>
    <w:rsid w:val="00F34FE9"/>
    <w:rsid w:val="00F35829"/>
    <w:rsid w:val="00F35937"/>
    <w:rsid w:val="00F35B22"/>
    <w:rsid w:val="00F36E91"/>
    <w:rsid w:val="00F374CA"/>
    <w:rsid w:val="00F37FCB"/>
    <w:rsid w:val="00F406E7"/>
    <w:rsid w:val="00F419BF"/>
    <w:rsid w:val="00F42868"/>
    <w:rsid w:val="00F42E85"/>
    <w:rsid w:val="00F439DE"/>
    <w:rsid w:val="00F43D68"/>
    <w:rsid w:val="00F43E6D"/>
    <w:rsid w:val="00F44A53"/>
    <w:rsid w:val="00F455E8"/>
    <w:rsid w:val="00F457C9"/>
    <w:rsid w:val="00F46081"/>
    <w:rsid w:val="00F465A7"/>
    <w:rsid w:val="00F46B27"/>
    <w:rsid w:val="00F471D5"/>
    <w:rsid w:val="00F473D1"/>
    <w:rsid w:val="00F502BD"/>
    <w:rsid w:val="00F50B7C"/>
    <w:rsid w:val="00F50CDF"/>
    <w:rsid w:val="00F51842"/>
    <w:rsid w:val="00F51F8D"/>
    <w:rsid w:val="00F5202D"/>
    <w:rsid w:val="00F52CF6"/>
    <w:rsid w:val="00F52E49"/>
    <w:rsid w:val="00F54474"/>
    <w:rsid w:val="00F54496"/>
    <w:rsid w:val="00F54874"/>
    <w:rsid w:val="00F54ABF"/>
    <w:rsid w:val="00F54DD7"/>
    <w:rsid w:val="00F554D3"/>
    <w:rsid w:val="00F55928"/>
    <w:rsid w:val="00F55CA2"/>
    <w:rsid w:val="00F56886"/>
    <w:rsid w:val="00F5794F"/>
    <w:rsid w:val="00F60B27"/>
    <w:rsid w:val="00F61097"/>
    <w:rsid w:val="00F62B11"/>
    <w:rsid w:val="00F6637B"/>
    <w:rsid w:val="00F66707"/>
    <w:rsid w:val="00F6691E"/>
    <w:rsid w:val="00F678FC"/>
    <w:rsid w:val="00F67A91"/>
    <w:rsid w:val="00F67C84"/>
    <w:rsid w:val="00F70416"/>
    <w:rsid w:val="00F7062B"/>
    <w:rsid w:val="00F706D4"/>
    <w:rsid w:val="00F7121B"/>
    <w:rsid w:val="00F7131A"/>
    <w:rsid w:val="00F717FA"/>
    <w:rsid w:val="00F71EE3"/>
    <w:rsid w:val="00F72775"/>
    <w:rsid w:val="00F74345"/>
    <w:rsid w:val="00F74441"/>
    <w:rsid w:val="00F74EED"/>
    <w:rsid w:val="00F759A3"/>
    <w:rsid w:val="00F76DBE"/>
    <w:rsid w:val="00F77110"/>
    <w:rsid w:val="00F77F30"/>
    <w:rsid w:val="00F80ABB"/>
    <w:rsid w:val="00F8136E"/>
    <w:rsid w:val="00F81A94"/>
    <w:rsid w:val="00F82589"/>
    <w:rsid w:val="00F8281F"/>
    <w:rsid w:val="00F82B19"/>
    <w:rsid w:val="00F82F0D"/>
    <w:rsid w:val="00F8343D"/>
    <w:rsid w:val="00F8395C"/>
    <w:rsid w:val="00F840CC"/>
    <w:rsid w:val="00F859AC"/>
    <w:rsid w:val="00F8656D"/>
    <w:rsid w:val="00F86F09"/>
    <w:rsid w:val="00F86F50"/>
    <w:rsid w:val="00F878CE"/>
    <w:rsid w:val="00F909DD"/>
    <w:rsid w:val="00F90AA7"/>
    <w:rsid w:val="00F9212D"/>
    <w:rsid w:val="00F93FC5"/>
    <w:rsid w:val="00F94170"/>
    <w:rsid w:val="00F9496D"/>
    <w:rsid w:val="00F9551A"/>
    <w:rsid w:val="00F96765"/>
    <w:rsid w:val="00F967FF"/>
    <w:rsid w:val="00F97A1D"/>
    <w:rsid w:val="00FA006C"/>
    <w:rsid w:val="00FA160E"/>
    <w:rsid w:val="00FA1C3E"/>
    <w:rsid w:val="00FA21FE"/>
    <w:rsid w:val="00FA2527"/>
    <w:rsid w:val="00FA2B66"/>
    <w:rsid w:val="00FA301A"/>
    <w:rsid w:val="00FA3DE8"/>
    <w:rsid w:val="00FA406A"/>
    <w:rsid w:val="00FA41D3"/>
    <w:rsid w:val="00FA4230"/>
    <w:rsid w:val="00FA5CB6"/>
    <w:rsid w:val="00FA6D0B"/>
    <w:rsid w:val="00FB2B44"/>
    <w:rsid w:val="00FB5019"/>
    <w:rsid w:val="00FB5DD8"/>
    <w:rsid w:val="00FB61FE"/>
    <w:rsid w:val="00FB6601"/>
    <w:rsid w:val="00FB7430"/>
    <w:rsid w:val="00FB7B67"/>
    <w:rsid w:val="00FB7D16"/>
    <w:rsid w:val="00FC0333"/>
    <w:rsid w:val="00FC0CFD"/>
    <w:rsid w:val="00FC13AD"/>
    <w:rsid w:val="00FC18B5"/>
    <w:rsid w:val="00FC2A4D"/>
    <w:rsid w:val="00FC308E"/>
    <w:rsid w:val="00FC3360"/>
    <w:rsid w:val="00FC4A35"/>
    <w:rsid w:val="00FC545E"/>
    <w:rsid w:val="00FC5972"/>
    <w:rsid w:val="00FC66AC"/>
    <w:rsid w:val="00FC7D0D"/>
    <w:rsid w:val="00FD04C8"/>
    <w:rsid w:val="00FD064C"/>
    <w:rsid w:val="00FD0A12"/>
    <w:rsid w:val="00FD0C8E"/>
    <w:rsid w:val="00FD1049"/>
    <w:rsid w:val="00FD18F4"/>
    <w:rsid w:val="00FD1ED8"/>
    <w:rsid w:val="00FD22EC"/>
    <w:rsid w:val="00FD2929"/>
    <w:rsid w:val="00FD3DC2"/>
    <w:rsid w:val="00FD457C"/>
    <w:rsid w:val="00FD4D3C"/>
    <w:rsid w:val="00FD4E01"/>
    <w:rsid w:val="00FD4F4E"/>
    <w:rsid w:val="00FD571C"/>
    <w:rsid w:val="00FD6FB6"/>
    <w:rsid w:val="00FD74B4"/>
    <w:rsid w:val="00FD7890"/>
    <w:rsid w:val="00FE383F"/>
    <w:rsid w:val="00FE4529"/>
    <w:rsid w:val="00FE6CC9"/>
    <w:rsid w:val="00FE6D67"/>
    <w:rsid w:val="00FE6EAD"/>
    <w:rsid w:val="00FE73C3"/>
    <w:rsid w:val="00FE7C53"/>
    <w:rsid w:val="00FF01A2"/>
    <w:rsid w:val="00FF0903"/>
    <w:rsid w:val="00FF0F2B"/>
    <w:rsid w:val="00FF125D"/>
    <w:rsid w:val="00FF1838"/>
    <w:rsid w:val="00FF2B7D"/>
    <w:rsid w:val="00FF445D"/>
    <w:rsid w:val="00FF4A9B"/>
    <w:rsid w:val="00FF6FCE"/>
    <w:rsid w:val="00FF7518"/>
    <w:rsid w:val="00FF799B"/>
    <w:rsid w:val="00FF7E9B"/>
    <w:rsid w:val="00FF7FD8"/>
    <w:rsid w:val="01277E1F"/>
    <w:rsid w:val="012843B2"/>
    <w:rsid w:val="01341807"/>
    <w:rsid w:val="013C246A"/>
    <w:rsid w:val="014324AF"/>
    <w:rsid w:val="01437C9C"/>
    <w:rsid w:val="0153035C"/>
    <w:rsid w:val="01556351"/>
    <w:rsid w:val="0156352C"/>
    <w:rsid w:val="016368FF"/>
    <w:rsid w:val="018E4255"/>
    <w:rsid w:val="01932C04"/>
    <w:rsid w:val="019A2CDA"/>
    <w:rsid w:val="019D73AC"/>
    <w:rsid w:val="01A00C4B"/>
    <w:rsid w:val="01B446F6"/>
    <w:rsid w:val="01BD35AB"/>
    <w:rsid w:val="01BF1698"/>
    <w:rsid w:val="01C769DC"/>
    <w:rsid w:val="01D803E5"/>
    <w:rsid w:val="01DF79C5"/>
    <w:rsid w:val="01FD00E3"/>
    <w:rsid w:val="01FF624A"/>
    <w:rsid w:val="0204567E"/>
    <w:rsid w:val="021F4E94"/>
    <w:rsid w:val="022E44A8"/>
    <w:rsid w:val="02383932"/>
    <w:rsid w:val="024E68F9"/>
    <w:rsid w:val="025008C3"/>
    <w:rsid w:val="02555DE0"/>
    <w:rsid w:val="026374DF"/>
    <w:rsid w:val="026E0D49"/>
    <w:rsid w:val="02777BFD"/>
    <w:rsid w:val="028C5218"/>
    <w:rsid w:val="02900CBF"/>
    <w:rsid w:val="02A27D26"/>
    <w:rsid w:val="02DA6E33"/>
    <w:rsid w:val="02E80AFB"/>
    <w:rsid w:val="02E828A9"/>
    <w:rsid w:val="02F474A0"/>
    <w:rsid w:val="03084CFA"/>
    <w:rsid w:val="03101E00"/>
    <w:rsid w:val="031214A4"/>
    <w:rsid w:val="0314369E"/>
    <w:rsid w:val="032D387B"/>
    <w:rsid w:val="033C2BF5"/>
    <w:rsid w:val="03435D32"/>
    <w:rsid w:val="034A70C0"/>
    <w:rsid w:val="035166A0"/>
    <w:rsid w:val="0365214C"/>
    <w:rsid w:val="036F1EDC"/>
    <w:rsid w:val="03750ED4"/>
    <w:rsid w:val="03905250"/>
    <w:rsid w:val="03914CEF"/>
    <w:rsid w:val="03AF786B"/>
    <w:rsid w:val="03B95248"/>
    <w:rsid w:val="03C055D4"/>
    <w:rsid w:val="03CA2420"/>
    <w:rsid w:val="03D746CC"/>
    <w:rsid w:val="03E2554B"/>
    <w:rsid w:val="03EE0393"/>
    <w:rsid w:val="03F359AA"/>
    <w:rsid w:val="040B2365"/>
    <w:rsid w:val="04106C6A"/>
    <w:rsid w:val="04155920"/>
    <w:rsid w:val="041D2A27"/>
    <w:rsid w:val="041E01F2"/>
    <w:rsid w:val="042F4508"/>
    <w:rsid w:val="04390EA0"/>
    <w:rsid w:val="04470FB4"/>
    <w:rsid w:val="0449381C"/>
    <w:rsid w:val="044C50BA"/>
    <w:rsid w:val="04536448"/>
    <w:rsid w:val="046E3282"/>
    <w:rsid w:val="046E6DDE"/>
    <w:rsid w:val="0472421E"/>
    <w:rsid w:val="04784101"/>
    <w:rsid w:val="04787C5D"/>
    <w:rsid w:val="04814D63"/>
    <w:rsid w:val="04825674"/>
    <w:rsid w:val="048C3708"/>
    <w:rsid w:val="0499741D"/>
    <w:rsid w:val="04A10B60"/>
    <w:rsid w:val="04A24CDA"/>
    <w:rsid w:val="04A647CA"/>
    <w:rsid w:val="04B05649"/>
    <w:rsid w:val="04C82992"/>
    <w:rsid w:val="04CD61FB"/>
    <w:rsid w:val="04CE1F73"/>
    <w:rsid w:val="04CF2536"/>
    <w:rsid w:val="04D521D1"/>
    <w:rsid w:val="04E24428"/>
    <w:rsid w:val="04E752D0"/>
    <w:rsid w:val="04EE62A9"/>
    <w:rsid w:val="04F116D7"/>
    <w:rsid w:val="04F73278"/>
    <w:rsid w:val="05241B93"/>
    <w:rsid w:val="05257DE5"/>
    <w:rsid w:val="052D4EEB"/>
    <w:rsid w:val="05304FD2"/>
    <w:rsid w:val="05340028"/>
    <w:rsid w:val="05353DA0"/>
    <w:rsid w:val="053578FC"/>
    <w:rsid w:val="05362844"/>
    <w:rsid w:val="053B0750"/>
    <w:rsid w:val="05557F9E"/>
    <w:rsid w:val="0560706F"/>
    <w:rsid w:val="05660E71"/>
    <w:rsid w:val="05663F59"/>
    <w:rsid w:val="056D7096"/>
    <w:rsid w:val="05720B50"/>
    <w:rsid w:val="05742AC8"/>
    <w:rsid w:val="057B7A05"/>
    <w:rsid w:val="05856AD5"/>
    <w:rsid w:val="059C797B"/>
    <w:rsid w:val="05BC1DCB"/>
    <w:rsid w:val="05C53BEA"/>
    <w:rsid w:val="05CF7D50"/>
    <w:rsid w:val="05F23A3F"/>
    <w:rsid w:val="05FC01EC"/>
    <w:rsid w:val="05FD4675"/>
    <w:rsid w:val="06093262"/>
    <w:rsid w:val="0619213F"/>
    <w:rsid w:val="062260D2"/>
    <w:rsid w:val="06352F05"/>
    <w:rsid w:val="0636392C"/>
    <w:rsid w:val="0639341C"/>
    <w:rsid w:val="063E7D85"/>
    <w:rsid w:val="06510766"/>
    <w:rsid w:val="06532730"/>
    <w:rsid w:val="065908E8"/>
    <w:rsid w:val="065C0590"/>
    <w:rsid w:val="06683779"/>
    <w:rsid w:val="06776C4C"/>
    <w:rsid w:val="06986394"/>
    <w:rsid w:val="06A05249"/>
    <w:rsid w:val="06A40149"/>
    <w:rsid w:val="06A42F8B"/>
    <w:rsid w:val="06A5459E"/>
    <w:rsid w:val="06B07B82"/>
    <w:rsid w:val="06B807E5"/>
    <w:rsid w:val="06BD404D"/>
    <w:rsid w:val="06C158EB"/>
    <w:rsid w:val="06C23411"/>
    <w:rsid w:val="06C947A0"/>
    <w:rsid w:val="06DB44D3"/>
    <w:rsid w:val="06E11A9E"/>
    <w:rsid w:val="06F07F7E"/>
    <w:rsid w:val="06F16AD9"/>
    <w:rsid w:val="06F21F49"/>
    <w:rsid w:val="06F44367"/>
    <w:rsid w:val="06FA5CC9"/>
    <w:rsid w:val="070875E0"/>
    <w:rsid w:val="07091040"/>
    <w:rsid w:val="07127832"/>
    <w:rsid w:val="071F0864"/>
    <w:rsid w:val="07230354"/>
    <w:rsid w:val="07293586"/>
    <w:rsid w:val="07295285"/>
    <w:rsid w:val="073B5A19"/>
    <w:rsid w:val="073E518E"/>
    <w:rsid w:val="074402CA"/>
    <w:rsid w:val="0747785F"/>
    <w:rsid w:val="075D7F93"/>
    <w:rsid w:val="075F5104"/>
    <w:rsid w:val="076E3922"/>
    <w:rsid w:val="07770C56"/>
    <w:rsid w:val="07892E5B"/>
    <w:rsid w:val="078D3A1F"/>
    <w:rsid w:val="07A14329"/>
    <w:rsid w:val="07AD2313"/>
    <w:rsid w:val="07C02047"/>
    <w:rsid w:val="07C338E5"/>
    <w:rsid w:val="07CB4548"/>
    <w:rsid w:val="07CD02C0"/>
    <w:rsid w:val="07D05C2B"/>
    <w:rsid w:val="07DC6755"/>
    <w:rsid w:val="07DE24CD"/>
    <w:rsid w:val="07EE2AB2"/>
    <w:rsid w:val="07F02974"/>
    <w:rsid w:val="0802440D"/>
    <w:rsid w:val="08130A28"/>
    <w:rsid w:val="08133715"/>
    <w:rsid w:val="08187665"/>
    <w:rsid w:val="081A7A43"/>
    <w:rsid w:val="081C05B4"/>
    <w:rsid w:val="0822685D"/>
    <w:rsid w:val="082F2D28"/>
    <w:rsid w:val="08410346"/>
    <w:rsid w:val="08514A4D"/>
    <w:rsid w:val="0854514F"/>
    <w:rsid w:val="08585DDB"/>
    <w:rsid w:val="08767B79"/>
    <w:rsid w:val="0878022B"/>
    <w:rsid w:val="08805332"/>
    <w:rsid w:val="088C5D8F"/>
    <w:rsid w:val="089963F4"/>
    <w:rsid w:val="08A67CF7"/>
    <w:rsid w:val="08AB1AC1"/>
    <w:rsid w:val="08AF79C5"/>
    <w:rsid w:val="08BA4CE8"/>
    <w:rsid w:val="08BE50E8"/>
    <w:rsid w:val="08D00067"/>
    <w:rsid w:val="08D8516E"/>
    <w:rsid w:val="08DA4DD4"/>
    <w:rsid w:val="08E9404F"/>
    <w:rsid w:val="08EE04EE"/>
    <w:rsid w:val="08F6789B"/>
    <w:rsid w:val="09075A53"/>
    <w:rsid w:val="092217DD"/>
    <w:rsid w:val="09297082"/>
    <w:rsid w:val="0932487E"/>
    <w:rsid w:val="09384BB1"/>
    <w:rsid w:val="09385C0D"/>
    <w:rsid w:val="093A7294"/>
    <w:rsid w:val="094D6080"/>
    <w:rsid w:val="096D3B08"/>
    <w:rsid w:val="097F383C"/>
    <w:rsid w:val="0982051C"/>
    <w:rsid w:val="099B68C7"/>
    <w:rsid w:val="099F7A3A"/>
    <w:rsid w:val="09A432A2"/>
    <w:rsid w:val="09B07E99"/>
    <w:rsid w:val="09B72FD5"/>
    <w:rsid w:val="09C120A6"/>
    <w:rsid w:val="09C3197A"/>
    <w:rsid w:val="09D16D58"/>
    <w:rsid w:val="09D2588B"/>
    <w:rsid w:val="09D43B0F"/>
    <w:rsid w:val="09D83AE1"/>
    <w:rsid w:val="09E847B6"/>
    <w:rsid w:val="0A03446D"/>
    <w:rsid w:val="0A1C72DC"/>
    <w:rsid w:val="0A255CC4"/>
    <w:rsid w:val="0A2868DD"/>
    <w:rsid w:val="0A287A2F"/>
    <w:rsid w:val="0A35072C"/>
    <w:rsid w:val="0A3D3A6D"/>
    <w:rsid w:val="0A432ABB"/>
    <w:rsid w:val="0A4505E1"/>
    <w:rsid w:val="0A6A44EC"/>
    <w:rsid w:val="0A6C2012"/>
    <w:rsid w:val="0A6F1B02"/>
    <w:rsid w:val="0A7669ED"/>
    <w:rsid w:val="0A7853DD"/>
    <w:rsid w:val="0A7A5E11"/>
    <w:rsid w:val="0A7B04A7"/>
    <w:rsid w:val="0A8235E3"/>
    <w:rsid w:val="0A8A06EA"/>
    <w:rsid w:val="0A8E1F88"/>
    <w:rsid w:val="0A943999"/>
    <w:rsid w:val="0ABE2142"/>
    <w:rsid w:val="0AC91212"/>
    <w:rsid w:val="0ACB31DC"/>
    <w:rsid w:val="0ACC0D02"/>
    <w:rsid w:val="0AD11E75"/>
    <w:rsid w:val="0AE62C03"/>
    <w:rsid w:val="0AEC6CAF"/>
    <w:rsid w:val="0AEE0C79"/>
    <w:rsid w:val="0AF55D55"/>
    <w:rsid w:val="0AFE63DD"/>
    <w:rsid w:val="0B112BB9"/>
    <w:rsid w:val="0B260413"/>
    <w:rsid w:val="0B380146"/>
    <w:rsid w:val="0B450D7D"/>
    <w:rsid w:val="0B4765DB"/>
    <w:rsid w:val="0B636D58"/>
    <w:rsid w:val="0B65570E"/>
    <w:rsid w:val="0B8D48DD"/>
    <w:rsid w:val="0B983A14"/>
    <w:rsid w:val="0B9F6417"/>
    <w:rsid w:val="0BA92DF2"/>
    <w:rsid w:val="0BB43C70"/>
    <w:rsid w:val="0BC669F3"/>
    <w:rsid w:val="0BD27BF6"/>
    <w:rsid w:val="0BD75BB1"/>
    <w:rsid w:val="0BE34556"/>
    <w:rsid w:val="0BF027CF"/>
    <w:rsid w:val="0BF64289"/>
    <w:rsid w:val="0BF72C49"/>
    <w:rsid w:val="0C05627A"/>
    <w:rsid w:val="0C061FF2"/>
    <w:rsid w:val="0C0A7D34"/>
    <w:rsid w:val="0C146407"/>
    <w:rsid w:val="0C230DF6"/>
    <w:rsid w:val="0C272694"/>
    <w:rsid w:val="0C2A3F33"/>
    <w:rsid w:val="0C2F1549"/>
    <w:rsid w:val="0C2F40C1"/>
    <w:rsid w:val="0C34090D"/>
    <w:rsid w:val="0C6644A2"/>
    <w:rsid w:val="0C7110A4"/>
    <w:rsid w:val="0C7F7145"/>
    <w:rsid w:val="0C9777E3"/>
    <w:rsid w:val="0CAF61E6"/>
    <w:rsid w:val="0CB63A18"/>
    <w:rsid w:val="0CBD6B55"/>
    <w:rsid w:val="0CD345CA"/>
    <w:rsid w:val="0CEF58ED"/>
    <w:rsid w:val="0D004C93"/>
    <w:rsid w:val="0D106589"/>
    <w:rsid w:val="0D1349C7"/>
    <w:rsid w:val="0D224C0A"/>
    <w:rsid w:val="0D29595B"/>
    <w:rsid w:val="0D3A25EB"/>
    <w:rsid w:val="0D3A63F7"/>
    <w:rsid w:val="0D3F50A0"/>
    <w:rsid w:val="0D4E1EA3"/>
    <w:rsid w:val="0D505C1B"/>
    <w:rsid w:val="0D540B40"/>
    <w:rsid w:val="0D544EE6"/>
    <w:rsid w:val="0D5B011C"/>
    <w:rsid w:val="0D837D9E"/>
    <w:rsid w:val="0D8D6150"/>
    <w:rsid w:val="0D9378B6"/>
    <w:rsid w:val="0D9C49BC"/>
    <w:rsid w:val="0DA034E2"/>
    <w:rsid w:val="0DD71E98"/>
    <w:rsid w:val="0DE3083D"/>
    <w:rsid w:val="0E110D06"/>
    <w:rsid w:val="0E155B3E"/>
    <w:rsid w:val="0E2A021A"/>
    <w:rsid w:val="0E2A29EE"/>
    <w:rsid w:val="0E303356"/>
    <w:rsid w:val="0E3A41D5"/>
    <w:rsid w:val="0E4806A0"/>
    <w:rsid w:val="0E4B63E2"/>
    <w:rsid w:val="0E582F77"/>
    <w:rsid w:val="0E6179B4"/>
    <w:rsid w:val="0E6B25E0"/>
    <w:rsid w:val="0E741495"/>
    <w:rsid w:val="0E794CFD"/>
    <w:rsid w:val="0E7C53C8"/>
    <w:rsid w:val="0E963B01"/>
    <w:rsid w:val="0E986DE4"/>
    <w:rsid w:val="0E9C279A"/>
    <w:rsid w:val="0EA0228A"/>
    <w:rsid w:val="0EAF6971"/>
    <w:rsid w:val="0EB153C9"/>
    <w:rsid w:val="0EBA0CEE"/>
    <w:rsid w:val="0EC76517"/>
    <w:rsid w:val="0ECD1FCB"/>
    <w:rsid w:val="0EE20AF5"/>
    <w:rsid w:val="0EE3661B"/>
    <w:rsid w:val="0EEA5BFB"/>
    <w:rsid w:val="0F046CBD"/>
    <w:rsid w:val="0F0B635C"/>
    <w:rsid w:val="0F0C791F"/>
    <w:rsid w:val="0F13775A"/>
    <w:rsid w:val="0F155EB3"/>
    <w:rsid w:val="0F3155D8"/>
    <w:rsid w:val="0F4075C9"/>
    <w:rsid w:val="0F476BAA"/>
    <w:rsid w:val="0F4C2412"/>
    <w:rsid w:val="0F517A28"/>
    <w:rsid w:val="0F5F0397"/>
    <w:rsid w:val="0F7B6853"/>
    <w:rsid w:val="0F87344A"/>
    <w:rsid w:val="0F8A6A96"/>
    <w:rsid w:val="0F9A112B"/>
    <w:rsid w:val="0FAC4C5F"/>
    <w:rsid w:val="0FAE09D7"/>
    <w:rsid w:val="0FBC30F4"/>
    <w:rsid w:val="0FBF2BE4"/>
    <w:rsid w:val="0FCE1079"/>
    <w:rsid w:val="0FD52407"/>
    <w:rsid w:val="0FDF5034"/>
    <w:rsid w:val="0FE64614"/>
    <w:rsid w:val="0FF53605"/>
    <w:rsid w:val="0FF7237E"/>
    <w:rsid w:val="10093E5F"/>
    <w:rsid w:val="100F5919"/>
    <w:rsid w:val="101A659B"/>
    <w:rsid w:val="101B4F1B"/>
    <w:rsid w:val="103510F8"/>
    <w:rsid w:val="10390BE8"/>
    <w:rsid w:val="10521CAA"/>
    <w:rsid w:val="105552F6"/>
    <w:rsid w:val="105B1BF8"/>
    <w:rsid w:val="106519DD"/>
    <w:rsid w:val="10685029"/>
    <w:rsid w:val="10686DD7"/>
    <w:rsid w:val="106D2F64"/>
    <w:rsid w:val="107240FA"/>
    <w:rsid w:val="107732EB"/>
    <w:rsid w:val="10802A3A"/>
    <w:rsid w:val="10853E2D"/>
    <w:rsid w:val="109B71AD"/>
    <w:rsid w:val="10A047CB"/>
    <w:rsid w:val="10B5184D"/>
    <w:rsid w:val="10B63710"/>
    <w:rsid w:val="10BD52CB"/>
    <w:rsid w:val="10BE2E9B"/>
    <w:rsid w:val="10D475C5"/>
    <w:rsid w:val="10D872D0"/>
    <w:rsid w:val="10ED552F"/>
    <w:rsid w:val="10F44B0F"/>
    <w:rsid w:val="10F93ED3"/>
    <w:rsid w:val="11001706"/>
    <w:rsid w:val="111C2F7A"/>
    <w:rsid w:val="111E4721"/>
    <w:rsid w:val="111F7DDE"/>
    <w:rsid w:val="112847B9"/>
    <w:rsid w:val="113013DE"/>
    <w:rsid w:val="11395C46"/>
    <w:rsid w:val="115D222C"/>
    <w:rsid w:val="116021A5"/>
    <w:rsid w:val="11676993"/>
    <w:rsid w:val="117F087D"/>
    <w:rsid w:val="119E5305"/>
    <w:rsid w:val="11A02B59"/>
    <w:rsid w:val="11A7392F"/>
    <w:rsid w:val="11A8210D"/>
    <w:rsid w:val="11AB47AE"/>
    <w:rsid w:val="11CE5360"/>
    <w:rsid w:val="11D010D8"/>
    <w:rsid w:val="11E572B8"/>
    <w:rsid w:val="11F748B7"/>
    <w:rsid w:val="11FF376C"/>
    <w:rsid w:val="120909B4"/>
    <w:rsid w:val="121865DB"/>
    <w:rsid w:val="121B40A2"/>
    <w:rsid w:val="122B06C2"/>
    <w:rsid w:val="12415B32"/>
    <w:rsid w:val="12443874"/>
    <w:rsid w:val="124A4ACF"/>
    <w:rsid w:val="12503FC7"/>
    <w:rsid w:val="127E0B34"/>
    <w:rsid w:val="1283439D"/>
    <w:rsid w:val="12906AB9"/>
    <w:rsid w:val="12910C6D"/>
    <w:rsid w:val="12912285"/>
    <w:rsid w:val="129575EE"/>
    <w:rsid w:val="1299771C"/>
    <w:rsid w:val="12B82A11"/>
    <w:rsid w:val="12CD0F9C"/>
    <w:rsid w:val="12DC3AAD"/>
    <w:rsid w:val="12E017EF"/>
    <w:rsid w:val="12F069E1"/>
    <w:rsid w:val="130F5C30"/>
    <w:rsid w:val="132D60B6"/>
    <w:rsid w:val="136C2A5D"/>
    <w:rsid w:val="136F66CF"/>
    <w:rsid w:val="13793E43"/>
    <w:rsid w:val="137C6962"/>
    <w:rsid w:val="13951726"/>
    <w:rsid w:val="13A445CA"/>
    <w:rsid w:val="13A46379"/>
    <w:rsid w:val="13AA5959"/>
    <w:rsid w:val="13B011C1"/>
    <w:rsid w:val="13BA5B9C"/>
    <w:rsid w:val="13BD568C"/>
    <w:rsid w:val="13CE1647"/>
    <w:rsid w:val="13CE4400"/>
    <w:rsid w:val="13D50C28"/>
    <w:rsid w:val="13FD017F"/>
    <w:rsid w:val="14074B59"/>
    <w:rsid w:val="14396509"/>
    <w:rsid w:val="1447165C"/>
    <w:rsid w:val="14641FAC"/>
    <w:rsid w:val="146B158C"/>
    <w:rsid w:val="147022CB"/>
    <w:rsid w:val="147715F1"/>
    <w:rsid w:val="14832432"/>
    <w:rsid w:val="14846184"/>
    <w:rsid w:val="14865459"/>
    <w:rsid w:val="149B5620"/>
    <w:rsid w:val="14A07B27"/>
    <w:rsid w:val="14A64372"/>
    <w:rsid w:val="14AF76CB"/>
    <w:rsid w:val="14B71522"/>
    <w:rsid w:val="14CE4900"/>
    <w:rsid w:val="14DA401C"/>
    <w:rsid w:val="14DB226E"/>
    <w:rsid w:val="14E013D0"/>
    <w:rsid w:val="14E10EA9"/>
    <w:rsid w:val="14EF3F6B"/>
    <w:rsid w:val="14F00BE4"/>
    <w:rsid w:val="14FC3F92"/>
    <w:rsid w:val="15015A4D"/>
    <w:rsid w:val="15064E11"/>
    <w:rsid w:val="152D05F0"/>
    <w:rsid w:val="153B777B"/>
    <w:rsid w:val="153D71A3"/>
    <w:rsid w:val="1544050E"/>
    <w:rsid w:val="15545B7C"/>
    <w:rsid w:val="155C1982"/>
    <w:rsid w:val="155E2E9F"/>
    <w:rsid w:val="15632263"/>
    <w:rsid w:val="15695ACC"/>
    <w:rsid w:val="156A53A0"/>
    <w:rsid w:val="156F6E5A"/>
    <w:rsid w:val="1585667E"/>
    <w:rsid w:val="15856880"/>
    <w:rsid w:val="158E72E0"/>
    <w:rsid w:val="15A5287C"/>
    <w:rsid w:val="15B157E7"/>
    <w:rsid w:val="15E50ECA"/>
    <w:rsid w:val="15EA64E1"/>
    <w:rsid w:val="15EB1273"/>
    <w:rsid w:val="15F01FB8"/>
    <w:rsid w:val="15F15AC1"/>
    <w:rsid w:val="15FA4976"/>
    <w:rsid w:val="15FC6940"/>
    <w:rsid w:val="161377E5"/>
    <w:rsid w:val="161D3901"/>
    <w:rsid w:val="1627459D"/>
    <w:rsid w:val="162D4D4B"/>
    <w:rsid w:val="163321D8"/>
    <w:rsid w:val="16504596"/>
    <w:rsid w:val="165D271C"/>
    <w:rsid w:val="1662251B"/>
    <w:rsid w:val="166729BF"/>
    <w:rsid w:val="1671458A"/>
    <w:rsid w:val="167B7F56"/>
    <w:rsid w:val="1681108D"/>
    <w:rsid w:val="16907088"/>
    <w:rsid w:val="16943E1C"/>
    <w:rsid w:val="16A967D3"/>
    <w:rsid w:val="16AE750E"/>
    <w:rsid w:val="16BA5EB3"/>
    <w:rsid w:val="16CA07EC"/>
    <w:rsid w:val="16D451C7"/>
    <w:rsid w:val="16DE7DF3"/>
    <w:rsid w:val="16E4465E"/>
    <w:rsid w:val="16F740A2"/>
    <w:rsid w:val="16F969DB"/>
    <w:rsid w:val="16FD47A0"/>
    <w:rsid w:val="16FF7E11"/>
    <w:rsid w:val="17081314"/>
    <w:rsid w:val="17125CEF"/>
    <w:rsid w:val="17133B2F"/>
    <w:rsid w:val="1731694B"/>
    <w:rsid w:val="173A0CD8"/>
    <w:rsid w:val="176127D3"/>
    <w:rsid w:val="17641F26"/>
    <w:rsid w:val="176B6475"/>
    <w:rsid w:val="176D73C9"/>
    <w:rsid w:val="17735226"/>
    <w:rsid w:val="17B013D0"/>
    <w:rsid w:val="17B648CC"/>
    <w:rsid w:val="17CA0378"/>
    <w:rsid w:val="17D160DD"/>
    <w:rsid w:val="17E4506E"/>
    <w:rsid w:val="17F04282"/>
    <w:rsid w:val="17F55548"/>
    <w:rsid w:val="180457CB"/>
    <w:rsid w:val="18154707"/>
    <w:rsid w:val="181B6E25"/>
    <w:rsid w:val="182E4DAB"/>
    <w:rsid w:val="183A374F"/>
    <w:rsid w:val="183E64B1"/>
    <w:rsid w:val="1844637C"/>
    <w:rsid w:val="18477C1A"/>
    <w:rsid w:val="18557B3F"/>
    <w:rsid w:val="18585984"/>
    <w:rsid w:val="18876269"/>
    <w:rsid w:val="188E1230"/>
    <w:rsid w:val="18925080"/>
    <w:rsid w:val="18A32063"/>
    <w:rsid w:val="18AC5CCF"/>
    <w:rsid w:val="18B232E6"/>
    <w:rsid w:val="18C01B9C"/>
    <w:rsid w:val="18CB25F9"/>
    <w:rsid w:val="18D45952"/>
    <w:rsid w:val="18E03155"/>
    <w:rsid w:val="18E629FF"/>
    <w:rsid w:val="1900159C"/>
    <w:rsid w:val="19151AC7"/>
    <w:rsid w:val="192561AE"/>
    <w:rsid w:val="192A5572"/>
    <w:rsid w:val="193957B5"/>
    <w:rsid w:val="19483C4A"/>
    <w:rsid w:val="19674D64"/>
    <w:rsid w:val="1972340D"/>
    <w:rsid w:val="19C14F9A"/>
    <w:rsid w:val="19D454DE"/>
    <w:rsid w:val="19D76D7C"/>
    <w:rsid w:val="19DB686C"/>
    <w:rsid w:val="19EA6AAF"/>
    <w:rsid w:val="19ED659F"/>
    <w:rsid w:val="19F02DAB"/>
    <w:rsid w:val="19F65454"/>
    <w:rsid w:val="19F668E2"/>
    <w:rsid w:val="19FB0CBC"/>
    <w:rsid w:val="19FB50E7"/>
    <w:rsid w:val="19FE44A2"/>
    <w:rsid w:val="1A004525"/>
    <w:rsid w:val="1A115902"/>
    <w:rsid w:val="1A165AF6"/>
    <w:rsid w:val="1A1C66C0"/>
    <w:rsid w:val="1A240213"/>
    <w:rsid w:val="1A2521DD"/>
    <w:rsid w:val="1A3F53E4"/>
    <w:rsid w:val="1A42180E"/>
    <w:rsid w:val="1A42393B"/>
    <w:rsid w:val="1A4E0334"/>
    <w:rsid w:val="1A5B175B"/>
    <w:rsid w:val="1A5D2BED"/>
    <w:rsid w:val="1A6525DA"/>
    <w:rsid w:val="1A6A14B2"/>
    <w:rsid w:val="1A761976"/>
    <w:rsid w:val="1A7E3A7B"/>
    <w:rsid w:val="1A98650B"/>
    <w:rsid w:val="1A9B5FFB"/>
    <w:rsid w:val="1AA94BBC"/>
    <w:rsid w:val="1AA9565B"/>
    <w:rsid w:val="1AB070AD"/>
    <w:rsid w:val="1AC45552"/>
    <w:rsid w:val="1ADA6B24"/>
    <w:rsid w:val="1ADE4866"/>
    <w:rsid w:val="1ADF60A7"/>
    <w:rsid w:val="1B0167A6"/>
    <w:rsid w:val="1B046F80"/>
    <w:rsid w:val="1B067919"/>
    <w:rsid w:val="1B155DAE"/>
    <w:rsid w:val="1B28788F"/>
    <w:rsid w:val="1B3267B5"/>
    <w:rsid w:val="1B3501FE"/>
    <w:rsid w:val="1B3721C8"/>
    <w:rsid w:val="1B3D1C0A"/>
    <w:rsid w:val="1B460C2A"/>
    <w:rsid w:val="1B4D5548"/>
    <w:rsid w:val="1B522B5E"/>
    <w:rsid w:val="1B610FF3"/>
    <w:rsid w:val="1B6603B7"/>
    <w:rsid w:val="1B662AAD"/>
    <w:rsid w:val="1B6A60FA"/>
    <w:rsid w:val="1B770817"/>
    <w:rsid w:val="1B7A20B5"/>
    <w:rsid w:val="1B7C5E2D"/>
    <w:rsid w:val="1B9A62B3"/>
    <w:rsid w:val="1B9D3F30"/>
    <w:rsid w:val="1BA62EAA"/>
    <w:rsid w:val="1BC25DC8"/>
    <w:rsid w:val="1BC577F3"/>
    <w:rsid w:val="1BD96DDB"/>
    <w:rsid w:val="1BDB7A0C"/>
    <w:rsid w:val="1BE649E3"/>
    <w:rsid w:val="1BF9024B"/>
    <w:rsid w:val="1BFD19DB"/>
    <w:rsid w:val="1C033E58"/>
    <w:rsid w:val="1C0F6CA1"/>
    <w:rsid w:val="1C183DA8"/>
    <w:rsid w:val="1C2C1601"/>
    <w:rsid w:val="1C2E114E"/>
    <w:rsid w:val="1C44694B"/>
    <w:rsid w:val="1C5E7925"/>
    <w:rsid w:val="1C7A5F13"/>
    <w:rsid w:val="1C7B4FCF"/>
    <w:rsid w:val="1C887FC8"/>
    <w:rsid w:val="1C8925AF"/>
    <w:rsid w:val="1C8C1F0E"/>
    <w:rsid w:val="1C8C6544"/>
    <w:rsid w:val="1C9D42AD"/>
    <w:rsid w:val="1CA218C3"/>
    <w:rsid w:val="1CA7512B"/>
    <w:rsid w:val="1CBF06C7"/>
    <w:rsid w:val="1CC7132A"/>
    <w:rsid w:val="1CCC06EE"/>
    <w:rsid w:val="1CE95F19"/>
    <w:rsid w:val="1CE974F2"/>
    <w:rsid w:val="1CFA525B"/>
    <w:rsid w:val="1CFB33E5"/>
    <w:rsid w:val="1D0D49A0"/>
    <w:rsid w:val="1D1327C1"/>
    <w:rsid w:val="1D1F4CC2"/>
    <w:rsid w:val="1D245F33"/>
    <w:rsid w:val="1D305121"/>
    <w:rsid w:val="1D4328BD"/>
    <w:rsid w:val="1D49724F"/>
    <w:rsid w:val="1D5F5A06"/>
    <w:rsid w:val="1D5F6196"/>
    <w:rsid w:val="1D6132A5"/>
    <w:rsid w:val="1D6800AF"/>
    <w:rsid w:val="1D750D86"/>
    <w:rsid w:val="1D76400B"/>
    <w:rsid w:val="1D81772B"/>
    <w:rsid w:val="1D886D0B"/>
    <w:rsid w:val="1D8E56D5"/>
    <w:rsid w:val="1DAE5952"/>
    <w:rsid w:val="1DAF4298"/>
    <w:rsid w:val="1DB7139E"/>
    <w:rsid w:val="1DB96EC4"/>
    <w:rsid w:val="1DC35F95"/>
    <w:rsid w:val="1DCA7D1D"/>
    <w:rsid w:val="1E032835"/>
    <w:rsid w:val="1E14234D"/>
    <w:rsid w:val="1E1C7453"/>
    <w:rsid w:val="1E200BF1"/>
    <w:rsid w:val="1E205195"/>
    <w:rsid w:val="1E214214"/>
    <w:rsid w:val="1E3173A3"/>
    <w:rsid w:val="1E4A0464"/>
    <w:rsid w:val="1E577B9C"/>
    <w:rsid w:val="1E607030"/>
    <w:rsid w:val="1E6D7CAF"/>
    <w:rsid w:val="1E7726E6"/>
    <w:rsid w:val="1E7A43DA"/>
    <w:rsid w:val="1E7D57C9"/>
    <w:rsid w:val="1E85324A"/>
    <w:rsid w:val="1E8A654D"/>
    <w:rsid w:val="1E9D52F6"/>
    <w:rsid w:val="1EA23DFC"/>
    <w:rsid w:val="1EB277FE"/>
    <w:rsid w:val="1EC45B21"/>
    <w:rsid w:val="1EC83FEA"/>
    <w:rsid w:val="1ED1023E"/>
    <w:rsid w:val="1ED33FB6"/>
    <w:rsid w:val="1EE53CE9"/>
    <w:rsid w:val="1EFA334B"/>
    <w:rsid w:val="1F014CC6"/>
    <w:rsid w:val="1F022B3A"/>
    <w:rsid w:val="1F0523BF"/>
    <w:rsid w:val="1F0D04FF"/>
    <w:rsid w:val="1F134B0A"/>
    <w:rsid w:val="1F144DBA"/>
    <w:rsid w:val="1F3507CD"/>
    <w:rsid w:val="1F3802BD"/>
    <w:rsid w:val="1F413615"/>
    <w:rsid w:val="1F4153C3"/>
    <w:rsid w:val="1F443106"/>
    <w:rsid w:val="1F5211D5"/>
    <w:rsid w:val="1F572146"/>
    <w:rsid w:val="1F576995"/>
    <w:rsid w:val="1F5C3FAB"/>
    <w:rsid w:val="1F60101F"/>
    <w:rsid w:val="1F763715"/>
    <w:rsid w:val="1F813BEE"/>
    <w:rsid w:val="1F890B18"/>
    <w:rsid w:val="1FA53BA4"/>
    <w:rsid w:val="1FA871F0"/>
    <w:rsid w:val="1FAA6C81"/>
    <w:rsid w:val="1FB2006F"/>
    <w:rsid w:val="1FB74E23"/>
    <w:rsid w:val="1FC009DE"/>
    <w:rsid w:val="1FCA53B9"/>
    <w:rsid w:val="1FD245EA"/>
    <w:rsid w:val="1FE7539E"/>
    <w:rsid w:val="1FE83A91"/>
    <w:rsid w:val="20234AC9"/>
    <w:rsid w:val="202949B6"/>
    <w:rsid w:val="203C5718"/>
    <w:rsid w:val="204F58BE"/>
    <w:rsid w:val="20531852"/>
    <w:rsid w:val="20557D44"/>
    <w:rsid w:val="2059498F"/>
    <w:rsid w:val="205E01F7"/>
    <w:rsid w:val="20803CC9"/>
    <w:rsid w:val="20963CB8"/>
    <w:rsid w:val="20A063BC"/>
    <w:rsid w:val="20A8226A"/>
    <w:rsid w:val="20AC07C3"/>
    <w:rsid w:val="20B07FB6"/>
    <w:rsid w:val="20BD316F"/>
    <w:rsid w:val="20C242E2"/>
    <w:rsid w:val="20C55B80"/>
    <w:rsid w:val="20D52267"/>
    <w:rsid w:val="20E56222"/>
    <w:rsid w:val="20EF0E4F"/>
    <w:rsid w:val="20F052F3"/>
    <w:rsid w:val="20FE25D0"/>
    <w:rsid w:val="20FF7578"/>
    <w:rsid w:val="21004E0A"/>
    <w:rsid w:val="210B52D2"/>
    <w:rsid w:val="21240AF9"/>
    <w:rsid w:val="212834B1"/>
    <w:rsid w:val="21333432"/>
    <w:rsid w:val="213B74B1"/>
    <w:rsid w:val="213C22E6"/>
    <w:rsid w:val="214518A9"/>
    <w:rsid w:val="21570ECE"/>
    <w:rsid w:val="215A2310"/>
    <w:rsid w:val="215D233E"/>
    <w:rsid w:val="216435EB"/>
    <w:rsid w:val="216B497A"/>
    <w:rsid w:val="216C6E3A"/>
    <w:rsid w:val="2173382E"/>
    <w:rsid w:val="218254BE"/>
    <w:rsid w:val="219537A4"/>
    <w:rsid w:val="219E4D4F"/>
    <w:rsid w:val="21A34113"/>
    <w:rsid w:val="21AD0AEE"/>
    <w:rsid w:val="21AE3327"/>
    <w:rsid w:val="21B75E11"/>
    <w:rsid w:val="21B87493"/>
    <w:rsid w:val="21C1390C"/>
    <w:rsid w:val="21CF4F08"/>
    <w:rsid w:val="21DE318A"/>
    <w:rsid w:val="21E07116"/>
    <w:rsid w:val="21E32762"/>
    <w:rsid w:val="21E6722A"/>
    <w:rsid w:val="21EF5B80"/>
    <w:rsid w:val="21F030D1"/>
    <w:rsid w:val="21FA5CFD"/>
    <w:rsid w:val="21FD3902"/>
    <w:rsid w:val="220D77DF"/>
    <w:rsid w:val="221943D6"/>
    <w:rsid w:val="221C2AAE"/>
    <w:rsid w:val="222B4109"/>
    <w:rsid w:val="223236E9"/>
    <w:rsid w:val="22347461"/>
    <w:rsid w:val="22356D36"/>
    <w:rsid w:val="223B434C"/>
    <w:rsid w:val="22494722"/>
    <w:rsid w:val="225278E7"/>
    <w:rsid w:val="2254540E"/>
    <w:rsid w:val="22561186"/>
    <w:rsid w:val="22573150"/>
    <w:rsid w:val="22574EFE"/>
    <w:rsid w:val="22576990"/>
    <w:rsid w:val="22576F0B"/>
    <w:rsid w:val="22752581"/>
    <w:rsid w:val="22773739"/>
    <w:rsid w:val="227B6E3E"/>
    <w:rsid w:val="228850B7"/>
    <w:rsid w:val="228F1A32"/>
    <w:rsid w:val="22917F09"/>
    <w:rsid w:val="22934188"/>
    <w:rsid w:val="229C4EAB"/>
    <w:rsid w:val="22B14FF7"/>
    <w:rsid w:val="22BD1205"/>
    <w:rsid w:val="22D8603F"/>
    <w:rsid w:val="22E42DB7"/>
    <w:rsid w:val="22FA4207"/>
    <w:rsid w:val="22FE11E8"/>
    <w:rsid w:val="230E4C02"/>
    <w:rsid w:val="231057D9"/>
    <w:rsid w:val="23137077"/>
    <w:rsid w:val="23152DEF"/>
    <w:rsid w:val="231A0405"/>
    <w:rsid w:val="232402E6"/>
    <w:rsid w:val="232F19D7"/>
    <w:rsid w:val="2335523F"/>
    <w:rsid w:val="23383427"/>
    <w:rsid w:val="23443425"/>
    <w:rsid w:val="234C2589"/>
    <w:rsid w:val="234E7DF4"/>
    <w:rsid w:val="23566F63"/>
    <w:rsid w:val="239857CE"/>
    <w:rsid w:val="23AF726E"/>
    <w:rsid w:val="23B26890"/>
    <w:rsid w:val="23B82995"/>
    <w:rsid w:val="23BA5744"/>
    <w:rsid w:val="23C82878"/>
    <w:rsid w:val="23D34A58"/>
    <w:rsid w:val="23E21485"/>
    <w:rsid w:val="23E40A13"/>
    <w:rsid w:val="23E629DD"/>
    <w:rsid w:val="240B2444"/>
    <w:rsid w:val="240D7F6A"/>
    <w:rsid w:val="241248AA"/>
    <w:rsid w:val="241810DD"/>
    <w:rsid w:val="2420675F"/>
    <w:rsid w:val="243A0633"/>
    <w:rsid w:val="244871F4"/>
    <w:rsid w:val="24523BCF"/>
    <w:rsid w:val="245E4322"/>
    <w:rsid w:val="248024EA"/>
    <w:rsid w:val="249B37C8"/>
    <w:rsid w:val="24B8181C"/>
    <w:rsid w:val="24B81D8D"/>
    <w:rsid w:val="24BC729A"/>
    <w:rsid w:val="24C30629"/>
    <w:rsid w:val="24DD3157"/>
    <w:rsid w:val="24EF7670"/>
    <w:rsid w:val="24F20F0E"/>
    <w:rsid w:val="24FB7DC2"/>
    <w:rsid w:val="25007ACF"/>
    <w:rsid w:val="25010F47"/>
    <w:rsid w:val="25257535"/>
    <w:rsid w:val="252B4B4C"/>
    <w:rsid w:val="252D53FE"/>
    <w:rsid w:val="25311A36"/>
    <w:rsid w:val="25363E8C"/>
    <w:rsid w:val="2536485B"/>
    <w:rsid w:val="25493224"/>
    <w:rsid w:val="2549584E"/>
    <w:rsid w:val="256736AA"/>
    <w:rsid w:val="2573204F"/>
    <w:rsid w:val="2584600A"/>
    <w:rsid w:val="259C77F7"/>
    <w:rsid w:val="259F2E44"/>
    <w:rsid w:val="25A0096A"/>
    <w:rsid w:val="25A1485A"/>
    <w:rsid w:val="25B6018D"/>
    <w:rsid w:val="25B61F3B"/>
    <w:rsid w:val="25C1725E"/>
    <w:rsid w:val="25C5489E"/>
    <w:rsid w:val="25CF1565"/>
    <w:rsid w:val="25D43FE6"/>
    <w:rsid w:val="25E44CFA"/>
    <w:rsid w:val="25E76599"/>
    <w:rsid w:val="25EC2D81"/>
    <w:rsid w:val="25F52A64"/>
    <w:rsid w:val="25FB3788"/>
    <w:rsid w:val="2610789E"/>
    <w:rsid w:val="261579A4"/>
    <w:rsid w:val="2629095F"/>
    <w:rsid w:val="26296BB1"/>
    <w:rsid w:val="262F241A"/>
    <w:rsid w:val="264528BD"/>
    <w:rsid w:val="264F6618"/>
    <w:rsid w:val="265C01CB"/>
    <w:rsid w:val="266010C4"/>
    <w:rsid w:val="26607858"/>
    <w:rsid w:val="2665408D"/>
    <w:rsid w:val="267B565F"/>
    <w:rsid w:val="2689097A"/>
    <w:rsid w:val="26955FF5"/>
    <w:rsid w:val="26A83F7A"/>
    <w:rsid w:val="26AA7CF2"/>
    <w:rsid w:val="26AD333E"/>
    <w:rsid w:val="26D35F0E"/>
    <w:rsid w:val="26D7485F"/>
    <w:rsid w:val="26D92385"/>
    <w:rsid w:val="26F251F5"/>
    <w:rsid w:val="26F96584"/>
    <w:rsid w:val="270A69E3"/>
    <w:rsid w:val="27147861"/>
    <w:rsid w:val="27164325"/>
    <w:rsid w:val="271B016D"/>
    <w:rsid w:val="27277595"/>
    <w:rsid w:val="272A2BE1"/>
    <w:rsid w:val="275B0FEC"/>
    <w:rsid w:val="275B2D9A"/>
    <w:rsid w:val="2767173F"/>
    <w:rsid w:val="27684462"/>
    <w:rsid w:val="276B56D3"/>
    <w:rsid w:val="276C144B"/>
    <w:rsid w:val="277E586A"/>
    <w:rsid w:val="27822A1D"/>
    <w:rsid w:val="278E4F1E"/>
    <w:rsid w:val="278F3C1E"/>
    <w:rsid w:val="27B150B0"/>
    <w:rsid w:val="27B23302"/>
    <w:rsid w:val="27D019DA"/>
    <w:rsid w:val="27D15DD1"/>
    <w:rsid w:val="27DF39CB"/>
    <w:rsid w:val="27E014F2"/>
    <w:rsid w:val="27E17B0F"/>
    <w:rsid w:val="27E72D74"/>
    <w:rsid w:val="27E9484A"/>
    <w:rsid w:val="27EE3C0E"/>
    <w:rsid w:val="27F14416"/>
    <w:rsid w:val="27FC632B"/>
    <w:rsid w:val="28016AC5"/>
    <w:rsid w:val="28173165"/>
    <w:rsid w:val="281C4C20"/>
    <w:rsid w:val="28213FE4"/>
    <w:rsid w:val="282411FF"/>
    <w:rsid w:val="282B1D3A"/>
    <w:rsid w:val="283A6E54"/>
    <w:rsid w:val="283D4410"/>
    <w:rsid w:val="28455755"/>
    <w:rsid w:val="28596130"/>
    <w:rsid w:val="286027AE"/>
    <w:rsid w:val="286E4D4F"/>
    <w:rsid w:val="28742579"/>
    <w:rsid w:val="28757CB3"/>
    <w:rsid w:val="287700A8"/>
    <w:rsid w:val="287D23A0"/>
    <w:rsid w:val="28A76295"/>
    <w:rsid w:val="28AB7D51"/>
    <w:rsid w:val="28BE1833"/>
    <w:rsid w:val="28C130D1"/>
    <w:rsid w:val="28C332ED"/>
    <w:rsid w:val="28C66939"/>
    <w:rsid w:val="28CF57EE"/>
    <w:rsid w:val="28DC7F0B"/>
    <w:rsid w:val="28DE064F"/>
    <w:rsid w:val="28ED2118"/>
    <w:rsid w:val="28F01E2E"/>
    <w:rsid w:val="29103E69"/>
    <w:rsid w:val="2916341D"/>
    <w:rsid w:val="291B67F2"/>
    <w:rsid w:val="29206EB8"/>
    <w:rsid w:val="29283150"/>
    <w:rsid w:val="292875F4"/>
    <w:rsid w:val="29323FCF"/>
    <w:rsid w:val="293435B5"/>
    <w:rsid w:val="29345F99"/>
    <w:rsid w:val="294A1C27"/>
    <w:rsid w:val="294D2BB7"/>
    <w:rsid w:val="29542197"/>
    <w:rsid w:val="29567CBD"/>
    <w:rsid w:val="29581C87"/>
    <w:rsid w:val="296C5733"/>
    <w:rsid w:val="296F0D7F"/>
    <w:rsid w:val="297A35F7"/>
    <w:rsid w:val="298567F4"/>
    <w:rsid w:val="2996630C"/>
    <w:rsid w:val="29A21154"/>
    <w:rsid w:val="29A749BD"/>
    <w:rsid w:val="29B11398"/>
    <w:rsid w:val="29B11BA2"/>
    <w:rsid w:val="29B36EBE"/>
    <w:rsid w:val="29BD1AEA"/>
    <w:rsid w:val="29C410CB"/>
    <w:rsid w:val="29CC7F7F"/>
    <w:rsid w:val="29CE1F49"/>
    <w:rsid w:val="29D21374"/>
    <w:rsid w:val="29E325E0"/>
    <w:rsid w:val="29E42591"/>
    <w:rsid w:val="29F12942"/>
    <w:rsid w:val="29F64FFC"/>
    <w:rsid w:val="2A007C29"/>
    <w:rsid w:val="2A0B6CFA"/>
    <w:rsid w:val="2A1060BE"/>
    <w:rsid w:val="2A136D89"/>
    <w:rsid w:val="2A251E96"/>
    <w:rsid w:val="2A32262F"/>
    <w:rsid w:val="2A36189D"/>
    <w:rsid w:val="2A38069D"/>
    <w:rsid w:val="2A41271B"/>
    <w:rsid w:val="2A452503"/>
    <w:rsid w:val="2A4F3E17"/>
    <w:rsid w:val="2A557F75"/>
    <w:rsid w:val="2A5F2BA2"/>
    <w:rsid w:val="2A771649"/>
    <w:rsid w:val="2A77438F"/>
    <w:rsid w:val="2A842A4D"/>
    <w:rsid w:val="2A9211C9"/>
    <w:rsid w:val="2A946CEF"/>
    <w:rsid w:val="2A994305"/>
    <w:rsid w:val="2A9C61B1"/>
    <w:rsid w:val="2AB27A2C"/>
    <w:rsid w:val="2AB72399"/>
    <w:rsid w:val="2ABE1FBE"/>
    <w:rsid w:val="2ABF7AE4"/>
    <w:rsid w:val="2AC450FA"/>
    <w:rsid w:val="2AC60E73"/>
    <w:rsid w:val="2AD01CF1"/>
    <w:rsid w:val="2ADA74B8"/>
    <w:rsid w:val="2AE56937"/>
    <w:rsid w:val="2AE632C3"/>
    <w:rsid w:val="2AEA4B61"/>
    <w:rsid w:val="2AF552B4"/>
    <w:rsid w:val="2B0D4CF3"/>
    <w:rsid w:val="2B125E66"/>
    <w:rsid w:val="2B25203D"/>
    <w:rsid w:val="2B2D2427"/>
    <w:rsid w:val="2B502122"/>
    <w:rsid w:val="2B51698E"/>
    <w:rsid w:val="2B577D1D"/>
    <w:rsid w:val="2B64335D"/>
    <w:rsid w:val="2B650FCD"/>
    <w:rsid w:val="2B7335D1"/>
    <w:rsid w:val="2B815C5C"/>
    <w:rsid w:val="2B88437A"/>
    <w:rsid w:val="2B9C3D08"/>
    <w:rsid w:val="2BA511AC"/>
    <w:rsid w:val="2BA936A8"/>
    <w:rsid w:val="2BA971BE"/>
    <w:rsid w:val="2BAA613D"/>
    <w:rsid w:val="2BC84B7C"/>
    <w:rsid w:val="2BDA6FC1"/>
    <w:rsid w:val="2BDD46C6"/>
    <w:rsid w:val="2BE833E8"/>
    <w:rsid w:val="2BF11F1F"/>
    <w:rsid w:val="2BF23200"/>
    <w:rsid w:val="2BFA7026"/>
    <w:rsid w:val="2BFF463C"/>
    <w:rsid w:val="2C0559CB"/>
    <w:rsid w:val="2C071743"/>
    <w:rsid w:val="2C0E1068"/>
    <w:rsid w:val="2C197DB7"/>
    <w:rsid w:val="2C1D0F66"/>
    <w:rsid w:val="2C1F6A8C"/>
    <w:rsid w:val="2C267E1B"/>
    <w:rsid w:val="2C315A5A"/>
    <w:rsid w:val="2C332538"/>
    <w:rsid w:val="2C351E0C"/>
    <w:rsid w:val="2C380C9C"/>
    <w:rsid w:val="2C567CDD"/>
    <w:rsid w:val="2C602C01"/>
    <w:rsid w:val="2C6B3A80"/>
    <w:rsid w:val="2C7548FE"/>
    <w:rsid w:val="2C8B2374"/>
    <w:rsid w:val="2C970DE7"/>
    <w:rsid w:val="2C9A25B7"/>
    <w:rsid w:val="2C9E1327"/>
    <w:rsid w:val="2CAD5E46"/>
    <w:rsid w:val="2CDF446E"/>
    <w:rsid w:val="2CEC38AD"/>
    <w:rsid w:val="2CEF5652"/>
    <w:rsid w:val="2CF9552F"/>
    <w:rsid w:val="2D0637A8"/>
    <w:rsid w:val="2D095368"/>
    <w:rsid w:val="2D142369"/>
    <w:rsid w:val="2D1C7470"/>
    <w:rsid w:val="2D2A43DC"/>
    <w:rsid w:val="2D396659"/>
    <w:rsid w:val="2D55028C"/>
    <w:rsid w:val="2D5C05DE"/>
    <w:rsid w:val="2D6A1F89"/>
    <w:rsid w:val="2D6B7AAF"/>
    <w:rsid w:val="2D7740A4"/>
    <w:rsid w:val="2D776454"/>
    <w:rsid w:val="2D8079FF"/>
    <w:rsid w:val="2D8D7A26"/>
    <w:rsid w:val="2D960FD0"/>
    <w:rsid w:val="2D991C06"/>
    <w:rsid w:val="2D9E56F5"/>
    <w:rsid w:val="2DA07759"/>
    <w:rsid w:val="2DAE3209"/>
    <w:rsid w:val="2DC37457"/>
    <w:rsid w:val="2DCA2A28"/>
    <w:rsid w:val="2DD16AB3"/>
    <w:rsid w:val="2DD35562"/>
    <w:rsid w:val="2DDB2E87"/>
    <w:rsid w:val="2DDD6BFF"/>
    <w:rsid w:val="2DE2007E"/>
    <w:rsid w:val="2DEC46A0"/>
    <w:rsid w:val="2DFB52D7"/>
    <w:rsid w:val="2E03446D"/>
    <w:rsid w:val="2E057F04"/>
    <w:rsid w:val="2E115E83"/>
    <w:rsid w:val="2E240862"/>
    <w:rsid w:val="2E2B7D01"/>
    <w:rsid w:val="2E2E1209"/>
    <w:rsid w:val="2E374561"/>
    <w:rsid w:val="2E4C168F"/>
    <w:rsid w:val="2E6469D8"/>
    <w:rsid w:val="2E667F96"/>
    <w:rsid w:val="2E672B09"/>
    <w:rsid w:val="2E725599"/>
    <w:rsid w:val="2E741BA3"/>
    <w:rsid w:val="2E8226AB"/>
    <w:rsid w:val="2EB55486"/>
    <w:rsid w:val="2EB57234"/>
    <w:rsid w:val="2EC94544"/>
    <w:rsid w:val="2ECD27D0"/>
    <w:rsid w:val="2ED33B5E"/>
    <w:rsid w:val="2EFE0BDB"/>
    <w:rsid w:val="2F1403FE"/>
    <w:rsid w:val="2F1813F0"/>
    <w:rsid w:val="2F2318D0"/>
    <w:rsid w:val="2F2D2619"/>
    <w:rsid w:val="2F2D7C76"/>
    <w:rsid w:val="2F3A3BDD"/>
    <w:rsid w:val="2F3C5BA7"/>
    <w:rsid w:val="2F3D0904"/>
    <w:rsid w:val="2F4405B8"/>
    <w:rsid w:val="2F511653"/>
    <w:rsid w:val="2F546A4D"/>
    <w:rsid w:val="2F5B602D"/>
    <w:rsid w:val="2F631386"/>
    <w:rsid w:val="2F656EAC"/>
    <w:rsid w:val="2F6C023B"/>
    <w:rsid w:val="2F703726"/>
    <w:rsid w:val="2F723377"/>
    <w:rsid w:val="2F7470EF"/>
    <w:rsid w:val="2F7E7F6E"/>
    <w:rsid w:val="2F8135BA"/>
    <w:rsid w:val="2F832C79"/>
    <w:rsid w:val="2F923A19"/>
    <w:rsid w:val="2FA01C92"/>
    <w:rsid w:val="2FB14D29"/>
    <w:rsid w:val="2FB43990"/>
    <w:rsid w:val="2FBB4D1E"/>
    <w:rsid w:val="2FC35981"/>
    <w:rsid w:val="2FC64924"/>
    <w:rsid w:val="2FD14541"/>
    <w:rsid w:val="2FD63906"/>
    <w:rsid w:val="2FDB53C0"/>
    <w:rsid w:val="2FEF2D58"/>
    <w:rsid w:val="300D4E4E"/>
    <w:rsid w:val="30136908"/>
    <w:rsid w:val="30197C97"/>
    <w:rsid w:val="30226B4B"/>
    <w:rsid w:val="30234671"/>
    <w:rsid w:val="3034062C"/>
    <w:rsid w:val="30414DC9"/>
    <w:rsid w:val="30446AC1"/>
    <w:rsid w:val="304732FA"/>
    <w:rsid w:val="304E3B81"/>
    <w:rsid w:val="305111DE"/>
    <w:rsid w:val="30580BC9"/>
    <w:rsid w:val="305D5DD5"/>
    <w:rsid w:val="305F1B4D"/>
    <w:rsid w:val="306955CD"/>
    <w:rsid w:val="306B6744"/>
    <w:rsid w:val="30787F54"/>
    <w:rsid w:val="309D2676"/>
    <w:rsid w:val="30A13F14"/>
    <w:rsid w:val="30A532D8"/>
    <w:rsid w:val="30B30100"/>
    <w:rsid w:val="30C82AB1"/>
    <w:rsid w:val="30FE4C1A"/>
    <w:rsid w:val="30FF0C3A"/>
    <w:rsid w:val="310064B9"/>
    <w:rsid w:val="31015017"/>
    <w:rsid w:val="311E2ED7"/>
    <w:rsid w:val="312468F3"/>
    <w:rsid w:val="31295CB7"/>
    <w:rsid w:val="312C7363"/>
    <w:rsid w:val="31327262"/>
    <w:rsid w:val="31453648"/>
    <w:rsid w:val="31456F95"/>
    <w:rsid w:val="314D7BF8"/>
    <w:rsid w:val="315C449C"/>
    <w:rsid w:val="315E3BB3"/>
    <w:rsid w:val="315F792B"/>
    <w:rsid w:val="316D029A"/>
    <w:rsid w:val="31975D45"/>
    <w:rsid w:val="319C0B7F"/>
    <w:rsid w:val="31A57A34"/>
    <w:rsid w:val="31A812D2"/>
    <w:rsid w:val="31B82709"/>
    <w:rsid w:val="31C37EBA"/>
    <w:rsid w:val="31D65E3F"/>
    <w:rsid w:val="31E71DFA"/>
    <w:rsid w:val="31EA5447"/>
    <w:rsid w:val="31EB4A74"/>
    <w:rsid w:val="31EE5F19"/>
    <w:rsid w:val="31F84007"/>
    <w:rsid w:val="31F91B2E"/>
    <w:rsid w:val="31FB7654"/>
    <w:rsid w:val="320209E2"/>
    <w:rsid w:val="32036508"/>
    <w:rsid w:val="320E0170"/>
    <w:rsid w:val="321B5F48"/>
    <w:rsid w:val="323668DE"/>
    <w:rsid w:val="323B5CA2"/>
    <w:rsid w:val="323C0F4E"/>
    <w:rsid w:val="32400B34"/>
    <w:rsid w:val="32537490"/>
    <w:rsid w:val="32546D64"/>
    <w:rsid w:val="325A081E"/>
    <w:rsid w:val="3268280F"/>
    <w:rsid w:val="32710556"/>
    <w:rsid w:val="327613D0"/>
    <w:rsid w:val="327B0795"/>
    <w:rsid w:val="329D695D"/>
    <w:rsid w:val="329E6876"/>
    <w:rsid w:val="32C4038E"/>
    <w:rsid w:val="32D16607"/>
    <w:rsid w:val="32FD564D"/>
    <w:rsid w:val="330571C0"/>
    <w:rsid w:val="330864CC"/>
    <w:rsid w:val="330E700F"/>
    <w:rsid w:val="33274478"/>
    <w:rsid w:val="333A23FE"/>
    <w:rsid w:val="333C43C8"/>
    <w:rsid w:val="3341553A"/>
    <w:rsid w:val="33466FF4"/>
    <w:rsid w:val="334D0383"/>
    <w:rsid w:val="334F40FB"/>
    <w:rsid w:val="335214F5"/>
    <w:rsid w:val="33707BCD"/>
    <w:rsid w:val="337551E4"/>
    <w:rsid w:val="337E1556"/>
    <w:rsid w:val="338B0EAB"/>
    <w:rsid w:val="33B05E45"/>
    <w:rsid w:val="33D463AE"/>
    <w:rsid w:val="33D934D4"/>
    <w:rsid w:val="33DC5263"/>
    <w:rsid w:val="33E52369"/>
    <w:rsid w:val="33ED7470"/>
    <w:rsid w:val="33F149FD"/>
    <w:rsid w:val="33FA6803"/>
    <w:rsid w:val="33FE2F6A"/>
    <w:rsid w:val="341F30C7"/>
    <w:rsid w:val="342C7F98"/>
    <w:rsid w:val="3434509F"/>
    <w:rsid w:val="34381A5A"/>
    <w:rsid w:val="34403A44"/>
    <w:rsid w:val="3442156A"/>
    <w:rsid w:val="34473024"/>
    <w:rsid w:val="34565015"/>
    <w:rsid w:val="34597EF0"/>
    <w:rsid w:val="3474193F"/>
    <w:rsid w:val="347F27BE"/>
    <w:rsid w:val="34892637"/>
    <w:rsid w:val="348B3442"/>
    <w:rsid w:val="34963664"/>
    <w:rsid w:val="349F6698"/>
    <w:rsid w:val="34B0187D"/>
    <w:rsid w:val="34B14942"/>
    <w:rsid w:val="34B32468"/>
    <w:rsid w:val="34BA37F6"/>
    <w:rsid w:val="34C06933"/>
    <w:rsid w:val="34C33B12"/>
    <w:rsid w:val="34EC597A"/>
    <w:rsid w:val="34EF002F"/>
    <w:rsid w:val="35097626"/>
    <w:rsid w:val="350B5E00"/>
    <w:rsid w:val="35164DEF"/>
    <w:rsid w:val="35212F61"/>
    <w:rsid w:val="35313BAA"/>
    <w:rsid w:val="353A0143"/>
    <w:rsid w:val="354B6B44"/>
    <w:rsid w:val="355157DD"/>
    <w:rsid w:val="355C48AD"/>
    <w:rsid w:val="356455C6"/>
    <w:rsid w:val="3566572C"/>
    <w:rsid w:val="356674DA"/>
    <w:rsid w:val="356B4AF0"/>
    <w:rsid w:val="35731BF7"/>
    <w:rsid w:val="35753BC1"/>
    <w:rsid w:val="35765E26"/>
    <w:rsid w:val="357C6CFE"/>
    <w:rsid w:val="358A766C"/>
    <w:rsid w:val="358F1611"/>
    <w:rsid w:val="35AE2C2F"/>
    <w:rsid w:val="35BE10C4"/>
    <w:rsid w:val="35DE52C2"/>
    <w:rsid w:val="35E12B4D"/>
    <w:rsid w:val="35E30B6F"/>
    <w:rsid w:val="35E54B17"/>
    <w:rsid w:val="35FA0118"/>
    <w:rsid w:val="35FB2318"/>
    <w:rsid w:val="360311CD"/>
    <w:rsid w:val="36074A7F"/>
    <w:rsid w:val="36103F72"/>
    <w:rsid w:val="36126C93"/>
    <w:rsid w:val="36162CAE"/>
    <w:rsid w:val="362B185D"/>
    <w:rsid w:val="36317AE8"/>
    <w:rsid w:val="36321868"/>
    <w:rsid w:val="363475D8"/>
    <w:rsid w:val="364C4922"/>
    <w:rsid w:val="365513C3"/>
    <w:rsid w:val="365716F5"/>
    <w:rsid w:val="367D530E"/>
    <w:rsid w:val="36853C27"/>
    <w:rsid w:val="36923549"/>
    <w:rsid w:val="3699568D"/>
    <w:rsid w:val="36A06A1C"/>
    <w:rsid w:val="36A4650C"/>
    <w:rsid w:val="36B1515B"/>
    <w:rsid w:val="36B75FBF"/>
    <w:rsid w:val="36C50230"/>
    <w:rsid w:val="36C84390"/>
    <w:rsid w:val="36E96615"/>
    <w:rsid w:val="36F32FEF"/>
    <w:rsid w:val="36FB4891"/>
    <w:rsid w:val="37060F75"/>
    <w:rsid w:val="37166CDE"/>
    <w:rsid w:val="372B3BBF"/>
    <w:rsid w:val="37313B18"/>
    <w:rsid w:val="37335AE2"/>
    <w:rsid w:val="373A29CC"/>
    <w:rsid w:val="37405B09"/>
    <w:rsid w:val="37531CE0"/>
    <w:rsid w:val="377A101B"/>
    <w:rsid w:val="37887BDC"/>
    <w:rsid w:val="378E0C9D"/>
    <w:rsid w:val="379437E3"/>
    <w:rsid w:val="37A83DDA"/>
    <w:rsid w:val="37A90F9B"/>
    <w:rsid w:val="37AD4646"/>
    <w:rsid w:val="37BF34BB"/>
    <w:rsid w:val="37C4498C"/>
    <w:rsid w:val="37C56D30"/>
    <w:rsid w:val="37D050DF"/>
    <w:rsid w:val="37D44BCF"/>
    <w:rsid w:val="37D56B99"/>
    <w:rsid w:val="37E34E12"/>
    <w:rsid w:val="37FA03AE"/>
    <w:rsid w:val="38036090"/>
    <w:rsid w:val="38097EDE"/>
    <w:rsid w:val="381256F7"/>
    <w:rsid w:val="38292FFF"/>
    <w:rsid w:val="382D42DF"/>
    <w:rsid w:val="383E6A55"/>
    <w:rsid w:val="38402264"/>
    <w:rsid w:val="385201EA"/>
    <w:rsid w:val="3885411B"/>
    <w:rsid w:val="388A1731"/>
    <w:rsid w:val="388F6D48"/>
    <w:rsid w:val="389B393F"/>
    <w:rsid w:val="38A30A45"/>
    <w:rsid w:val="38B44A00"/>
    <w:rsid w:val="38C22C79"/>
    <w:rsid w:val="38C56C0D"/>
    <w:rsid w:val="38CA2705"/>
    <w:rsid w:val="38D330D8"/>
    <w:rsid w:val="38D46E50"/>
    <w:rsid w:val="38D606F6"/>
    <w:rsid w:val="38D8249D"/>
    <w:rsid w:val="38DE0A16"/>
    <w:rsid w:val="38E11A2A"/>
    <w:rsid w:val="38F12CD3"/>
    <w:rsid w:val="38F94775"/>
    <w:rsid w:val="392971ED"/>
    <w:rsid w:val="39333B77"/>
    <w:rsid w:val="39382F3B"/>
    <w:rsid w:val="393F42CA"/>
    <w:rsid w:val="39466DEB"/>
    <w:rsid w:val="39477622"/>
    <w:rsid w:val="39504729"/>
    <w:rsid w:val="395D56F7"/>
    <w:rsid w:val="39643D30"/>
    <w:rsid w:val="396627FA"/>
    <w:rsid w:val="39693A3D"/>
    <w:rsid w:val="396E2E01"/>
    <w:rsid w:val="397321C6"/>
    <w:rsid w:val="397C4AA2"/>
    <w:rsid w:val="39856F5B"/>
    <w:rsid w:val="39A3648F"/>
    <w:rsid w:val="39A84565"/>
    <w:rsid w:val="39B16755"/>
    <w:rsid w:val="39B32F0A"/>
    <w:rsid w:val="39BC591B"/>
    <w:rsid w:val="39C72511"/>
    <w:rsid w:val="39D10321"/>
    <w:rsid w:val="39D30EB6"/>
    <w:rsid w:val="39D52FE5"/>
    <w:rsid w:val="39EE5CF0"/>
    <w:rsid w:val="39EE7A9E"/>
    <w:rsid w:val="39F738A8"/>
    <w:rsid w:val="39FE4185"/>
    <w:rsid w:val="3A125E82"/>
    <w:rsid w:val="3A175C7F"/>
    <w:rsid w:val="3A331955"/>
    <w:rsid w:val="3A3758E9"/>
    <w:rsid w:val="3A502507"/>
    <w:rsid w:val="3A59760D"/>
    <w:rsid w:val="3A5C35BA"/>
    <w:rsid w:val="3A7461F5"/>
    <w:rsid w:val="3A751F6D"/>
    <w:rsid w:val="3A850402"/>
    <w:rsid w:val="3AA0348E"/>
    <w:rsid w:val="3AAD5BAB"/>
    <w:rsid w:val="3AB64A60"/>
    <w:rsid w:val="3AD52E49"/>
    <w:rsid w:val="3AD849D6"/>
    <w:rsid w:val="3ADE5D64"/>
    <w:rsid w:val="3AE6271D"/>
    <w:rsid w:val="3AEE244B"/>
    <w:rsid w:val="3AEF1D20"/>
    <w:rsid w:val="3AF85078"/>
    <w:rsid w:val="3B027CA5"/>
    <w:rsid w:val="3B057795"/>
    <w:rsid w:val="3B135A0E"/>
    <w:rsid w:val="3B1479D8"/>
    <w:rsid w:val="3B190B4B"/>
    <w:rsid w:val="3B1B0020"/>
    <w:rsid w:val="3B251BE5"/>
    <w:rsid w:val="3B2F16B7"/>
    <w:rsid w:val="3B2F2D82"/>
    <w:rsid w:val="3B3763D1"/>
    <w:rsid w:val="3B400DB5"/>
    <w:rsid w:val="3B457B92"/>
    <w:rsid w:val="3B583D69"/>
    <w:rsid w:val="3B5A363D"/>
    <w:rsid w:val="3B5D312D"/>
    <w:rsid w:val="3B620744"/>
    <w:rsid w:val="3B653D90"/>
    <w:rsid w:val="3B6E4F06"/>
    <w:rsid w:val="3B7A3CDF"/>
    <w:rsid w:val="3B820DE6"/>
    <w:rsid w:val="3B8F1237"/>
    <w:rsid w:val="3BA7084C"/>
    <w:rsid w:val="3BB80364"/>
    <w:rsid w:val="3BC114B3"/>
    <w:rsid w:val="3BDF3B42"/>
    <w:rsid w:val="3BE14AAF"/>
    <w:rsid w:val="3BFD221A"/>
    <w:rsid w:val="3BFF2436"/>
    <w:rsid w:val="3C025A83"/>
    <w:rsid w:val="3C0B2B89"/>
    <w:rsid w:val="3C2D2FA3"/>
    <w:rsid w:val="3C430575"/>
    <w:rsid w:val="3C463BC1"/>
    <w:rsid w:val="3C4D13F4"/>
    <w:rsid w:val="3C4D4F50"/>
    <w:rsid w:val="3C527DA1"/>
    <w:rsid w:val="3C5E715D"/>
    <w:rsid w:val="3C6272D3"/>
    <w:rsid w:val="3C666012"/>
    <w:rsid w:val="3C6A407A"/>
    <w:rsid w:val="3C6E565A"/>
    <w:rsid w:val="3C7B5289"/>
    <w:rsid w:val="3C7C75E3"/>
    <w:rsid w:val="3C7F0E81"/>
    <w:rsid w:val="3C8F37BA"/>
    <w:rsid w:val="3C90308E"/>
    <w:rsid w:val="3C97266F"/>
    <w:rsid w:val="3CB568CD"/>
    <w:rsid w:val="3CCB2319"/>
    <w:rsid w:val="3CD51B1F"/>
    <w:rsid w:val="3CDA245A"/>
    <w:rsid w:val="3CDE204C"/>
    <w:rsid w:val="3CE753A4"/>
    <w:rsid w:val="3CEE0A37"/>
    <w:rsid w:val="3CF96E86"/>
    <w:rsid w:val="3D0D2931"/>
    <w:rsid w:val="3D2A703F"/>
    <w:rsid w:val="3D2A7ECE"/>
    <w:rsid w:val="3D30070D"/>
    <w:rsid w:val="3D3879AE"/>
    <w:rsid w:val="3D406863"/>
    <w:rsid w:val="3D4E5423"/>
    <w:rsid w:val="3D5440BC"/>
    <w:rsid w:val="3D5751DB"/>
    <w:rsid w:val="3D6407A3"/>
    <w:rsid w:val="3D6C58AA"/>
    <w:rsid w:val="3DA91709"/>
    <w:rsid w:val="3DB0013E"/>
    <w:rsid w:val="3DB334D8"/>
    <w:rsid w:val="3DB40B31"/>
    <w:rsid w:val="3DBC05DF"/>
    <w:rsid w:val="3DBD4357"/>
    <w:rsid w:val="3DC41242"/>
    <w:rsid w:val="3DC72AE0"/>
    <w:rsid w:val="3DD403A2"/>
    <w:rsid w:val="3DDD2303"/>
    <w:rsid w:val="3DE43E5A"/>
    <w:rsid w:val="3DE87D79"/>
    <w:rsid w:val="3DF5764D"/>
    <w:rsid w:val="3DFE0BF8"/>
    <w:rsid w:val="3E0F3C31"/>
    <w:rsid w:val="3E1F0B6E"/>
    <w:rsid w:val="3E3A1504"/>
    <w:rsid w:val="3E416D36"/>
    <w:rsid w:val="3E58533B"/>
    <w:rsid w:val="3E774506"/>
    <w:rsid w:val="3E822B0F"/>
    <w:rsid w:val="3E965897"/>
    <w:rsid w:val="3E9C533C"/>
    <w:rsid w:val="3EA177D5"/>
    <w:rsid w:val="3EAD01FF"/>
    <w:rsid w:val="3EB56CCB"/>
    <w:rsid w:val="3EC80608"/>
    <w:rsid w:val="3ECA0ADA"/>
    <w:rsid w:val="3ED519E6"/>
    <w:rsid w:val="3EED2A1A"/>
    <w:rsid w:val="3EEF0540"/>
    <w:rsid w:val="3EFC2C5D"/>
    <w:rsid w:val="3F057D64"/>
    <w:rsid w:val="3F0C2AB4"/>
    <w:rsid w:val="3F1735F3"/>
    <w:rsid w:val="3F1B7587"/>
    <w:rsid w:val="3F1D6C69"/>
    <w:rsid w:val="3F1E2131"/>
    <w:rsid w:val="3F446ADE"/>
    <w:rsid w:val="3F4C7741"/>
    <w:rsid w:val="3F4F5483"/>
    <w:rsid w:val="3F5D36FC"/>
    <w:rsid w:val="3F660E74"/>
    <w:rsid w:val="3F6F51DD"/>
    <w:rsid w:val="3F762A0F"/>
    <w:rsid w:val="3F7B6278"/>
    <w:rsid w:val="3F7D5B4C"/>
    <w:rsid w:val="3F8073EA"/>
    <w:rsid w:val="3F827606"/>
    <w:rsid w:val="3F8C2BFA"/>
    <w:rsid w:val="3F9B4224"/>
    <w:rsid w:val="3F9D0255"/>
    <w:rsid w:val="3FA07A8C"/>
    <w:rsid w:val="3FB05F21"/>
    <w:rsid w:val="3FB3545F"/>
    <w:rsid w:val="3FC63871"/>
    <w:rsid w:val="3FCA68B7"/>
    <w:rsid w:val="3FCE45FA"/>
    <w:rsid w:val="3FD93F4B"/>
    <w:rsid w:val="3FF57DD8"/>
    <w:rsid w:val="3FFD6F4A"/>
    <w:rsid w:val="3FFE7BEC"/>
    <w:rsid w:val="400C5122"/>
    <w:rsid w:val="400E2C48"/>
    <w:rsid w:val="4037219F"/>
    <w:rsid w:val="40373084"/>
    <w:rsid w:val="403A3A3D"/>
    <w:rsid w:val="403D52DB"/>
    <w:rsid w:val="40491F39"/>
    <w:rsid w:val="405014B2"/>
    <w:rsid w:val="405A73FD"/>
    <w:rsid w:val="405A7C3B"/>
    <w:rsid w:val="405F16F6"/>
    <w:rsid w:val="4061721C"/>
    <w:rsid w:val="407707ED"/>
    <w:rsid w:val="407A6407"/>
    <w:rsid w:val="407E035E"/>
    <w:rsid w:val="408B31F4"/>
    <w:rsid w:val="409971A3"/>
    <w:rsid w:val="409A44DC"/>
    <w:rsid w:val="40B72457"/>
    <w:rsid w:val="40BB2DD0"/>
    <w:rsid w:val="40BE01CA"/>
    <w:rsid w:val="40C86858"/>
    <w:rsid w:val="40CD665F"/>
    <w:rsid w:val="40CF0629"/>
    <w:rsid w:val="40D55514"/>
    <w:rsid w:val="40D93256"/>
    <w:rsid w:val="40ED0AAF"/>
    <w:rsid w:val="40F0234E"/>
    <w:rsid w:val="40F24318"/>
    <w:rsid w:val="40F41E3E"/>
    <w:rsid w:val="40FD201B"/>
    <w:rsid w:val="41087697"/>
    <w:rsid w:val="41175B2C"/>
    <w:rsid w:val="411C1395"/>
    <w:rsid w:val="412F52D6"/>
    <w:rsid w:val="413466DE"/>
    <w:rsid w:val="4140499F"/>
    <w:rsid w:val="414B4A92"/>
    <w:rsid w:val="414C3A28"/>
    <w:rsid w:val="414C7ECC"/>
    <w:rsid w:val="41517290"/>
    <w:rsid w:val="41581B97"/>
    <w:rsid w:val="415D624D"/>
    <w:rsid w:val="415E375B"/>
    <w:rsid w:val="417438D8"/>
    <w:rsid w:val="4177481D"/>
    <w:rsid w:val="41796E60"/>
    <w:rsid w:val="4182744A"/>
    <w:rsid w:val="418807D8"/>
    <w:rsid w:val="418A4550"/>
    <w:rsid w:val="418F600A"/>
    <w:rsid w:val="419453CF"/>
    <w:rsid w:val="41B56E62"/>
    <w:rsid w:val="41BA3087"/>
    <w:rsid w:val="41BD66D4"/>
    <w:rsid w:val="41CC4968"/>
    <w:rsid w:val="41D05755"/>
    <w:rsid w:val="41DD0B24"/>
    <w:rsid w:val="41E2265E"/>
    <w:rsid w:val="41E9571B"/>
    <w:rsid w:val="41F84CCD"/>
    <w:rsid w:val="41FA1ECF"/>
    <w:rsid w:val="42091919"/>
    <w:rsid w:val="420C60B5"/>
    <w:rsid w:val="42132798"/>
    <w:rsid w:val="42187DAE"/>
    <w:rsid w:val="421C0031"/>
    <w:rsid w:val="4221103A"/>
    <w:rsid w:val="42367E53"/>
    <w:rsid w:val="423A3BCC"/>
    <w:rsid w:val="42426BD9"/>
    <w:rsid w:val="425A2175"/>
    <w:rsid w:val="426B6130"/>
    <w:rsid w:val="42703746"/>
    <w:rsid w:val="4271080F"/>
    <w:rsid w:val="428471F1"/>
    <w:rsid w:val="42A40518"/>
    <w:rsid w:val="42AB29D0"/>
    <w:rsid w:val="42C35F6C"/>
    <w:rsid w:val="42C41CE4"/>
    <w:rsid w:val="42ED2FE9"/>
    <w:rsid w:val="42F205FF"/>
    <w:rsid w:val="42F500EF"/>
    <w:rsid w:val="43087E22"/>
    <w:rsid w:val="430C2A81"/>
    <w:rsid w:val="4320516C"/>
    <w:rsid w:val="432307B8"/>
    <w:rsid w:val="432F53AF"/>
    <w:rsid w:val="43374264"/>
    <w:rsid w:val="433A6FE6"/>
    <w:rsid w:val="433B1FA6"/>
    <w:rsid w:val="43473F7B"/>
    <w:rsid w:val="434846C3"/>
    <w:rsid w:val="4350713C"/>
    <w:rsid w:val="435968D0"/>
    <w:rsid w:val="436001EA"/>
    <w:rsid w:val="43630042"/>
    <w:rsid w:val="436525AC"/>
    <w:rsid w:val="436653E0"/>
    <w:rsid w:val="43670FED"/>
    <w:rsid w:val="436A4639"/>
    <w:rsid w:val="437E1E93"/>
    <w:rsid w:val="438003D7"/>
    <w:rsid w:val="4380368E"/>
    <w:rsid w:val="43866F99"/>
    <w:rsid w:val="4391606A"/>
    <w:rsid w:val="43963680"/>
    <w:rsid w:val="43994F1E"/>
    <w:rsid w:val="43A14CAE"/>
    <w:rsid w:val="43A37B4B"/>
    <w:rsid w:val="43B12268"/>
    <w:rsid w:val="43B52238"/>
    <w:rsid w:val="43C95804"/>
    <w:rsid w:val="43D1290A"/>
    <w:rsid w:val="43DD12AF"/>
    <w:rsid w:val="43DF5027"/>
    <w:rsid w:val="43EB701F"/>
    <w:rsid w:val="43F839F3"/>
    <w:rsid w:val="43FB7987"/>
    <w:rsid w:val="441B3939"/>
    <w:rsid w:val="44223166"/>
    <w:rsid w:val="44315157"/>
    <w:rsid w:val="443E29E2"/>
    <w:rsid w:val="44421112"/>
    <w:rsid w:val="44462D6A"/>
    <w:rsid w:val="44483F64"/>
    <w:rsid w:val="444C3D3F"/>
    <w:rsid w:val="446A69C8"/>
    <w:rsid w:val="446B68BB"/>
    <w:rsid w:val="448E07FB"/>
    <w:rsid w:val="44935E12"/>
    <w:rsid w:val="449500CE"/>
    <w:rsid w:val="449776B0"/>
    <w:rsid w:val="44B20C92"/>
    <w:rsid w:val="44B738AE"/>
    <w:rsid w:val="44CB55AC"/>
    <w:rsid w:val="44CD14E0"/>
    <w:rsid w:val="44E328F5"/>
    <w:rsid w:val="45036AF3"/>
    <w:rsid w:val="4517259F"/>
    <w:rsid w:val="453A59A1"/>
    <w:rsid w:val="4542323D"/>
    <w:rsid w:val="45433394"/>
    <w:rsid w:val="4549111A"/>
    <w:rsid w:val="454D4212"/>
    <w:rsid w:val="4557299B"/>
    <w:rsid w:val="4561381A"/>
    <w:rsid w:val="45660E30"/>
    <w:rsid w:val="45813EBC"/>
    <w:rsid w:val="458614D2"/>
    <w:rsid w:val="4587774F"/>
    <w:rsid w:val="458946E9"/>
    <w:rsid w:val="458B0897"/>
    <w:rsid w:val="45A33BF0"/>
    <w:rsid w:val="45A51959"/>
    <w:rsid w:val="45B30651"/>
    <w:rsid w:val="45B46040"/>
    <w:rsid w:val="45C51FFB"/>
    <w:rsid w:val="45FA555E"/>
    <w:rsid w:val="46026DAB"/>
    <w:rsid w:val="461D3BE5"/>
    <w:rsid w:val="46222FA9"/>
    <w:rsid w:val="464E3D9E"/>
    <w:rsid w:val="465D2233"/>
    <w:rsid w:val="466A79EC"/>
    <w:rsid w:val="467D0B27"/>
    <w:rsid w:val="467D28D5"/>
    <w:rsid w:val="46804174"/>
    <w:rsid w:val="46827EEC"/>
    <w:rsid w:val="46873754"/>
    <w:rsid w:val="46A95479"/>
    <w:rsid w:val="46BC1650"/>
    <w:rsid w:val="46C324F2"/>
    <w:rsid w:val="46C95B1B"/>
    <w:rsid w:val="46D85D5E"/>
    <w:rsid w:val="46D955A7"/>
    <w:rsid w:val="46DC75FC"/>
    <w:rsid w:val="46DD15C6"/>
    <w:rsid w:val="46E97F6B"/>
    <w:rsid w:val="46F10BCE"/>
    <w:rsid w:val="46F85D21"/>
    <w:rsid w:val="46FA5AF3"/>
    <w:rsid w:val="46FC1A4C"/>
    <w:rsid w:val="47133957"/>
    <w:rsid w:val="47264D1B"/>
    <w:rsid w:val="47271954"/>
    <w:rsid w:val="472B40E0"/>
    <w:rsid w:val="472D42FC"/>
    <w:rsid w:val="472F1E22"/>
    <w:rsid w:val="472F74E8"/>
    <w:rsid w:val="4734568A"/>
    <w:rsid w:val="47391B50"/>
    <w:rsid w:val="473C009B"/>
    <w:rsid w:val="474451A1"/>
    <w:rsid w:val="476A2F7D"/>
    <w:rsid w:val="4779329E"/>
    <w:rsid w:val="477E06B3"/>
    <w:rsid w:val="47841A42"/>
    <w:rsid w:val="47A04ACD"/>
    <w:rsid w:val="47A07E0C"/>
    <w:rsid w:val="47A53370"/>
    <w:rsid w:val="47A619B8"/>
    <w:rsid w:val="47B10A44"/>
    <w:rsid w:val="47CA38F8"/>
    <w:rsid w:val="47CD5197"/>
    <w:rsid w:val="47D41223"/>
    <w:rsid w:val="47DB5B06"/>
    <w:rsid w:val="47E10C42"/>
    <w:rsid w:val="480837B8"/>
    <w:rsid w:val="48111527"/>
    <w:rsid w:val="481C0B77"/>
    <w:rsid w:val="482F7BFF"/>
    <w:rsid w:val="48390A7E"/>
    <w:rsid w:val="483F42E6"/>
    <w:rsid w:val="484C6A03"/>
    <w:rsid w:val="48590F2D"/>
    <w:rsid w:val="4870272E"/>
    <w:rsid w:val="487433D2"/>
    <w:rsid w:val="487B1097"/>
    <w:rsid w:val="487D096B"/>
    <w:rsid w:val="487E46E3"/>
    <w:rsid w:val="488A12DA"/>
    <w:rsid w:val="48934632"/>
    <w:rsid w:val="489932CB"/>
    <w:rsid w:val="48A56114"/>
    <w:rsid w:val="48AF2AEE"/>
    <w:rsid w:val="48B40105"/>
    <w:rsid w:val="48BF2D31"/>
    <w:rsid w:val="48CC544E"/>
    <w:rsid w:val="48D34A2F"/>
    <w:rsid w:val="48DF1625"/>
    <w:rsid w:val="48E725B5"/>
    <w:rsid w:val="48EC13B6"/>
    <w:rsid w:val="48EC5C6C"/>
    <w:rsid w:val="48FA645F"/>
    <w:rsid w:val="49042E3A"/>
    <w:rsid w:val="490C1CEF"/>
    <w:rsid w:val="4913307D"/>
    <w:rsid w:val="49156DF5"/>
    <w:rsid w:val="491A265E"/>
    <w:rsid w:val="4933371F"/>
    <w:rsid w:val="49380D36"/>
    <w:rsid w:val="494E0559"/>
    <w:rsid w:val="495C64A2"/>
    <w:rsid w:val="4961028C"/>
    <w:rsid w:val="496164DE"/>
    <w:rsid w:val="49634005"/>
    <w:rsid w:val="496F29A9"/>
    <w:rsid w:val="49AB501B"/>
    <w:rsid w:val="49B74350"/>
    <w:rsid w:val="49BB0496"/>
    <w:rsid w:val="49DC7715"/>
    <w:rsid w:val="49EA0282"/>
    <w:rsid w:val="4A001853"/>
    <w:rsid w:val="4A023139"/>
    <w:rsid w:val="4A040C80"/>
    <w:rsid w:val="4A0C1DD6"/>
    <w:rsid w:val="4A431740"/>
    <w:rsid w:val="4A5D6CA6"/>
    <w:rsid w:val="4A7B576F"/>
    <w:rsid w:val="4A82670C"/>
    <w:rsid w:val="4A871F75"/>
    <w:rsid w:val="4A8835F7"/>
    <w:rsid w:val="4A89494D"/>
    <w:rsid w:val="4A8F7895"/>
    <w:rsid w:val="4A960A49"/>
    <w:rsid w:val="4A987CDE"/>
    <w:rsid w:val="4AA2653F"/>
    <w:rsid w:val="4AAA17BF"/>
    <w:rsid w:val="4AB16FF2"/>
    <w:rsid w:val="4AB32D6A"/>
    <w:rsid w:val="4AB443EC"/>
    <w:rsid w:val="4AB83EDC"/>
    <w:rsid w:val="4ABD5996"/>
    <w:rsid w:val="4AC72371"/>
    <w:rsid w:val="4AD30D16"/>
    <w:rsid w:val="4AD73FE7"/>
    <w:rsid w:val="4AE01685"/>
    <w:rsid w:val="4AEE21A2"/>
    <w:rsid w:val="4B0C5FD6"/>
    <w:rsid w:val="4B1D01E3"/>
    <w:rsid w:val="4B294DDA"/>
    <w:rsid w:val="4B296B88"/>
    <w:rsid w:val="4B2C0426"/>
    <w:rsid w:val="4B2C6678"/>
    <w:rsid w:val="4B410375"/>
    <w:rsid w:val="4B4340EE"/>
    <w:rsid w:val="4B481704"/>
    <w:rsid w:val="4B553E21"/>
    <w:rsid w:val="4B7047B7"/>
    <w:rsid w:val="4B7122DD"/>
    <w:rsid w:val="4B797B0F"/>
    <w:rsid w:val="4B7A73E4"/>
    <w:rsid w:val="4B83273C"/>
    <w:rsid w:val="4B9304A5"/>
    <w:rsid w:val="4B9C1A50"/>
    <w:rsid w:val="4B9F509C"/>
    <w:rsid w:val="4BA6642B"/>
    <w:rsid w:val="4BA803F5"/>
    <w:rsid w:val="4BBC3A7A"/>
    <w:rsid w:val="4BBE71DC"/>
    <w:rsid w:val="4BC65B1B"/>
    <w:rsid w:val="4BCB50F1"/>
    <w:rsid w:val="4BCE772F"/>
    <w:rsid w:val="4BCF3BD3"/>
    <w:rsid w:val="4BD05255"/>
    <w:rsid w:val="4BD27220"/>
    <w:rsid w:val="4BE3142D"/>
    <w:rsid w:val="4BF058F8"/>
    <w:rsid w:val="4BF76C86"/>
    <w:rsid w:val="4C1930A0"/>
    <w:rsid w:val="4C2866BD"/>
    <w:rsid w:val="4C446142"/>
    <w:rsid w:val="4C4A0649"/>
    <w:rsid w:val="4C602A7D"/>
    <w:rsid w:val="4C786019"/>
    <w:rsid w:val="4C787DC7"/>
    <w:rsid w:val="4C7958ED"/>
    <w:rsid w:val="4C827828"/>
    <w:rsid w:val="4C934C01"/>
    <w:rsid w:val="4C9476AC"/>
    <w:rsid w:val="4C9D5A7F"/>
    <w:rsid w:val="4CBB7CB4"/>
    <w:rsid w:val="4CBE5DDA"/>
    <w:rsid w:val="4CC052CA"/>
    <w:rsid w:val="4CC64ACD"/>
    <w:rsid w:val="4CD86AB8"/>
    <w:rsid w:val="4CE470D3"/>
    <w:rsid w:val="4CFB09F8"/>
    <w:rsid w:val="4CFD207A"/>
    <w:rsid w:val="4D01600E"/>
    <w:rsid w:val="4D0E24D9"/>
    <w:rsid w:val="4D151ABA"/>
    <w:rsid w:val="4D172984"/>
    <w:rsid w:val="4D1A70D0"/>
    <w:rsid w:val="4D275349"/>
    <w:rsid w:val="4D40640B"/>
    <w:rsid w:val="4D4E7696"/>
    <w:rsid w:val="4D573E80"/>
    <w:rsid w:val="4D5C1497"/>
    <w:rsid w:val="4D6E292D"/>
    <w:rsid w:val="4D7D19FF"/>
    <w:rsid w:val="4D897DB2"/>
    <w:rsid w:val="4D9724CF"/>
    <w:rsid w:val="4D996FB7"/>
    <w:rsid w:val="4D9A1FBF"/>
    <w:rsid w:val="4D9C0DF9"/>
    <w:rsid w:val="4DC43B24"/>
    <w:rsid w:val="4DC82688"/>
    <w:rsid w:val="4DCD4E0F"/>
    <w:rsid w:val="4DD20C3E"/>
    <w:rsid w:val="4DEC4FB0"/>
    <w:rsid w:val="4E061402"/>
    <w:rsid w:val="4E075D8A"/>
    <w:rsid w:val="4E23159D"/>
    <w:rsid w:val="4E345F70"/>
    <w:rsid w:val="4E395D06"/>
    <w:rsid w:val="4E561996"/>
    <w:rsid w:val="4E661BDA"/>
    <w:rsid w:val="4E6C395B"/>
    <w:rsid w:val="4E93713A"/>
    <w:rsid w:val="4E9D1D67"/>
    <w:rsid w:val="4EB40E5E"/>
    <w:rsid w:val="4EB946C7"/>
    <w:rsid w:val="4EBD5F65"/>
    <w:rsid w:val="4EC54E1A"/>
    <w:rsid w:val="4ECA55E6"/>
    <w:rsid w:val="4ED17C62"/>
    <w:rsid w:val="4ED41501"/>
    <w:rsid w:val="4ED70257"/>
    <w:rsid w:val="4EF05672"/>
    <w:rsid w:val="4EF43951"/>
    <w:rsid w:val="4EFC7DE3"/>
    <w:rsid w:val="4F0C0C9A"/>
    <w:rsid w:val="4F1418FD"/>
    <w:rsid w:val="4F183F51"/>
    <w:rsid w:val="4F1B4C95"/>
    <w:rsid w:val="4F38383D"/>
    <w:rsid w:val="4F4249A3"/>
    <w:rsid w:val="4F44241B"/>
    <w:rsid w:val="4F583EE0"/>
    <w:rsid w:val="4F5A7C58"/>
    <w:rsid w:val="4F5D32A4"/>
    <w:rsid w:val="4F6B59C1"/>
    <w:rsid w:val="4F6C1739"/>
    <w:rsid w:val="4F7A249A"/>
    <w:rsid w:val="4F7A6662"/>
    <w:rsid w:val="4F8627FB"/>
    <w:rsid w:val="4FA90297"/>
    <w:rsid w:val="4FC62A8C"/>
    <w:rsid w:val="4FCD3D37"/>
    <w:rsid w:val="4FD712A8"/>
    <w:rsid w:val="4FE20F0D"/>
    <w:rsid w:val="4FE90FDC"/>
    <w:rsid w:val="4FF21C3E"/>
    <w:rsid w:val="4FF43C08"/>
    <w:rsid w:val="4FFA4F97"/>
    <w:rsid w:val="50033E4B"/>
    <w:rsid w:val="50242014"/>
    <w:rsid w:val="50283009"/>
    <w:rsid w:val="502A762A"/>
    <w:rsid w:val="503F1D43"/>
    <w:rsid w:val="50504C4B"/>
    <w:rsid w:val="505C355C"/>
    <w:rsid w:val="50646F2B"/>
    <w:rsid w:val="506A0F52"/>
    <w:rsid w:val="506C7B5A"/>
    <w:rsid w:val="50760AC1"/>
    <w:rsid w:val="507B60D8"/>
    <w:rsid w:val="507E7976"/>
    <w:rsid w:val="508467A2"/>
    <w:rsid w:val="508D1967"/>
    <w:rsid w:val="509C6E7C"/>
    <w:rsid w:val="50A93B82"/>
    <w:rsid w:val="50AE1674"/>
    <w:rsid w:val="50B05655"/>
    <w:rsid w:val="50C730CB"/>
    <w:rsid w:val="50CE4984"/>
    <w:rsid w:val="50CF1F80"/>
    <w:rsid w:val="50D21A70"/>
    <w:rsid w:val="50D22BA9"/>
    <w:rsid w:val="50D66BBA"/>
    <w:rsid w:val="50E026C6"/>
    <w:rsid w:val="50F872FA"/>
    <w:rsid w:val="5100038B"/>
    <w:rsid w:val="513821F7"/>
    <w:rsid w:val="514B6911"/>
    <w:rsid w:val="516052CE"/>
    <w:rsid w:val="5162104E"/>
    <w:rsid w:val="51631DD7"/>
    <w:rsid w:val="516B614C"/>
    <w:rsid w:val="517A7F1D"/>
    <w:rsid w:val="51875DD0"/>
    <w:rsid w:val="51990D4F"/>
    <w:rsid w:val="51B11685"/>
    <w:rsid w:val="51B56FA3"/>
    <w:rsid w:val="51B573C7"/>
    <w:rsid w:val="51BD002A"/>
    <w:rsid w:val="51BF544E"/>
    <w:rsid w:val="51C413B8"/>
    <w:rsid w:val="51DA0C16"/>
    <w:rsid w:val="52036385"/>
    <w:rsid w:val="521265C8"/>
    <w:rsid w:val="521D6D1B"/>
    <w:rsid w:val="52334729"/>
    <w:rsid w:val="52475A6B"/>
    <w:rsid w:val="524A2661"/>
    <w:rsid w:val="5257222D"/>
    <w:rsid w:val="52640481"/>
    <w:rsid w:val="526F3A1A"/>
    <w:rsid w:val="52756B57"/>
    <w:rsid w:val="527821A3"/>
    <w:rsid w:val="52796647"/>
    <w:rsid w:val="527E1EAF"/>
    <w:rsid w:val="5281374D"/>
    <w:rsid w:val="52950FA7"/>
    <w:rsid w:val="5299285F"/>
    <w:rsid w:val="52A15AC5"/>
    <w:rsid w:val="52A86F2C"/>
    <w:rsid w:val="52B86076"/>
    <w:rsid w:val="52BC1975"/>
    <w:rsid w:val="52C631F7"/>
    <w:rsid w:val="52CC2C1B"/>
    <w:rsid w:val="52E00474"/>
    <w:rsid w:val="52E77071"/>
    <w:rsid w:val="52F12681"/>
    <w:rsid w:val="52F474CB"/>
    <w:rsid w:val="52FC2DD4"/>
    <w:rsid w:val="52FD1026"/>
    <w:rsid w:val="531445C2"/>
    <w:rsid w:val="533E555E"/>
    <w:rsid w:val="533F40DA"/>
    <w:rsid w:val="534E654C"/>
    <w:rsid w:val="535111B8"/>
    <w:rsid w:val="53513120"/>
    <w:rsid w:val="536015B5"/>
    <w:rsid w:val="536041F1"/>
    <w:rsid w:val="536969B1"/>
    <w:rsid w:val="537A4340"/>
    <w:rsid w:val="537D3F15"/>
    <w:rsid w:val="538C23AA"/>
    <w:rsid w:val="5399295F"/>
    <w:rsid w:val="539D0113"/>
    <w:rsid w:val="53A039CC"/>
    <w:rsid w:val="53A1505A"/>
    <w:rsid w:val="53A24AA3"/>
    <w:rsid w:val="53A414A2"/>
    <w:rsid w:val="53A5521A"/>
    <w:rsid w:val="53A72D40"/>
    <w:rsid w:val="53B70897"/>
    <w:rsid w:val="53CB1124"/>
    <w:rsid w:val="53D02297"/>
    <w:rsid w:val="53D55AFF"/>
    <w:rsid w:val="53E76FC9"/>
    <w:rsid w:val="53EE5420"/>
    <w:rsid w:val="53FB308C"/>
    <w:rsid w:val="54063E08"/>
    <w:rsid w:val="542919A7"/>
    <w:rsid w:val="543437E8"/>
    <w:rsid w:val="5437318B"/>
    <w:rsid w:val="54436F0C"/>
    <w:rsid w:val="544E58B1"/>
    <w:rsid w:val="545253A1"/>
    <w:rsid w:val="545768C1"/>
    <w:rsid w:val="545A6004"/>
    <w:rsid w:val="5464200E"/>
    <w:rsid w:val="546D3F89"/>
    <w:rsid w:val="54776B9C"/>
    <w:rsid w:val="54790B80"/>
    <w:rsid w:val="547A0454"/>
    <w:rsid w:val="54850C19"/>
    <w:rsid w:val="54937F53"/>
    <w:rsid w:val="549459BA"/>
    <w:rsid w:val="54972DB4"/>
    <w:rsid w:val="549C486F"/>
    <w:rsid w:val="54A84FC1"/>
    <w:rsid w:val="54B43966"/>
    <w:rsid w:val="54B971CF"/>
    <w:rsid w:val="54BA693C"/>
    <w:rsid w:val="54BE120C"/>
    <w:rsid w:val="54BF40B9"/>
    <w:rsid w:val="54C571E6"/>
    <w:rsid w:val="54C811C0"/>
    <w:rsid w:val="54CB6F02"/>
    <w:rsid w:val="54CF07A0"/>
    <w:rsid w:val="54D758A7"/>
    <w:rsid w:val="54DA7145"/>
    <w:rsid w:val="54E57FC4"/>
    <w:rsid w:val="54EB3100"/>
    <w:rsid w:val="54FC70BB"/>
    <w:rsid w:val="54FE72D7"/>
    <w:rsid w:val="550016C9"/>
    <w:rsid w:val="550B5550"/>
    <w:rsid w:val="551271BA"/>
    <w:rsid w:val="55180399"/>
    <w:rsid w:val="55191A1B"/>
    <w:rsid w:val="552D54C7"/>
    <w:rsid w:val="552E6141"/>
    <w:rsid w:val="552F56E3"/>
    <w:rsid w:val="55456CB4"/>
    <w:rsid w:val="55466588"/>
    <w:rsid w:val="55677974"/>
    <w:rsid w:val="556E3F51"/>
    <w:rsid w:val="556F5ADF"/>
    <w:rsid w:val="55794BB0"/>
    <w:rsid w:val="557C4EC1"/>
    <w:rsid w:val="558C6691"/>
    <w:rsid w:val="55996800"/>
    <w:rsid w:val="559B174B"/>
    <w:rsid w:val="55BD09D8"/>
    <w:rsid w:val="55CA0F67"/>
    <w:rsid w:val="55CE0CF4"/>
    <w:rsid w:val="55CF657E"/>
    <w:rsid w:val="55DF0EB7"/>
    <w:rsid w:val="55E22755"/>
    <w:rsid w:val="55E262B1"/>
    <w:rsid w:val="55EE20BB"/>
    <w:rsid w:val="55FB14CD"/>
    <w:rsid w:val="56083B91"/>
    <w:rsid w:val="560A05FA"/>
    <w:rsid w:val="561E19DE"/>
    <w:rsid w:val="562A176C"/>
    <w:rsid w:val="564451BE"/>
    <w:rsid w:val="564725B8"/>
    <w:rsid w:val="564C55FD"/>
    <w:rsid w:val="56505911"/>
    <w:rsid w:val="565203F1"/>
    <w:rsid w:val="56524FCD"/>
    <w:rsid w:val="565C7750"/>
    <w:rsid w:val="56731B2D"/>
    <w:rsid w:val="567A0CA1"/>
    <w:rsid w:val="567F61F6"/>
    <w:rsid w:val="56813D1C"/>
    <w:rsid w:val="56AF67E1"/>
    <w:rsid w:val="56B22A9C"/>
    <w:rsid w:val="56B714EC"/>
    <w:rsid w:val="56BC6B02"/>
    <w:rsid w:val="56C269F2"/>
    <w:rsid w:val="56C80AC9"/>
    <w:rsid w:val="56CE4E47"/>
    <w:rsid w:val="56D4455A"/>
    <w:rsid w:val="56DA342C"/>
    <w:rsid w:val="56E83D9B"/>
    <w:rsid w:val="56E9366F"/>
    <w:rsid w:val="56FD4815"/>
    <w:rsid w:val="56FE54A5"/>
    <w:rsid w:val="56FF2E93"/>
    <w:rsid w:val="570A1764"/>
    <w:rsid w:val="570A2B0D"/>
    <w:rsid w:val="570A5ABF"/>
    <w:rsid w:val="570A77CE"/>
    <w:rsid w:val="57215F72"/>
    <w:rsid w:val="57266966"/>
    <w:rsid w:val="57284198"/>
    <w:rsid w:val="572C3601"/>
    <w:rsid w:val="57342B3C"/>
    <w:rsid w:val="573945F7"/>
    <w:rsid w:val="573C7C43"/>
    <w:rsid w:val="57416896"/>
    <w:rsid w:val="57572B9F"/>
    <w:rsid w:val="5769024E"/>
    <w:rsid w:val="57790E97"/>
    <w:rsid w:val="57875362"/>
    <w:rsid w:val="579D4B86"/>
    <w:rsid w:val="57B63E99"/>
    <w:rsid w:val="57B72A76"/>
    <w:rsid w:val="57C87729"/>
    <w:rsid w:val="57E04A72"/>
    <w:rsid w:val="57F16C7F"/>
    <w:rsid w:val="580249E9"/>
    <w:rsid w:val="5806097D"/>
    <w:rsid w:val="581110D0"/>
    <w:rsid w:val="581A0247"/>
    <w:rsid w:val="581D2844"/>
    <w:rsid w:val="586B07E0"/>
    <w:rsid w:val="586C4558"/>
    <w:rsid w:val="58847AF3"/>
    <w:rsid w:val="5889510A"/>
    <w:rsid w:val="588A1CD2"/>
    <w:rsid w:val="588C440A"/>
    <w:rsid w:val="58975A79"/>
    <w:rsid w:val="58A261CC"/>
    <w:rsid w:val="58A3441E"/>
    <w:rsid w:val="58AF60A7"/>
    <w:rsid w:val="58B024F3"/>
    <w:rsid w:val="58BA1730"/>
    <w:rsid w:val="58D16FA0"/>
    <w:rsid w:val="58DE6887"/>
    <w:rsid w:val="58EF1411"/>
    <w:rsid w:val="58F00CE5"/>
    <w:rsid w:val="591D3B3E"/>
    <w:rsid w:val="5923730C"/>
    <w:rsid w:val="59254E33"/>
    <w:rsid w:val="59262959"/>
    <w:rsid w:val="59267806"/>
    <w:rsid w:val="592B61C1"/>
    <w:rsid w:val="593037D7"/>
    <w:rsid w:val="5939464F"/>
    <w:rsid w:val="59414705"/>
    <w:rsid w:val="594D6137"/>
    <w:rsid w:val="595079D6"/>
    <w:rsid w:val="597D4C6F"/>
    <w:rsid w:val="597E4984"/>
    <w:rsid w:val="59A40277"/>
    <w:rsid w:val="59A4066F"/>
    <w:rsid w:val="59BB2FAF"/>
    <w:rsid w:val="59C56616"/>
    <w:rsid w:val="59E06FAB"/>
    <w:rsid w:val="59E20F76"/>
    <w:rsid w:val="59EF71EF"/>
    <w:rsid w:val="59FD5DAF"/>
    <w:rsid w:val="5A00764E"/>
    <w:rsid w:val="5A146C55"/>
    <w:rsid w:val="5A1804F3"/>
    <w:rsid w:val="5A306E76"/>
    <w:rsid w:val="5A3B2434"/>
    <w:rsid w:val="5A3C747D"/>
    <w:rsid w:val="5A4507EC"/>
    <w:rsid w:val="5A455061"/>
    <w:rsid w:val="5A4E03B9"/>
    <w:rsid w:val="5A5E4BFB"/>
    <w:rsid w:val="5A6220B6"/>
    <w:rsid w:val="5A670FB2"/>
    <w:rsid w:val="5A820063"/>
    <w:rsid w:val="5A951B44"/>
    <w:rsid w:val="5A9E17A6"/>
    <w:rsid w:val="5AA1673B"/>
    <w:rsid w:val="5AAC50E0"/>
    <w:rsid w:val="5ABE2233"/>
    <w:rsid w:val="5ACE32A8"/>
    <w:rsid w:val="5ADD34EB"/>
    <w:rsid w:val="5AE66844"/>
    <w:rsid w:val="5AEB20AC"/>
    <w:rsid w:val="5AF947C9"/>
    <w:rsid w:val="5AF952E9"/>
    <w:rsid w:val="5B1A79A5"/>
    <w:rsid w:val="5B2410BF"/>
    <w:rsid w:val="5B242EC8"/>
    <w:rsid w:val="5B262DF2"/>
    <w:rsid w:val="5B276D18"/>
    <w:rsid w:val="5B2829B8"/>
    <w:rsid w:val="5B2D6220"/>
    <w:rsid w:val="5B3E042E"/>
    <w:rsid w:val="5B3F7B92"/>
    <w:rsid w:val="5B4F43E9"/>
    <w:rsid w:val="5B662C04"/>
    <w:rsid w:val="5B6634E0"/>
    <w:rsid w:val="5B6A1223"/>
    <w:rsid w:val="5B721E85"/>
    <w:rsid w:val="5B745BFD"/>
    <w:rsid w:val="5B7C71A8"/>
    <w:rsid w:val="5B8878FB"/>
    <w:rsid w:val="5B8A5421"/>
    <w:rsid w:val="5BA5225B"/>
    <w:rsid w:val="5BA81D4B"/>
    <w:rsid w:val="5BB64468"/>
    <w:rsid w:val="5BB66216"/>
    <w:rsid w:val="5BB95D06"/>
    <w:rsid w:val="5BB97AB4"/>
    <w:rsid w:val="5BBC75A4"/>
    <w:rsid w:val="5BC30933"/>
    <w:rsid w:val="5BDF5D95"/>
    <w:rsid w:val="5BE2525D"/>
    <w:rsid w:val="5BEC1C38"/>
    <w:rsid w:val="5BF84A80"/>
    <w:rsid w:val="5C05719D"/>
    <w:rsid w:val="5C0E6052"/>
    <w:rsid w:val="5C1B42CB"/>
    <w:rsid w:val="5C245875"/>
    <w:rsid w:val="5C2A04C5"/>
    <w:rsid w:val="5C2E71D5"/>
    <w:rsid w:val="5C317F92"/>
    <w:rsid w:val="5C321615"/>
    <w:rsid w:val="5C3379CC"/>
    <w:rsid w:val="5C3E310F"/>
    <w:rsid w:val="5C4A4BB0"/>
    <w:rsid w:val="5C4C0928"/>
    <w:rsid w:val="5C4E46A0"/>
    <w:rsid w:val="5C5617A7"/>
    <w:rsid w:val="5C58542F"/>
    <w:rsid w:val="5C734107"/>
    <w:rsid w:val="5C8400C2"/>
    <w:rsid w:val="5C886933"/>
    <w:rsid w:val="5C950521"/>
    <w:rsid w:val="5C974299"/>
    <w:rsid w:val="5C9F37A0"/>
    <w:rsid w:val="5CD9586C"/>
    <w:rsid w:val="5CDC7EFE"/>
    <w:rsid w:val="5CF80AB0"/>
    <w:rsid w:val="5D04108B"/>
    <w:rsid w:val="5D0B07E3"/>
    <w:rsid w:val="5D266AA5"/>
    <w:rsid w:val="5D2D5EC6"/>
    <w:rsid w:val="5D431D2B"/>
    <w:rsid w:val="5D4E06D0"/>
    <w:rsid w:val="5D55380D"/>
    <w:rsid w:val="5D636DED"/>
    <w:rsid w:val="5D656145"/>
    <w:rsid w:val="5DA402F0"/>
    <w:rsid w:val="5DA6050C"/>
    <w:rsid w:val="5DAF116F"/>
    <w:rsid w:val="5DBE5856"/>
    <w:rsid w:val="5DC623D4"/>
    <w:rsid w:val="5DC6470A"/>
    <w:rsid w:val="5DC7295C"/>
    <w:rsid w:val="5DD60DF1"/>
    <w:rsid w:val="5DDE1A54"/>
    <w:rsid w:val="5DE415B0"/>
    <w:rsid w:val="5DE52DE2"/>
    <w:rsid w:val="5DF03535"/>
    <w:rsid w:val="5DF11787"/>
    <w:rsid w:val="5DF474C9"/>
    <w:rsid w:val="5DF614E9"/>
    <w:rsid w:val="5DF87A0F"/>
    <w:rsid w:val="5E00528F"/>
    <w:rsid w:val="5E035313"/>
    <w:rsid w:val="5E070FAB"/>
    <w:rsid w:val="5E0C4813"/>
    <w:rsid w:val="5E343D6A"/>
    <w:rsid w:val="5E3478C6"/>
    <w:rsid w:val="5E3C677A"/>
    <w:rsid w:val="5E47584B"/>
    <w:rsid w:val="5E4B4723"/>
    <w:rsid w:val="5E4E72BB"/>
    <w:rsid w:val="5E4F4700"/>
    <w:rsid w:val="5E6006BB"/>
    <w:rsid w:val="5E6A778C"/>
    <w:rsid w:val="5E7423B8"/>
    <w:rsid w:val="5E7F4FE5"/>
    <w:rsid w:val="5E8720EC"/>
    <w:rsid w:val="5E912F6A"/>
    <w:rsid w:val="5E9444DA"/>
    <w:rsid w:val="5E9A1E1F"/>
    <w:rsid w:val="5EA5344D"/>
    <w:rsid w:val="5EAE1426"/>
    <w:rsid w:val="5EBF3633"/>
    <w:rsid w:val="5EC836C0"/>
    <w:rsid w:val="5EDB4004"/>
    <w:rsid w:val="5EDF3CD6"/>
    <w:rsid w:val="5EE229B9"/>
    <w:rsid w:val="5F067A9F"/>
    <w:rsid w:val="5F125E59"/>
    <w:rsid w:val="5F1A2B43"/>
    <w:rsid w:val="5F1F40D2"/>
    <w:rsid w:val="5F265461"/>
    <w:rsid w:val="5F322057"/>
    <w:rsid w:val="5F362D59"/>
    <w:rsid w:val="5F3E6C4E"/>
    <w:rsid w:val="5F443B39"/>
    <w:rsid w:val="5F5C70D4"/>
    <w:rsid w:val="5F665A64"/>
    <w:rsid w:val="5F675DDE"/>
    <w:rsid w:val="5F751F44"/>
    <w:rsid w:val="5F7A755A"/>
    <w:rsid w:val="5F810880"/>
    <w:rsid w:val="5F8403D9"/>
    <w:rsid w:val="5F880EA3"/>
    <w:rsid w:val="5F8E6F69"/>
    <w:rsid w:val="5FAA6092"/>
    <w:rsid w:val="5FB837BB"/>
    <w:rsid w:val="5FBC7B73"/>
    <w:rsid w:val="5FC133DB"/>
    <w:rsid w:val="5FCA04E2"/>
    <w:rsid w:val="5FD17AC2"/>
    <w:rsid w:val="5FE86BBA"/>
    <w:rsid w:val="5FEA2932"/>
    <w:rsid w:val="5FF92B75"/>
    <w:rsid w:val="6005776C"/>
    <w:rsid w:val="601D2D07"/>
    <w:rsid w:val="603718EF"/>
    <w:rsid w:val="603B318E"/>
    <w:rsid w:val="603E6335"/>
    <w:rsid w:val="604423F6"/>
    <w:rsid w:val="604611AF"/>
    <w:rsid w:val="605F0725"/>
    <w:rsid w:val="60652FF7"/>
    <w:rsid w:val="607B17DC"/>
    <w:rsid w:val="607B1A86"/>
    <w:rsid w:val="607E5A11"/>
    <w:rsid w:val="608860A5"/>
    <w:rsid w:val="608B78E2"/>
    <w:rsid w:val="60986360"/>
    <w:rsid w:val="609E54CA"/>
    <w:rsid w:val="60A01243"/>
    <w:rsid w:val="60AC5E39"/>
    <w:rsid w:val="60CC64DC"/>
    <w:rsid w:val="60CC7840"/>
    <w:rsid w:val="60DB04CD"/>
    <w:rsid w:val="60E70C20"/>
    <w:rsid w:val="60FB46CB"/>
    <w:rsid w:val="60FC612D"/>
    <w:rsid w:val="610051C7"/>
    <w:rsid w:val="6105554A"/>
    <w:rsid w:val="610E2650"/>
    <w:rsid w:val="6118527D"/>
    <w:rsid w:val="611A4046"/>
    <w:rsid w:val="61380ADF"/>
    <w:rsid w:val="613C71BD"/>
    <w:rsid w:val="61477910"/>
    <w:rsid w:val="61565DA5"/>
    <w:rsid w:val="615838CB"/>
    <w:rsid w:val="615C160D"/>
    <w:rsid w:val="61616C24"/>
    <w:rsid w:val="61663FFE"/>
    <w:rsid w:val="616C2131"/>
    <w:rsid w:val="616F3F04"/>
    <w:rsid w:val="617A6F23"/>
    <w:rsid w:val="61880654"/>
    <w:rsid w:val="618E7580"/>
    <w:rsid w:val="61963FB3"/>
    <w:rsid w:val="619863BE"/>
    <w:rsid w:val="619A6E2E"/>
    <w:rsid w:val="619F580B"/>
    <w:rsid w:val="61A06DA5"/>
    <w:rsid w:val="61A44BF6"/>
    <w:rsid w:val="61A44D62"/>
    <w:rsid w:val="61A46B11"/>
    <w:rsid w:val="61B2276A"/>
    <w:rsid w:val="61E17218"/>
    <w:rsid w:val="61E345A6"/>
    <w:rsid w:val="61EB288B"/>
    <w:rsid w:val="61EB473F"/>
    <w:rsid w:val="620B3141"/>
    <w:rsid w:val="622A5268"/>
    <w:rsid w:val="62353C0D"/>
    <w:rsid w:val="62361E5F"/>
    <w:rsid w:val="62364782"/>
    <w:rsid w:val="623B56C7"/>
    <w:rsid w:val="62404A8B"/>
    <w:rsid w:val="625E7607"/>
    <w:rsid w:val="62621930"/>
    <w:rsid w:val="626369CC"/>
    <w:rsid w:val="62775FD3"/>
    <w:rsid w:val="627D36BA"/>
    <w:rsid w:val="627F7995"/>
    <w:rsid w:val="62970423"/>
    <w:rsid w:val="62AD7C47"/>
    <w:rsid w:val="62B334AF"/>
    <w:rsid w:val="62B5043A"/>
    <w:rsid w:val="62CE170B"/>
    <w:rsid w:val="62D90A3C"/>
    <w:rsid w:val="62DE42A4"/>
    <w:rsid w:val="62F26134"/>
    <w:rsid w:val="62F35FA1"/>
    <w:rsid w:val="62F8658B"/>
    <w:rsid w:val="630E06E5"/>
    <w:rsid w:val="631D301E"/>
    <w:rsid w:val="631F127F"/>
    <w:rsid w:val="63221364"/>
    <w:rsid w:val="63260125"/>
    <w:rsid w:val="632C5010"/>
    <w:rsid w:val="63346A75"/>
    <w:rsid w:val="634C56B2"/>
    <w:rsid w:val="63527F99"/>
    <w:rsid w:val="635A392B"/>
    <w:rsid w:val="636223B8"/>
    <w:rsid w:val="636429FB"/>
    <w:rsid w:val="636563E1"/>
    <w:rsid w:val="636F4468"/>
    <w:rsid w:val="637D586B"/>
    <w:rsid w:val="637E15E6"/>
    <w:rsid w:val="637F15E3"/>
    <w:rsid w:val="63952BB5"/>
    <w:rsid w:val="639B2650"/>
    <w:rsid w:val="639C2195"/>
    <w:rsid w:val="63A31776"/>
    <w:rsid w:val="63A86D8C"/>
    <w:rsid w:val="63AB4186"/>
    <w:rsid w:val="63B03889"/>
    <w:rsid w:val="63BF303A"/>
    <w:rsid w:val="63C27722"/>
    <w:rsid w:val="63C45248"/>
    <w:rsid w:val="63CB65D6"/>
    <w:rsid w:val="63CC03F0"/>
    <w:rsid w:val="63D40BE9"/>
    <w:rsid w:val="63D74F7B"/>
    <w:rsid w:val="63E0211F"/>
    <w:rsid w:val="63ED197A"/>
    <w:rsid w:val="63ED479F"/>
    <w:rsid w:val="63F0603D"/>
    <w:rsid w:val="63F52580"/>
    <w:rsid w:val="63F55D49"/>
    <w:rsid w:val="641066DF"/>
    <w:rsid w:val="6421269A"/>
    <w:rsid w:val="64270A9F"/>
    <w:rsid w:val="642D54E3"/>
    <w:rsid w:val="643B1D0D"/>
    <w:rsid w:val="64432FC3"/>
    <w:rsid w:val="644F5459"/>
    <w:rsid w:val="646B1B68"/>
    <w:rsid w:val="648D5F82"/>
    <w:rsid w:val="648E4BC1"/>
    <w:rsid w:val="649E018F"/>
    <w:rsid w:val="64A77044"/>
    <w:rsid w:val="64BD2DD6"/>
    <w:rsid w:val="64C80D68"/>
    <w:rsid w:val="64D025D1"/>
    <w:rsid w:val="64D416BE"/>
    <w:rsid w:val="64D616D7"/>
    <w:rsid w:val="64DF4A2F"/>
    <w:rsid w:val="64E149E6"/>
    <w:rsid w:val="64F15C1C"/>
    <w:rsid w:val="6502071E"/>
    <w:rsid w:val="65022802"/>
    <w:rsid w:val="65046244"/>
    <w:rsid w:val="65051E72"/>
    <w:rsid w:val="65073893"/>
    <w:rsid w:val="65091AAC"/>
    <w:rsid w:val="651E6BDA"/>
    <w:rsid w:val="65257F68"/>
    <w:rsid w:val="6530471E"/>
    <w:rsid w:val="65373578"/>
    <w:rsid w:val="654725D5"/>
    <w:rsid w:val="654C7BEB"/>
    <w:rsid w:val="6554084E"/>
    <w:rsid w:val="65556AA0"/>
    <w:rsid w:val="655C0E08"/>
    <w:rsid w:val="6575538E"/>
    <w:rsid w:val="658B62DD"/>
    <w:rsid w:val="65924467"/>
    <w:rsid w:val="65A610A9"/>
    <w:rsid w:val="65A92947"/>
    <w:rsid w:val="65B40043"/>
    <w:rsid w:val="65BF660F"/>
    <w:rsid w:val="65C05FB4"/>
    <w:rsid w:val="65C15EE3"/>
    <w:rsid w:val="65C32374"/>
    <w:rsid w:val="65C47781"/>
    <w:rsid w:val="65D379C4"/>
    <w:rsid w:val="65DD0843"/>
    <w:rsid w:val="65E339DD"/>
    <w:rsid w:val="65E41BD1"/>
    <w:rsid w:val="65E47E23"/>
    <w:rsid w:val="65E676F8"/>
    <w:rsid w:val="661029C7"/>
    <w:rsid w:val="661324B7"/>
    <w:rsid w:val="661F3C86"/>
    <w:rsid w:val="662446C4"/>
    <w:rsid w:val="663372D4"/>
    <w:rsid w:val="663568D1"/>
    <w:rsid w:val="663F505A"/>
    <w:rsid w:val="664A5A19"/>
    <w:rsid w:val="665605A5"/>
    <w:rsid w:val="665E1984"/>
    <w:rsid w:val="665E7BD6"/>
    <w:rsid w:val="665F56FC"/>
    <w:rsid w:val="66763171"/>
    <w:rsid w:val="667F7D09"/>
    <w:rsid w:val="6685254A"/>
    <w:rsid w:val="66896380"/>
    <w:rsid w:val="668E5BE3"/>
    <w:rsid w:val="6694184A"/>
    <w:rsid w:val="66A51361"/>
    <w:rsid w:val="66CD2666"/>
    <w:rsid w:val="66DE2AC5"/>
    <w:rsid w:val="66EC6F90"/>
    <w:rsid w:val="66EE2D63"/>
    <w:rsid w:val="66F22774"/>
    <w:rsid w:val="66F44096"/>
    <w:rsid w:val="670E33AA"/>
    <w:rsid w:val="67112E9A"/>
    <w:rsid w:val="671830A7"/>
    <w:rsid w:val="671D3BDA"/>
    <w:rsid w:val="67206C39"/>
    <w:rsid w:val="673617D0"/>
    <w:rsid w:val="673B3A73"/>
    <w:rsid w:val="673B7F17"/>
    <w:rsid w:val="673E5311"/>
    <w:rsid w:val="673F2C7A"/>
    <w:rsid w:val="67490287"/>
    <w:rsid w:val="674F5770"/>
    <w:rsid w:val="6751773B"/>
    <w:rsid w:val="67582877"/>
    <w:rsid w:val="67584625"/>
    <w:rsid w:val="6773320D"/>
    <w:rsid w:val="677448AC"/>
    <w:rsid w:val="67767967"/>
    <w:rsid w:val="677B6565"/>
    <w:rsid w:val="67902011"/>
    <w:rsid w:val="67974B44"/>
    <w:rsid w:val="67A4786A"/>
    <w:rsid w:val="67AE693B"/>
    <w:rsid w:val="67C223E6"/>
    <w:rsid w:val="67C24194"/>
    <w:rsid w:val="67C47F0C"/>
    <w:rsid w:val="67C577E1"/>
    <w:rsid w:val="67C63C85"/>
    <w:rsid w:val="67C73559"/>
    <w:rsid w:val="67CE2B39"/>
    <w:rsid w:val="67E81E4D"/>
    <w:rsid w:val="68016A6B"/>
    <w:rsid w:val="680B78E9"/>
    <w:rsid w:val="681F6961"/>
    <w:rsid w:val="68273FF7"/>
    <w:rsid w:val="6841330B"/>
    <w:rsid w:val="6844104D"/>
    <w:rsid w:val="68442DFB"/>
    <w:rsid w:val="684828EC"/>
    <w:rsid w:val="68490412"/>
    <w:rsid w:val="685272C6"/>
    <w:rsid w:val="68572B2F"/>
    <w:rsid w:val="685F19E3"/>
    <w:rsid w:val="68610A2F"/>
    <w:rsid w:val="68680898"/>
    <w:rsid w:val="686925AE"/>
    <w:rsid w:val="686E1C26"/>
    <w:rsid w:val="68757459"/>
    <w:rsid w:val="687C4343"/>
    <w:rsid w:val="68805514"/>
    <w:rsid w:val="6898646E"/>
    <w:rsid w:val="68BA0A96"/>
    <w:rsid w:val="68CA50AF"/>
    <w:rsid w:val="68CD4B9F"/>
    <w:rsid w:val="68D75530"/>
    <w:rsid w:val="68DE6DAC"/>
    <w:rsid w:val="68E36170"/>
    <w:rsid w:val="68E51EE8"/>
    <w:rsid w:val="68EA39A3"/>
    <w:rsid w:val="68F14A85"/>
    <w:rsid w:val="68F14D31"/>
    <w:rsid w:val="690E58E3"/>
    <w:rsid w:val="691427CE"/>
    <w:rsid w:val="6917406C"/>
    <w:rsid w:val="691B435F"/>
    <w:rsid w:val="69216C99"/>
    <w:rsid w:val="692723C7"/>
    <w:rsid w:val="693B5FAC"/>
    <w:rsid w:val="694462A9"/>
    <w:rsid w:val="694E2071"/>
    <w:rsid w:val="696077C1"/>
    <w:rsid w:val="696372B1"/>
    <w:rsid w:val="696C5B7B"/>
    <w:rsid w:val="69782D5D"/>
    <w:rsid w:val="697A3B33"/>
    <w:rsid w:val="69922EC7"/>
    <w:rsid w:val="69935DE8"/>
    <w:rsid w:val="69937B96"/>
    <w:rsid w:val="69961435"/>
    <w:rsid w:val="699E2456"/>
    <w:rsid w:val="69A00505"/>
    <w:rsid w:val="69B55D5F"/>
    <w:rsid w:val="69BA15C7"/>
    <w:rsid w:val="69CA10DE"/>
    <w:rsid w:val="69CB5582"/>
    <w:rsid w:val="69CB738C"/>
    <w:rsid w:val="69DD764A"/>
    <w:rsid w:val="69EB79D2"/>
    <w:rsid w:val="69FC5FEF"/>
    <w:rsid w:val="6A102F95"/>
    <w:rsid w:val="6A152CA1"/>
    <w:rsid w:val="6A1F0D5E"/>
    <w:rsid w:val="6A276531"/>
    <w:rsid w:val="6A3053E5"/>
    <w:rsid w:val="6A39400B"/>
    <w:rsid w:val="6A421012"/>
    <w:rsid w:val="6A440E91"/>
    <w:rsid w:val="6A462E5B"/>
    <w:rsid w:val="6A484E25"/>
    <w:rsid w:val="6A537326"/>
    <w:rsid w:val="6A5D6907"/>
    <w:rsid w:val="6A636682"/>
    <w:rsid w:val="6A67250D"/>
    <w:rsid w:val="6A681023"/>
    <w:rsid w:val="6A723C50"/>
    <w:rsid w:val="6A847E78"/>
    <w:rsid w:val="6ABE2D74"/>
    <w:rsid w:val="6AC41FD2"/>
    <w:rsid w:val="6ACD70D8"/>
    <w:rsid w:val="6AE14931"/>
    <w:rsid w:val="6AE85CC0"/>
    <w:rsid w:val="6AF74155"/>
    <w:rsid w:val="6AFE1987"/>
    <w:rsid w:val="6B040620"/>
    <w:rsid w:val="6B0614AE"/>
    <w:rsid w:val="6B0B6E0F"/>
    <w:rsid w:val="6B1116BB"/>
    <w:rsid w:val="6B151692"/>
    <w:rsid w:val="6B1C3BBC"/>
    <w:rsid w:val="6B2C02A3"/>
    <w:rsid w:val="6B2D401B"/>
    <w:rsid w:val="6B322639"/>
    <w:rsid w:val="6B421874"/>
    <w:rsid w:val="6B483A74"/>
    <w:rsid w:val="6B4E62D1"/>
    <w:rsid w:val="6B4E646B"/>
    <w:rsid w:val="6B58787E"/>
    <w:rsid w:val="6B5E41D4"/>
    <w:rsid w:val="6B6548E3"/>
    <w:rsid w:val="6B6F6F6B"/>
    <w:rsid w:val="6B777044"/>
    <w:rsid w:val="6B863982"/>
    <w:rsid w:val="6B8F2851"/>
    <w:rsid w:val="6BA53BB1"/>
    <w:rsid w:val="6BAD5364"/>
    <w:rsid w:val="6BAD5440"/>
    <w:rsid w:val="6BB5100F"/>
    <w:rsid w:val="6BBB30C2"/>
    <w:rsid w:val="6BC229B5"/>
    <w:rsid w:val="6BDA52E5"/>
    <w:rsid w:val="6C0A5B8A"/>
    <w:rsid w:val="6C0B610A"/>
    <w:rsid w:val="6C270A6A"/>
    <w:rsid w:val="6C313697"/>
    <w:rsid w:val="6C315445"/>
    <w:rsid w:val="6C3A4FF4"/>
    <w:rsid w:val="6C3F7030"/>
    <w:rsid w:val="6C4935C3"/>
    <w:rsid w:val="6C517895"/>
    <w:rsid w:val="6C537ED5"/>
    <w:rsid w:val="6C5441B7"/>
    <w:rsid w:val="6C60050C"/>
    <w:rsid w:val="6C636C38"/>
    <w:rsid w:val="6C650B93"/>
    <w:rsid w:val="6C795D32"/>
    <w:rsid w:val="6C7C2B64"/>
    <w:rsid w:val="6C7D4B2E"/>
    <w:rsid w:val="6C97799E"/>
    <w:rsid w:val="6CA83A15"/>
    <w:rsid w:val="6CBA4EC0"/>
    <w:rsid w:val="6CBC79F4"/>
    <w:rsid w:val="6CC4275D"/>
    <w:rsid w:val="6CD02EB0"/>
    <w:rsid w:val="6CD04E24"/>
    <w:rsid w:val="6CD56718"/>
    <w:rsid w:val="6CDD1D59"/>
    <w:rsid w:val="6CE93F71"/>
    <w:rsid w:val="6CED4400"/>
    <w:rsid w:val="6D0F39D8"/>
    <w:rsid w:val="6D417909"/>
    <w:rsid w:val="6D4573FA"/>
    <w:rsid w:val="6D45758A"/>
    <w:rsid w:val="6D4B0788"/>
    <w:rsid w:val="6D4D3C7B"/>
    <w:rsid w:val="6D575FC8"/>
    <w:rsid w:val="6D8E6FF3"/>
    <w:rsid w:val="6D9563C0"/>
    <w:rsid w:val="6DA22A9E"/>
    <w:rsid w:val="6DA5433C"/>
    <w:rsid w:val="6DA82E7A"/>
    <w:rsid w:val="6DB037BE"/>
    <w:rsid w:val="6DB34098"/>
    <w:rsid w:val="6DB545B6"/>
    <w:rsid w:val="6DC35457"/>
    <w:rsid w:val="6DCF13B9"/>
    <w:rsid w:val="6DD864C0"/>
    <w:rsid w:val="6DE413D7"/>
    <w:rsid w:val="6DE70252"/>
    <w:rsid w:val="6DE73920"/>
    <w:rsid w:val="6DF130DE"/>
    <w:rsid w:val="6DFB0400"/>
    <w:rsid w:val="6DFB3F5C"/>
    <w:rsid w:val="6E020E0C"/>
    <w:rsid w:val="6E1227F0"/>
    <w:rsid w:val="6E1F5E9D"/>
    <w:rsid w:val="6E2B2A93"/>
    <w:rsid w:val="6E3B6A4F"/>
    <w:rsid w:val="6E421B8B"/>
    <w:rsid w:val="6E4375A0"/>
    <w:rsid w:val="6E443B55"/>
    <w:rsid w:val="6E4A210C"/>
    <w:rsid w:val="6E514CED"/>
    <w:rsid w:val="6E754ED6"/>
    <w:rsid w:val="6E79491A"/>
    <w:rsid w:val="6E867CCA"/>
    <w:rsid w:val="6E8E451C"/>
    <w:rsid w:val="6E901A44"/>
    <w:rsid w:val="6EB26D11"/>
    <w:rsid w:val="6EB563D5"/>
    <w:rsid w:val="6EB83BFB"/>
    <w:rsid w:val="6ECE341F"/>
    <w:rsid w:val="6ED22F0F"/>
    <w:rsid w:val="6ED44ED9"/>
    <w:rsid w:val="6EF07839"/>
    <w:rsid w:val="6EF74724"/>
    <w:rsid w:val="6F045092"/>
    <w:rsid w:val="6F057B70"/>
    <w:rsid w:val="6F0D3F47"/>
    <w:rsid w:val="6F1352D6"/>
    <w:rsid w:val="6F225983"/>
    <w:rsid w:val="6F2D283B"/>
    <w:rsid w:val="6F503EC1"/>
    <w:rsid w:val="6F510B0A"/>
    <w:rsid w:val="6F51652A"/>
    <w:rsid w:val="6F6D70DC"/>
    <w:rsid w:val="6F774AB3"/>
    <w:rsid w:val="6F83245B"/>
    <w:rsid w:val="6F8B7A92"/>
    <w:rsid w:val="6FA84FB7"/>
    <w:rsid w:val="6FB72105"/>
    <w:rsid w:val="6FBE7937"/>
    <w:rsid w:val="6FC0720B"/>
    <w:rsid w:val="6FCD12F8"/>
    <w:rsid w:val="6FD35191"/>
    <w:rsid w:val="6FE74798"/>
    <w:rsid w:val="6FF173C5"/>
    <w:rsid w:val="6FFC5590"/>
    <w:rsid w:val="70025A76"/>
    <w:rsid w:val="700E008C"/>
    <w:rsid w:val="7012558D"/>
    <w:rsid w:val="70147557"/>
    <w:rsid w:val="70180DF6"/>
    <w:rsid w:val="70221C74"/>
    <w:rsid w:val="70223A22"/>
    <w:rsid w:val="70227EC6"/>
    <w:rsid w:val="702552C0"/>
    <w:rsid w:val="70292F5C"/>
    <w:rsid w:val="70301DA3"/>
    <w:rsid w:val="70380634"/>
    <w:rsid w:val="703B2D36"/>
    <w:rsid w:val="70422316"/>
    <w:rsid w:val="70485B31"/>
    <w:rsid w:val="704B1F06"/>
    <w:rsid w:val="704C0A9F"/>
    <w:rsid w:val="704E148D"/>
    <w:rsid w:val="704E4817"/>
    <w:rsid w:val="70521FBA"/>
    <w:rsid w:val="7060454A"/>
    <w:rsid w:val="706447A2"/>
    <w:rsid w:val="706D1DD0"/>
    <w:rsid w:val="707B7C3D"/>
    <w:rsid w:val="70853FB1"/>
    <w:rsid w:val="70856B87"/>
    <w:rsid w:val="70885AD4"/>
    <w:rsid w:val="70961305"/>
    <w:rsid w:val="709661BE"/>
    <w:rsid w:val="709A1D55"/>
    <w:rsid w:val="709D2305"/>
    <w:rsid w:val="70A628A5"/>
    <w:rsid w:val="70AD5CC4"/>
    <w:rsid w:val="70AE3508"/>
    <w:rsid w:val="70BD199D"/>
    <w:rsid w:val="70BE5C01"/>
    <w:rsid w:val="70C44AD9"/>
    <w:rsid w:val="70C707F1"/>
    <w:rsid w:val="70D527EE"/>
    <w:rsid w:val="70DE57BF"/>
    <w:rsid w:val="70FA499F"/>
    <w:rsid w:val="710B3DC7"/>
    <w:rsid w:val="711C4915"/>
    <w:rsid w:val="711D05E4"/>
    <w:rsid w:val="712B7E26"/>
    <w:rsid w:val="713B711B"/>
    <w:rsid w:val="71433A3F"/>
    <w:rsid w:val="71593474"/>
    <w:rsid w:val="715A4137"/>
    <w:rsid w:val="715B5300"/>
    <w:rsid w:val="715C11B6"/>
    <w:rsid w:val="715F4BD7"/>
    <w:rsid w:val="716360A0"/>
    <w:rsid w:val="716562BC"/>
    <w:rsid w:val="717764D1"/>
    <w:rsid w:val="7178097A"/>
    <w:rsid w:val="71B05A96"/>
    <w:rsid w:val="71CA611F"/>
    <w:rsid w:val="71D27F8A"/>
    <w:rsid w:val="71E219F3"/>
    <w:rsid w:val="71F25988"/>
    <w:rsid w:val="71F744C6"/>
    <w:rsid w:val="71F960CF"/>
    <w:rsid w:val="72135D18"/>
    <w:rsid w:val="7225100E"/>
    <w:rsid w:val="72281098"/>
    <w:rsid w:val="72312642"/>
    <w:rsid w:val="72340F49"/>
    <w:rsid w:val="724C2FD8"/>
    <w:rsid w:val="72691DDC"/>
    <w:rsid w:val="726B5B54"/>
    <w:rsid w:val="727918F3"/>
    <w:rsid w:val="727B566C"/>
    <w:rsid w:val="72966949"/>
    <w:rsid w:val="729A01E8"/>
    <w:rsid w:val="72AA7D31"/>
    <w:rsid w:val="72BC2352"/>
    <w:rsid w:val="72C45265"/>
    <w:rsid w:val="72D30A86"/>
    <w:rsid w:val="72D54D7C"/>
    <w:rsid w:val="72E118B5"/>
    <w:rsid w:val="72E66F89"/>
    <w:rsid w:val="72EE0533"/>
    <w:rsid w:val="72F07E08"/>
    <w:rsid w:val="73075151"/>
    <w:rsid w:val="73102258"/>
    <w:rsid w:val="73104006"/>
    <w:rsid w:val="731358A4"/>
    <w:rsid w:val="731F5D5E"/>
    <w:rsid w:val="732C6966"/>
    <w:rsid w:val="733673A5"/>
    <w:rsid w:val="733A1083"/>
    <w:rsid w:val="733F2D28"/>
    <w:rsid w:val="73410663"/>
    <w:rsid w:val="73591E51"/>
    <w:rsid w:val="735C75BD"/>
    <w:rsid w:val="73631EDE"/>
    <w:rsid w:val="73640081"/>
    <w:rsid w:val="736507F6"/>
    <w:rsid w:val="736B632D"/>
    <w:rsid w:val="73AF1A71"/>
    <w:rsid w:val="73B2330F"/>
    <w:rsid w:val="73BA21C4"/>
    <w:rsid w:val="73BB0416"/>
    <w:rsid w:val="73CF2113"/>
    <w:rsid w:val="73ED4347"/>
    <w:rsid w:val="73F13E37"/>
    <w:rsid w:val="74085625"/>
    <w:rsid w:val="7416564C"/>
    <w:rsid w:val="741C4C2C"/>
    <w:rsid w:val="741E6BF6"/>
    <w:rsid w:val="741E793C"/>
    <w:rsid w:val="743401C8"/>
    <w:rsid w:val="74363F40"/>
    <w:rsid w:val="74374A85"/>
    <w:rsid w:val="743B782B"/>
    <w:rsid w:val="744760DA"/>
    <w:rsid w:val="744C3764"/>
    <w:rsid w:val="74604B19"/>
    <w:rsid w:val="74714F78"/>
    <w:rsid w:val="74723636"/>
    <w:rsid w:val="74844CAB"/>
    <w:rsid w:val="74A715D2"/>
    <w:rsid w:val="74BB61F3"/>
    <w:rsid w:val="74C0380A"/>
    <w:rsid w:val="74C257D4"/>
    <w:rsid w:val="74C34065"/>
    <w:rsid w:val="74DD0860"/>
    <w:rsid w:val="74E219D2"/>
    <w:rsid w:val="74E97204"/>
    <w:rsid w:val="74F31E31"/>
    <w:rsid w:val="74F55BA9"/>
    <w:rsid w:val="74FB1883"/>
    <w:rsid w:val="75106D73"/>
    <w:rsid w:val="752252FF"/>
    <w:rsid w:val="75241FEA"/>
    <w:rsid w:val="75243D99"/>
    <w:rsid w:val="75371D1E"/>
    <w:rsid w:val="754206C3"/>
    <w:rsid w:val="755F3023"/>
    <w:rsid w:val="75752846"/>
    <w:rsid w:val="75895426"/>
    <w:rsid w:val="758D5D37"/>
    <w:rsid w:val="758D75E2"/>
    <w:rsid w:val="759727BC"/>
    <w:rsid w:val="759F78C3"/>
    <w:rsid w:val="75A01D66"/>
    <w:rsid w:val="75BC4857"/>
    <w:rsid w:val="75C537CD"/>
    <w:rsid w:val="75C567D4"/>
    <w:rsid w:val="75C92C9F"/>
    <w:rsid w:val="75CA2B92"/>
    <w:rsid w:val="75CD2682"/>
    <w:rsid w:val="75CE2354"/>
    <w:rsid w:val="75E4177A"/>
    <w:rsid w:val="75F51C98"/>
    <w:rsid w:val="75F77CB9"/>
    <w:rsid w:val="760360A4"/>
    <w:rsid w:val="76110961"/>
    <w:rsid w:val="76115DD5"/>
    <w:rsid w:val="762878B8"/>
    <w:rsid w:val="762B1157"/>
    <w:rsid w:val="763C0A95"/>
    <w:rsid w:val="763E5AEB"/>
    <w:rsid w:val="76441289"/>
    <w:rsid w:val="76517E39"/>
    <w:rsid w:val="765404E6"/>
    <w:rsid w:val="766362A7"/>
    <w:rsid w:val="766905FD"/>
    <w:rsid w:val="76726D86"/>
    <w:rsid w:val="768014A2"/>
    <w:rsid w:val="768D3BBF"/>
    <w:rsid w:val="768E1E11"/>
    <w:rsid w:val="76950898"/>
    <w:rsid w:val="76984A3E"/>
    <w:rsid w:val="76A86BFF"/>
    <w:rsid w:val="76B33626"/>
    <w:rsid w:val="76B63F2A"/>
    <w:rsid w:val="76B8052C"/>
    <w:rsid w:val="76B9116A"/>
    <w:rsid w:val="76C1417F"/>
    <w:rsid w:val="76C55BC0"/>
    <w:rsid w:val="76C577FD"/>
    <w:rsid w:val="76E44503"/>
    <w:rsid w:val="76E45ED5"/>
    <w:rsid w:val="76EC4D8A"/>
    <w:rsid w:val="76EF03D6"/>
    <w:rsid w:val="76F977CC"/>
    <w:rsid w:val="77057BFA"/>
    <w:rsid w:val="770A770B"/>
    <w:rsid w:val="770C6CCA"/>
    <w:rsid w:val="771B11CB"/>
    <w:rsid w:val="771B1C48"/>
    <w:rsid w:val="772C33D8"/>
    <w:rsid w:val="772D54ED"/>
    <w:rsid w:val="77381D7D"/>
    <w:rsid w:val="7758241F"/>
    <w:rsid w:val="775C3CBE"/>
    <w:rsid w:val="775F555C"/>
    <w:rsid w:val="776668EA"/>
    <w:rsid w:val="77762421"/>
    <w:rsid w:val="777C5DA4"/>
    <w:rsid w:val="778C0A15"/>
    <w:rsid w:val="77903967"/>
    <w:rsid w:val="779E342C"/>
    <w:rsid w:val="77B372A5"/>
    <w:rsid w:val="77BE04D4"/>
    <w:rsid w:val="77CD7E48"/>
    <w:rsid w:val="77D31AA6"/>
    <w:rsid w:val="77D9530E"/>
    <w:rsid w:val="77DB72D8"/>
    <w:rsid w:val="77DC6BAC"/>
    <w:rsid w:val="77E325BA"/>
    <w:rsid w:val="77E837A3"/>
    <w:rsid w:val="77EF0ABC"/>
    <w:rsid w:val="780103C1"/>
    <w:rsid w:val="78056103"/>
    <w:rsid w:val="78087576"/>
    <w:rsid w:val="780F09F4"/>
    <w:rsid w:val="781520BE"/>
    <w:rsid w:val="781E0815"/>
    <w:rsid w:val="78216CB5"/>
    <w:rsid w:val="782567A5"/>
    <w:rsid w:val="7826607A"/>
    <w:rsid w:val="783A38D3"/>
    <w:rsid w:val="783A664A"/>
    <w:rsid w:val="784604CA"/>
    <w:rsid w:val="784B5AE0"/>
    <w:rsid w:val="784D1858"/>
    <w:rsid w:val="78517C7E"/>
    <w:rsid w:val="78560A2F"/>
    <w:rsid w:val="785C1A9B"/>
    <w:rsid w:val="786077DD"/>
    <w:rsid w:val="78615304"/>
    <w:rsid w:val="78656BA2"/>
    <w:rsid w:val="78727511"/>
    <w:rsid w:val="788A42DE"/>
    <w:rsid w:val="788D60F9"/>
    <w:rsid w:val="78931A17"/>
    <w:rsid w:val="789C4F47"/>
    <w:rsid w:val="78A07BDA"/>
    <w:rsid w:val="78A90480"/>
    <w:rsid w:val="78B33DB1"/>
    <w:rsid w:val="78BD078C"/>
    <w:rsid w:val="78C0027C"/>
    <w:rsid w:val="78E52EC1"/>
    <w:rsid w:val="78EB370C"/>
    <w:rsid w:val="79075EAB"/>
    <w:rsid w:val="790A03E8"/>
    <w:rsid w:val="790A315A"/>
    <w:rsid w:val="79142376"/>
    <w:rsid w:val="79256331"/>
    <w:rsid w:val="79257DFE"/>
    <w:rsid w:val="793B096D"/>
    <w:rsid w:val="79660E24"/>
    <w:rsid w:val="7973709D"/>
    <w:rsid w:val="79811327"/>
    <w:rsid w:val="79823784"/>
    <w:rsid w:val="798474FC"/>
    <w:rsid w:val="7987757C"/>
    <w:rsid w:val="7997722F"/>
    <w:rsid w:val="79984052"/>
    <w:rsid w:val="79A67472"/>
    <w:rsid w:val="79AC6AC3"/>
    <w:rsid w:val="79AD6A52"/>
    <w:rsid w:val="79B0209F"/>
    <w:rsid w:val="79BC687C"/>
    <w:rsid w:val="79D044EF"/>
    <w:rsid w:val="79DC7338"/>
    <w:rsid w:val="79E461EC"/>
    <w:rsid w:val="79F71A7C"/>
    <w:rsid w:val="79FC1788"/>
    <w:rsid w:val="79FF3026"/>
    <w:rsid w:val="7A0B19CB"/>
    <w:rsid w:val="7A100D8F"/>
    <w:rsid w:val="7A140880"/>
    <w:rsid w:val="7A15284A"/>
    <w:rsid w:val="7A1563A6"/>
    <w:rsid w:val="7A1D4B8E"/>
    <w:rsid w:val="7A364017"/>
    <w:rsid w:val="7A49008B"/>
    <w:rsid w:val="7A532E73"/>
    <w:rsid w:val="7A552C46"/>
    <w:rsid w:val="7A637111"/>
    <w:rsid w:val="7A8265E1"/>
    <w:rsid w:val="7A902990"/>
    <w:rsid w:val="7A9279F6"/>
    <w:rsid w:val="7A996FB0"/>
    <w:rsid w:val="7AA66487"/>
    <w:rsid w:val="7AAD4830"/>
    <w:rsid w:val="7AB20098"/>
    <w:rsid w:val="7AB6730D"/>
    <w:rsid w:val="7AB67B89"/>
    <w:rsid w:val="7AC374BE"/>
    <w:rsid w:val="7AC43368"/>
    <w:rsid w:val="7AC51B7A"/>
    <w:rsid w:val="7ACC115A"/>
    <w:rsid w:val="7ADB139D"/>
    <w:rsid w:val="7AE71AF0"/>
    <w:rsid w:val="7AFB59A5"/>
    <w:rsid w:val="7B000E04"/>
    <w:rsid w:val="7B0A0738"/>
    <w:rsid w:val="7B0A1E63"/>
    <w:rsid w:val="7B0C77A9"/>
    <w:rsid w:val="7B0D3D28"/>
    <w:rsid w:val="7B14665D"/>
    <w:rsid w:val="7B170DE9"/>
    <w:rsid w:val="7B1D7C08"/>
    <w:rsid w:val="7B220D7A"/>
    <w:rsid w:val="7B306AFA"/>
    <w:rsid w:val="7B332F87"/>
    <w:rsid w:val="7B38234C"/>
    <w:rsid w:val="7B416646"/>
    <w:rsid w:val="7B494559"/>
    <w:rsid w:val="7B4C1D99"/>
    <w:rsid w:val="7B537186"/>
    <w:rsid w:val="7B564EC8"/>
    <w:rsid w:val="7B5873A5"/>
    <w:rsid w:val="7B5A6766"/>
    <w:rsid w:val="7B62386D"/>
    <w:rsid w:val="7B643141"/>
    <w:rsid w:val="7B686D42"/>
    <w:rsid w:val="7B800878"/>
    <w:rsid w:val="7B841746"/>
    <w:rsid w:val="7B9D23E0"/>
    <w:rsid w:val="7B9D48A5"/>
    <w:rsid w:val="7BAB0D70"/>
    <w:rsid w:val="7BAC4AE8"/>
    <w:rsid w:val="7BBA15A2"/>
    <w:rsid w:val="7BE129E3"/>
    <w:rsid w:val="7BE302C7"/>
    <w:rsid w:val="7C091130"/>
    <w:rsid w:val="7C112E25"/>
    <w:rsid w:val="7C1A4147"/>
    <w:rsid w:val="7C4A67DB"/>
    <w:rsid w:val="7C5A2796"/>
    <w:rsid w:val="7C653614"/>
    <w:rsid w:val="7C67064E"/>
    <w:rsid w:val="7C6929D9"/>
    <w:rsid w:val="7C6F4493"/>
    <w:rsid w:val="7C8B0BA1"/>
    <w:rsid w:val="7C8B6DF3"/>
    <w:rsid w:val="7C9A1E59"/>
    <w:rsid w:val="7CAD4FBB"/>
    <w:rsid w:val="7CB974BC"/>
    <w:rsid w:val="7CBC6FAC"/>
    <w:rsid w:val="7CC06A9D"/>
    <w:rsid w:val="7CC540B3"/>
    <w:rsid w:val="7CCD740C"/>
    <w:rsid w:val="7CD00DB0"/>
    <w:rsid w:val="7CD33F17"/>
    <w:rsid w:val="7CD51E1C"/>
    <w:rsid w:val="7CE34539"/>
    <w:rsid w:val="7D012C11"/>
    <w:rsid w:val="7D0239FF"/>
    <w:rsid w:val="7D0270B5"/>
    <w:rsid w:val="7D0E5A5A"/>
    <w:rsid w:val="7D133070"/>
    <w:rsid w:val="7D1B1F25"/>
    <w:rsid w:val="7D2722CC"/>
    <w:rsid w:val="7D276B1C"/>
    <w:rsid w:val="7D2F717C"/>
    <w:rsid w:val="7D3134F6"/>
    <w:rsid w:val="7D4274B2"/>
    <w:rsid w:val="7D46591F"/>
    <w:rsid w:val="7D5E40CD"/>
    <w:rsid w:val="7D693BED"/>
    <w:rsid w:val="7D696A9E"/>
    <w:rsid w:val="7D8555F0"/>
    <w:rsid w:val="7D8F021D"/>
    <w:rsid w:val="7D902089"/>
    <w:rsid w:val="7D937D0D"/>
    <w:rsid w:val="7D965A4F"/>
    <w:rsid w:val="7D983576"/>
    <w:rsid w:val="7DAE0FEB"/>
    <w:rsid w:val="7DB303AF"/>
    <w:rsid w:val="7DB87774"/>
    <w:rsid w:val="7DBD7695"/>
    <w:rsid w:val="7DC720AD"/>
    <w:rsid w:val="7DCE343B"/>
    <w:rsid w:val="7DE40569"/>
    <w:rsid w:val="7DF84014"/>
    <w:rsid w:val="7DFC1D56"/>
    <w:rsid w:val="7DFC3B04"/>
    <w:rsid w:val="7DFD54E0"/>
    <w:rsid w:val="7DFF5BC5"/>
    <w:rsid w:val="7E0D1864"/>
    <w:rsid w:val="7E1150D6"/>
    <w:rsid w:val="7E132BFC"/>
    <w:rsid w:val="7E186464"/>
    <w:rsid w:val="7E244E09"/>
    <w:rsid w:val="7E282B4B"/>
    <w:rsid w:val="7E3C2153"/>
    <w:rsid w:val="7E4F3BE5"/>
    <w:rsid w:val="7E635932"/>
    <w:rsid w:val="7E665422"/>
    <w:rsid w:val="7E6C518C"/>
    <w:rsid w:val="7E723DC7"/>
    <w:rsid w:val="7E7B6FE3"/>
    <w:rsid w:val="7E886FF2"/>
    <w:rsid w:val="7E957AB5"/>
    <w:rsid w:val="7EA146AC"/>
    <w:rsid w:val="7EA62AE4"/>
    <w:rsid w:val="7EA63A70"/>
    <w:rsid w:val="7EB443DF"/>
    <w:rsid w:val="7EC46650"/>
    <w:rsid w:val="7EC606AC"/>
    <w:rsid w:val="7EC7253A"/>
    <w:rsid w:val="7ED22AB7"/>
    <w:rsid w:val="7ED92098"/>
    <w:rsid w:val="7EEF71C5"/>
    <w:rsid w:val="7EF156AE"/>
    <w:rsid w:val="7EF23159"/>
    <w:rsid w:val="7F007624"/>
    <w:rsid w:val="7F054C3B"/>
    <w:rsid w:val="7F0D1D41"/>
    <w:rsid w:val="7F376DBE"/>
    <w:rsid w:val="7F402117"/>
    <w:rsid w:val="7F52127C"/>
    <w:rsid w:val="7F5300F0"/>
    <w:rsid w:val="7F60187B"/>
    <w:rsid w:val="7F604567"/>
    <w:rsid w:val="7F623E3B"/>
    <w:rsid w:val="7F761695"/>
    <w:rsid w:val="7F874A92"/>
    <w:rsid w:val="7F945FBF"/>
    <w:rsid w:val="7F9935D5"/>
    <w:rsid w:val="7F9B734D"/>
    <w:rsid w:val="7FB1091F"/>
    <w:rsid w:val="7FCD0B00"/>
    <w:rsid w:val="7FD10FC1"/>
    <w:rsid w:val="7FDE5F30"/>
    <w:rsid w:val="7FE47E50"/>
    <w:rsid w:val="7FF32C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ocked="1"/>
    <w:lsdException w:qFormat="1" w:unhideWhenUsed="0" w:uiPriority="9" w:semiHidden="0" w:name="heading 3" w:locked="1"/>
    <w:lsdException w:qFormat="1" w:uiPriority="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sdException w:uiPriority="0" w:name="footnote text"/>
    <w:lsdException w:qFormat="1" w:unhideWhenUsed="0"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ocked="1"/>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ocked="1"/>
    <w:lsdException w:uiPriority="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iPriority="0" w:name="Body Text Indent 2"/>
    <w:lsdException w:qFormat="1" w:unhideWhenUsed="0" w:uiPriority="99" w:semiHidden="0" w:name="Body Text Indent 3"/>
    <w:lsdException w:uiPriority="0" w:name="Block Text"/>
    <w:lsdException w:qFormat="1" w:unhideWhenUsed="0" w:uiPriority="99" w:semiHidden="0" w:name="Hyperlink"/>
    <w:lsdException w:qFormat="1" w:uiPriority="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7"/>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94"/>
    <w:autoRedefine/>
    <w:semiHidden/>
    <w:unhideWhenUsed/>
    <w:qFormat/>
    <w:locked/>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autoRedefine/>
    <w:qFormat/>
    <w:locked/>
    <w:uiPriority w:val="9"/>
    <w:pPr>
      <w:keepNext/>
      <w:keepLines/>
      <w:numPr>
        <w:ilvl w:val="2"/>
        <w:numId w:val="1"/>
      </w:numPr>
      <w:spacing w:before="120" w:after="120"/>
      <w:outlineLvl w:val="2"/>
    </w:pPr>
    <w:rPr>
      <w:b/>
      <w:bCs/>
      <w:sz w:val="24"/>
      <w:szCs w:val="32"/>
    </w:rPr>
  </w:style>
  <w:style w:type="paragraph" w:styleId="5">
    <w:name w:val="heading 5"/>
    <w:basedOn w:val="1"/>
    <w:next w:val="1"/>
    <w:link w:val="70"/>
    <w:autoRedefine/>
    <w:qFormat/>
    <w:locked/>
    <w:uiPriority w:val="0"/>
    <w:pPr>
      <w:keepNext/>
      <w:keepLines/>
      <w:numPr>
        <w:ilvl w:val="4"/>
        <w:numId w:val="2"/>
      </w:numPr>
      <w:adjustRightInd w:val="0"/>
      <w:snapToGrid w:val="0"/>
      <w:spacing w:line="360" w:lineRule="auto"/>
      <w:outlineLvl w:val="4"/>
    </w:pPr>
    <w:rPr>
      <w:rFonts w:eastAsia="仿宋_GB2312"/>
      <w:b/>
      <w:bCs/>
      <w:sz w:val="24"/>
      <w:szCs w:val="28"/>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6">
    <w:name w:val="Normal Indent"/>
    <w:basedOn w:val="1"/>
    <w:link w:val="95"/>
    <w:autoRedefine/>
    <w:qFormat/>
    <w:uiPriority w:val="0"/>
    <w:pPr>
      <w:ind w:firstLine="420" w:firstLineChars="200"/>
    </w:pPr>
  </w:style>
  <w:style w:type="paragraph" w:styleId="7">
    <w:name w:val="Document Map"/>
    <w:basedOn w:val="1"/>
    <w:link w:val="88"/>
    <w:autoRedefine/>
    <w:qFormat/>
    <w:uiPriority w:val="0"/>
    <w:rPr>
      <w:rFonts w:ascii="宋体"/>
      <w:sz w:val="18"/>
      <w:szCs w:val="18"/>
    </w:rPr>
  </w:style>
  <w:style w:type="paragraph" w:styleId="8">
    <w:name w:val="annotation text"/>
    <w:basedOn w:val="1"/>
    <w:link w:val="97"/>
    <w:autoRedefine/>
    <w:semiHidden/>
    <w:qFormat/>
    <w:uiPriority w:val="0"/>
    <w:pPr>
      <w:jc w:val="left"/>
    </w:pPr>
    <w:rPr>
      <w:kern w:val="0"/>
      <w:sz w:val="20"/>
    </w:rPr>
  </w:style>
  <w:style w:type="paragraph" w:styleId="9">
    <w:name w:val="Body Text"/>
    <w:basedOn w:val="1"/>
    <w:link w:val="85"/>
    <w:autoRedefine/>
    <w:qFormat/>
    <w:uiPriority w:val="0"/>
    <w:pPr>
      <w:widowControl/>
      <w:snapToGrid w:val="0"/>
      <w:spacing w:before="60" w:after="160" w:line="259" w:lineRule="auto"/>
      <w:ind w:right="113"/>
    </w:pPr>
    <w:rPr>
      <w:kern w:val="0"/>
      <w:sz w:val="18"/>
      <w:szCs w:val="18"/>
    </w:rPr>
  </w:style>
  <w:style w:type="paragraph" w:styleId="10">
    <w:name w:val="Body Text Indent"/>
    <w:basedOn w:val="1"/>
    <w:link w:val="84"/>
    <w:autoRedefine/>
    <w:semiHidden/>
    <w:qFormat/>
    <w:uiPriority w:val="0"/>
    <w:pPr>
      <w:spacing w:after="120"/>
      <w:ind w:left="420" w:leftChars="200"/>
    </w:pPr>
  </w:style>
  <w:style w:type="paragraph" w:styleId="11">
    <w:name w:val="Date"/>
    <w:basedOn w:val="1"/>
    <w:next w:val="1"/>
    <w:link w:val="86"/>
    <w:autoRedefine/>
    <w:qFormat/>
    <w:uiPriority w:val="0"/>
    <w:pPr>
      <w:ind w:left="100" w:leftChars="2500"/>
    </w:pPr>
    <w:rPr>
      <w:kern w:val="0"/>
      <w:sz w:val="20"/>
    </w:rPr>
  </w:style>
  <w:style w:type="paragraph" w:styleId="12">
    <w:name w:val="Body Text Indent 2"/>
    <w:basedOn w:val="1"/>
    <w:next w:val="13"/>
    <w:link w:val="81"/>
    <w:autoRedefine/>
    <w:semiHidden/>
    <w:unhideWhenUsed/>
    <w:qFormat/>
    <w:uiPriority w:val="0"/>
    <w:pPr>
      <w:spacing w:after="120" w:line="480" w:lineRule="auto"/>
      <w:ind w:left="420" w:leftChars="200"/>
    </w:pPr>
  </w:style>
  <w:style w:type="paragraph" w:customStyle="1" w:styleId="13">
    <w:name w:val="正文4"/>
    <w:basedOn w:val="1"/>
    <w:autoRedefine/>
    <w:qFormat/>
    <w:uiPriority w:val="0"/>
    <w:pPr>
      <w:keepNext w:val="0"/>
      <w:keepLines w:val="0"/>
      <w:widowControl/>
      <w:suppressLineNumbers w:val="0"/>
      <w:spacing w:before="0" w:beforeAutospacing="0" w:after="0" w:afterAutospacing="0" w:line="360" w:lineRule="auto"/>
      <w:ind w:left="0" w:right="0" w:firstLine="720" w:firstLineChars="200"/>
      <w:jc w:val="both"/>
    </w:pPr>
    <w:rPr>
      <w:rFonts w:hint="default" w:ascii="Times New Roman" w:hAnsi="Times New Roman" w:eastAsia="宋体" w:cs="Times New Roman"/>
      <w:kern w:val="2"/>
      <w:sz w:val="21"/>
      <w:szCs w:val="21"/>
      <w:lang w:val="en-US" w:eastAsia="zh-CN" w:bidi="ar"/>
    </w:rPr>
  </w:style>
  <w:style w:type="paragraph" w:styleId="14">
    <w:name w:val="Balloon Text"/>
    <w:basedOn w:val="1"/>
    <w:link w:val="93"/>
    <w:autoRedefine/>
    <w:semiHidden/>
    <w:qFormat/>
    <w:uiPriority w:val="0"/>
    <w:rPr>
      <w:sz w:val="18"/>
      <w:szCs w:val="18"/>
    </w:rPr>
  </w:style>
  <w:style w:type="paragraph" w:styleId="15">
    <w:name w:val="footer"/>
    <w:basedOn w:val="1"/>
    <w:link w:val="91"/>
    <w:autoRedefine/>
    <w:qFormat/>
    <w:uiPriority w:val="99"/>
    <w:pPr>
      <w:tabs>
        <w:tab w:val="center" w:pos="4153"/>
        <w:tab w:val="right" w:pos="8306"/>
      </w:tabs>
      <w:snapToGrid w:val="0"/>
      <w:jc w:val="left"/>
    </w:pPr>
    <w:rPr>
      <w:sz w:val="18"/>
      <w:szCs w:val="18"/>
    </w:rPr>
  </w:style>
  <w:style w:type="paragraph" w:styleId="16">
    <w:name w:val="header"/>
    <w:basedOn w:val="1"/>
    <w:link w:val="89"/>
    <w:autoRedefine/>
    <w:qFormat/>
    <w:uiPriority w:val="0"/>
    <w:pPr>
      <w:pBdr>
        <w:bottom w:val="single" w:color="auto" w:sz="6" w:space="1"/>
      </w:pBdr>
      <w:tabs>
        <w:tab w:val="center" w:pos="4153"/>
        <w:tab w:val="right" w:pos="8306"/>
      </w:tabs>
      <w:snapToGrid w:val="0"/>
      <w:jc w:val="center"/>
    </w:pPr>
    <w:rPr>
      <w:sz w:val="18"/>
      <w:szCs w:val="18"/>
    </w:rPr>
  </w:style>
  <w:style w:type="paragraph" w:styleId="17">
    <w:name w:val="Body Text Indent 3"/>
    <w:basedOn w:val="1"/>
    <w:autoRedefine/>
    <w:qFormat/>
    <w:uiPriority w:val="99"/>
    <w:pPr>
      <w:spacing w:after="120"/>
      <w:ind w:left="420" w:leftChars="200"/>
    </w:pPr>
    <w:rPr>
      <w:sz w:val="16"/>
      <w:szCs w:val="16"/>
    </w:rPr>
  </w:style>
  <w:style w:type="paragraph" w:styleId="18">
    <w:name w:val="Body Text 2"/>
    <w:basedOn w:val="1"/>
    <w:link w:val="73"/>
    <w:autoRedefine/>
    <w:qFormat/>
    <w:uiPriority w:val="0"/>
    <w:pPr>
      <w:spacing w:after="120" w:line="480" w:lineRule="auto"/>
    </w:pPr>
    <w:rPr>
      <w:rFonts w:eastAsia="华文中宋"/>
      <w:sz w:val="24"/>
    </w:rPr>
  </w:style>
  <w:style w:type="paragraph" w:styleId="19">
    <w:name w:val="Normal (Web)"/>
    <w:basedOn w:val="1"/>
    <w:link w:val="37"/>
    <w:autoRedefine/>
    <w:qFormat/>
    <w:uiPriority w:val="0"/>
    <w:pPr>
      <w:widowControl/>
      <w:spacing w:before="100" w:beforeAutospacing="1" w:after="100" w:afterAutospacing="1"/>
      <w:jc w:val="left"/>
    </w:pPr>
    <w:rPr>
      <w:rFonts w:ascii="宋体" w:hAnsi="宋体"/>
      <w:kern w:val="0"/>
      <w:sz w:val="24"/>
    </w:rPr>
  </w:style>
  <w:style w:type="paragraph" w:styleId="20">
    <w:name w:val="Title"/>
    <w:basedOn w:val="1"/>
    <w:next w:val="1"/>
    <w:autoRedefine/>
    <w:qFormat/>
    <w:locked/>
    <w:uiPriority w:val="0"/>
    <w:pPr>
      <w:spacing w:before="240" w:after="60"/>
      <w:jc w:val="center"/>
      <w:outlineLvl w:val="0"/>
    </w:pPr>
    <w:rPr>
      <w:rFonts w:ascii="Cambria" w:hAnsi="Cambria"/>
      <w:b/>
      <w:bCs/>
      <w:sz w:val="32"/>
      <w:szCs w:val="32"/>
    </w:rPr>
  </w:style>
  <w:style w:type="paragraph" w:styleId="21">
    <w:name w:val="annotation subject"/>
    <w:basedOn w:val="8"/>
    <w:next w:val="8"/>
    <w:link w:val="96"/>
    <w:autoRedefine/>
    <w:semiHidden/>
    <w:qFormat/>
    <w:uiPriority w:val="0"/>
    <w:rPr>
      <w:b/>
      <w:bCs/>
    </w:rPr>
  </w:style>
  <w:style w:type="paragraph" w:styleId="22">
    <w:name w:val="Body Text First Indent"/>
    <w:basedOn w:val="9"/>
    <w:link w:val="69"/>
    <w:autoRedefine/>
    <w:qFormat/>
    <w:uiPriority w:val="99"/>
    <w:pPr>
      <w:widowControl w:val="0"/>
      <w:snapToGrid/>
      <w:spacing w:before="0" w:after="120" w:line="240" w:lineRule="auto"/>
      <w:ind w:right="0" w:firstLine="420" w:firstLineChars="100"/>
    </w:pPr>
    <w:rPr>
      <w:rFonts w:eastAsia="仿宋_GB2312"/>
      <w:kern w:val="2"/>
      <w:sz w:val="24"/>
      <w:szCs w:val="24"/>
      <w:lang w:val="zh-CN"/>
    </w:rPr>
  </w:style>
  <w:style w:type="paragraph" w:styleId="23">
    <w:name w:val="Body Text First Indent 2"/>
    <w:basedOn w:val="10"/>
    <w:autoRedefine/>
    <w:qFormat/>
    <w:uiPriority w:val="0"/>
    <w:pPr>
      <w:adjustRightInd w:val="0"/>
      <w:snapToGrid w:val="0"/>
      <w:spacing w:line="360" w:lineRule="auto"/>
      <w:ind w:firstLine="420" w:firstLineChars="200"/>
      <w:jc w:val="left"/>
    </w:pPr>
    <w:rPr>
      <w:rFonts w:eastAsia="宋体"/>
      <w:sz w:val="24"/>
      <w:szCs w:val="22"/>
      <w:lang w:val="en-US" w:eastAsia="zh-CN"/>
    </w:rPr>
  </w:style>
  <w:style w:type="table" w:styleId="25">
    <w:name w:val="Table Grid"/>
    <w:basedOn w:val="2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autoRedefine/>
    <w:qFormat/>
    <w:locked/>
    <w:uiPriority w:val="0"/>
    <w:rPr>
      <w:rFonts w:hint="default" w:ascii="Calibri" w:hAnsi="Calibri" w:eastAsia="宋体" w:cs="Times New Roman"/>
      <w:b/>
    </w:rPr>
  </w:style>
  <w:style w:type="character" w:styleId="28">
    <w:name w:val="page number"/>
    <w:basedOn w:val="26"/>
    <w:autoRedefine/>
    <w:qFormat/>
    <w:uiPriority w:val="0"/>
  </w:style>
  <w:style w:type="character" w:styleId="29">
    <w:name w:val="FollowedHyperlink"/>
    <w:basedOn w:val="26"/>
    <w:autoRedefine/>
    <w:semiHidden/>
    <w:unhideWhenUsed/>
    <w:qFormat/>
    <w:uiPriority w:val="0"/>
    <w:rPr>
      <w:color w:val="800080"/>
      <w:u w:val="single"/>
    </w:rPr>
  </w:style>
  <w:style w:type="character" w:styleId="30">
    <w:name w:val="Hyperlink"/>
    <w:autoRedefine/>
    <w:qFormat/>
    <w:uiPriority w:val="99"/>
    <w:rPr>
      <w:color w:val="338DE6"/>
      <w:u w:val="none"/>
    </w:rPr>
  </w:style>
  <w:style w:type="character" w:styleId="31">
    <w:name w:val="annotation reference"/>
    <w:basedOn w:val="26"/>
    <w:autoRedefine/>
    <w:qFormat/>
    <w:uiPriority w:val="0"/>
    <w:rPr>
      <w:sz w:val="21"/>
    </w:rPr>
  </w:style>
  <w:style w:type="paragraph" w:customStyle="1" w:styleId="32">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3">
    <w:name w:val="11111"/>
    <w:basedOn w:val="1"/>
    <w:next w:val="1"/>
    <w:autoRedefine/>
    <w:qFormat/>
    <w:uiPriority w:val="99"/>
    <w:pPr>
      <w:spacing w:line="360" w:lineRule="auto"/>
    </w:pPr>
    <w:rPr>
      <w:rFonts w:ascii="宋体" w:hAnsi="宋体" w:cs="宋体"/>
      <w:sz w:val="24"/>
    </w:rPr>
  </w:style>
  <w:style w:type="character" w:customStyle="1" w:styleId="34">
    <w:name w:val="页眉 字符"/>
    <w:link w:val="16"/>
    <w:autoRedefine/>
    <w:qFormat/>
    <w:locked/>
    <w:uiPriority w:val="0"/>
    <w:rPr>
      <w:rFonts w:cs="Times New Roman"/>
      <w:sz w:val="18"/>
      <w:szCs w:val="18"/>
    </w:rPr>
  </w:style>
  <w:style w:type="character" w:customStyle="1" w:styleId="35">
    <w:name w:val="页脚 字符"/>
    <w:link w:val="15"/>
    <w:autoRedefine/>
    <w:qFormat/>
    <w:locked/>
    <w:uiPriority w:val="99"/>
    <w:rPr>
      <w:rFonts w:cs="Times New Roman"/>
      <w:sz w:val="18"/>
      <w:szCs w:val="18"/>
    </w:rPr>
  </w:style>
  <w:style w:type="character" w:customStyle="1" w:styleId="36">
    <w:name w:val="正文文本 字符"/>
    <w:link w:val="9"/>
    <w:autoRedefine/>
    <w:qFormat/>
    <w:locked/>
    <w:uiPriority w:val="0"/>
    <w:rPr>
      <w:sz w:val="18"/>
    </w:rPr>
  </w:style>
  <w:style w:type="character" w:customStyle="1" w:styleId="37">
    <w:name w:val="普通(网站) 字符"/>
    <w:link w:val="19"/>
    <w:autoRedefine/>
    <w:qFormat/>
    <w:locked/>
    <w:uiPriority w:val="0"/>
    <w:rPr>
      <w:rFonts w:ascii="宋体" w:hAnsi="宋体" w:eastAsia="宋体"/>
      <w:sz w:val="24"/>
    </w:rPr>
  </w:style>
  <w:style w:type="character" w:customStyle="1" w:styleId="38">
    <w:name w:val="日期 字符1"/>
    <w:link w:val="11"/>
    <w:autoRedefine/>
    <w:qFormat/>
    <w:locked/>
    <w:uiPriority w:val="0"/>
    <w:rPr>
      <w:rFonts w:ascii="Times New Roman" w:hAnsi="Times New Roman" w:eastAsia="宋体"/>
      <w:sz w:val="24"/>
    </w:rPr>
  </w:style>
  <w:style w:type="character" w:customStyle="1" w:styleId="39">
    <w:name w:val="日期 字符"/>
    <w:autoRedefine/>
    <w:semiHidden/>
    <w:qFormat/>
    <w:uiPriority w:val="0"/>
    <w:rPr>
      <w:rFonts w:ascii="Times New Roman" w:hAnsi="Times New Roman" w:eastAsia="宋体" w:cs="Times New Roman"/>
      <w:sz w:val="24"/>
      <w:szCs w:val="24"/>
    </w:rPr>
  </w:style>
  <w:style w:type="character" w:customStyle="1" w:styleId="40">
    <w:name w:val="正文文本 字符1"/>
    <w:autoRedefine/>
    <w:semiHidden/>
    <w:qFormat/>
    <w:uiPriority w:val="0"/>
    <w:rPr>
      <w:rFonts w:ascii="Times New Roman" w:hAnsi="Times New Roman" w:eastAsia="宋体" w:cs="Times New Roman"/>
      <w:sz w:val="24"/>
      <w:szCs w:val="24"/>
    </w:rPr>
  </w:style>
  <w:style w:type="paragraph" w:customStyle="1" w:styleId="41">
    <w:name w:val="普通(网站)2"/>
    <w:basedOn w:val="1"/>
    <w:autoRedefine/>
    <w:qFormat/>
    <w:uiPriority w:val="0"/>
    <w:pPr>
      <w:widowControl/>
      <w:spacing w:before="100" w:beforeAutospacing="1" w:after="100" w:afterAutospacing="1"/>
      <w:jc w:val="left"/>
    </w:pPr>
    <w:rPr>
      <w:rFonts w:ascii="宋体" w:hAnsi="宋体"/>
      <w:sz w:val="24"/>
      <w:szCs w:val="20"/>
    </w:rPr>
  </w:style>
  <w:style w:type="character" w:customStyle="1" w:styleId="42">
    <w:name w:val="表格 Char"/>
    <w:link w:val="43"/>
    <w:autoRedefine/>
    <w:qFormat/>
    <w:locked/>
    <w:uiPriority w:val="0"/>
    <w:rPr>
      <w:rFonts w:ascii="宋体"/>
      <w:sz w:val="21"/>
    </w:rPr>
  </w:style>
  <w:style w:type="paragraph" w:customStyle="1" w:styleId="43">
    <w:name w:val="表格"/>
    <w:basedOn w:val="1"/>
    <w:link w:val="42"/>
    <w:autoRedefine/>
    <w:qFormat/>
    <w:uiPriority w:val="0"/>
    <w:pPr>
      <w:adjustRightInd w:val="0"/>
      <w:snapToGrid w:val="0"/>
      <w:spacing w:beforeLines="10" w:afterLines="10" w:line="259" w:lineRule="auto"/>
      <w:jc w:val="center"/>
    </w:pPr>
    <w:rPr>
      <w:rFonts w:ascii="宋体"/>
      <w:kern w:val="0"/>
      <w:sz w:val="20"/>
      <w:szCs w:val="21"/>
    </w:rPr>
  </w:style>
  <w:style w:type="character" w:customStyle="1" w:styleId="44">
    <w:name w:val="批注框文本 字符"/>
    <w:link w:val="14"/>
    <w:autoRedefine/>
    <w:semiHidden/>
    <w:qFormat/>
    <w:locked/>
    <w:uiPriority w:val="0"/>
    <w:rPr>
      <w:rFonts w:ascii="Times New Roman" w:hAnsi="Times New Roman" w:eastAsia="宋体" w:cs="Times New Roman"/>
      <w:sz w:val="18"/>
      <w:szCs w:val="18"/>
    </w:rPr>
  </w:style>
  <w:style w:type="character" w:customStyle="1" w:styleId="45">
    <w:name w:val="批注文字 字符"/>
    <w:link w:val="8"/>
    <w:autoRedefine/>
    <w:qFormat/>
    <w:locked/>
    <w:uiPriority w:val="0"/>
    <w:rPr>
      <w:rFonts w:ascii="Times New Roman" w:hAnsi="Times New Roman" w:eastAsia="宋体"/>
      <w:sz w:val="24"/>
    </w:rPr>
  </w:style>
  <w:style w:type="character" w:customStyle="1" w:styleId="46">
    <w:name w:val="批注文字 字符1"/>
    <w:autoRedefine/>
    <w:semiHidden/>
    <w:qFormat/>
    <w:uiPriority w:val="0"/>
    <w:rPr>
      <w:rFonts w:ascii="Times New Roman" w:hAnsi="Times New Roman" w:eastAsia="宋体" w:cs="Times New Roman"/>
      <w:sz w:val="24"/>
      <w:szCs w:val="24"/>
    </w:rPr>
  </w:style>
  <w:style w:type="character" w:customStyle="1" w:styleId="47">
    <w:name w:val="正文文本缩进 字符"/>
    <w:link w:val="10"/>
    <w:autoRedefine/>
    <w:semiHidden/>
    <w:qFormat/>
    <w:locked/>
    <w:uiPriority w:val="0"/>
    <w:rPr>
      <w:rFonts w:ascii="Times New Roman" w:hAnsi="Times New Roman" w:eastAsia="宋体" w:cs="Times New Roman"/>
      <w:sz w:val="24"/>
      <w:szCs w:val="24"/>
    </w:rPr>
  </w:style>
  <w:style w:type="character" w:customStyle="1" w:styleId="48">
    <w:name w:val="批注主题 字符"/>
    <w:link w:val="21"/>
    <w:autoRedefine/>
    <w:semiHidden/>
    <w:qFormat/>
    <w:locked/>
    <w:uiPriority w:val="0"/>
    <w:rPr>
      <w:rFonts w:ascii="Times New Roman" w:hAnsi="Times New Roman" w:eastAsia="宋体" w:cs="Times New Roman"/>
      <w:b/>
      <w:bCs/>
      <w:kern w:val="2"/>
      <w:sz w:val="24"/>
      <w:szCs w:val="24"/>
    </w:rPr>
  </w:style>
  <w:style w:type="character" w:customStyle="1" w:styleId="49">
    <w:name w:val="普通(网站) Char"/>
    <w:autoRedefine/>
    <w:qFormat/>
    <w:locked/>
    <w:uiPriority w:val="0"/>
    <w:rPr>
      <w:rFonts w:ascii="宋体" w:hAnsi="宋体" w:eastAsia="宋体"/>
      <w:sz w:val="24"/>
    </w:rPr>
  </w:style>
  <w:style w:type="paragraph" w:customStyle="1" w:styleId="50">
    <w:name w:val="Default1"/>
    <w:autoRedefine/>
    <w:qFormat/>
    <w:uiPriority w:val="0"/>
    <w:pPr>
      <w:widowControl w:val="0"/>
      <w:autoSpaceDE w:val="0"/>
      <w:autoSpaceDN w:val="0"/>
      <w:adjustRightInd w:val="0"/>
      <w:spacing w:line="360" w:lineRule="auto"/>
      <w:jc w:val="both"/>
    </w:pPr>
    <w:rPr>
      <w:rFonts w:ascii="宋体" w:hAnsi="Times New Roman" w:eastAsia="宋体" w:cs="宋体"/>
      <w:color w:val="000000"/>
      <w:kern w:val="2"/>
      <w:sz w:val="24"/>
      <w:szCs w:val="24"/>
      <w:lang w:val="en-US" w:eastAsia="zh-CN" w:bidi="ar-SA"/>
    </w:rPr>
  </w:style>
  <w:style w:type="character" w:customStyle="1" w:styleId="51">
    <w:name w:val="表格文字内容（清和） Char Char"/>
    <w:link w:val="52"/>
    <w:autoRedefine/>
    <w:qFormat/>
    <w:uiPriority w:val="0"/>
    <w:rPr>
      <w:rFonts w:cs="宋体"/>
      <w:kern w:val="2"/>
      <w:sz w:val="18"/>
      <w:szCs w:val="21"/>
    </w:rPr>
  </w:style>
  <w:style w:type="paragraph" w:customStyle="1" w:styleId="52">
    <w:name w:val="表格文字内容（清和）"/>
    <w:basedOn w:val="1"/>
    <w:link w:val="51"/>
    <w:autoRedefine/>
    <w:qFormat/>
    <w:uiPriority w:val="0"/>
    <w:pPr>
      <w:spacing w:line="240" w:lineRule="exact"/>
      <w:jc w:val="center"/>
    </w:pPr>
    <w:rPr>
      <w:rFonts w:cs="宋体"/>
      <w:sz w:val="18"/>
      <w:szCs w:val="21"/>
    </w:rPr>
  </w:style>
  <w:style w:type="character" w:customStyle="1" w:styleId="53">
    <w:name w:val="报告表正文 Char"/>
    <w:link w:val="54"/>
    <w:autoRedefine/>
    <w:qFormat/>
    <w:locked/>
    <w:uiPriority w:val="0"/>
    <w:rPr>
      <w:sz w:val="24"/>
    </w:rPr>
  </w:style>
  <w:style w:type="paragraph" w:customStyle="1" w:styleId="54">
    <w:name w:val="报告表正文"/>
    <w:basedOn w:val="1"/>
    <w:link w:val="53"/>
    <w:autoRedefine/>
    <w:qFormat/>
    <w:uiPriority w:val="0"/>
    <w:pPr>
      <w:widowControl/>
      <w:adjustRightInd w:val="0"/>
      <w:spacing w:line="312" w:lineRule="auto"/>
      <w:ind w:left="113" w:right="113" w:firstLine="482"/>
      <w:jc w:val="left"/>
      <w:textAlignment w:val="baseline"/>
    </w:pPr>
    <w:rPr>
      <w:kern w:val="0"/>
      <w:sz w:val="24"/>
      <w:szCs w:val="20"/>
    </w:rPr>
  </w:style>
  <w:style w:type="character" w:customStyle="1" w:styleId="55">
    <w:name w:val="XL正文 Char"/>
    <w:link w:val="56"/>
    <w:autoRedefine/>
    <w:qFormat/>
    <w:locked/>
    <w:uiPriority w:val="0"/>
    <w:rPr>
      <w:sz w:val="24"/>
      <w:szCs w:val="24"/>
    </w:rPr>
  </w:style>
  <w:style w:type="paragraph" w:customStyle="1" w:styleId="56">
    <w:name w:val="XL正文"/>
    <w:basedOn w:val="1"/>
    <w:link w:val="55"/>
    <w:autoRedefine/>
    <w:qFormat/>
    <w:uiPriority w:val="0"/>
    <w:pPr>
      <w:widowControl/>
      <w:snapToGrid w:val="0"/>
      <w:spacing w:line="360" w:lineRule="auto"/>
      <w:ind w:firstLine="200" w:firstLineChars="200"/>
    </w:pPr>
    <w:rPr>
      <w:kern w:val="0"/>
      <w:sz w:val="24"/>
    </w:rPr>
  </w:style>
  <w:style w:type="paragraph" w:customStyle="1" w:styleId="57">
    <w:name w:val="11正文"/>
    <w:basedOn w:val="1"/>
    <w:link w:val="58"/>
    <w:autoRedefine/>
    <w:qFormat/>
    <w:uiPriority w:val="0"/>
    <w:pPr>
      <w:widowControl/>
      <w:spacing w:line="360" w:lineRule="auto"/>
      <w:ind w:firstLine="200" w:firstLineChars="200"/>
    </w:pPr>
    <w:rPr>
      <w:kern w:val="0"/>
      <w:sz w:val="24"/>
    </w:rPr>
  </w:style>
  <w:style w:type="character" w:customStyle="1" w:styleId="58">
    <w:name w:val="11正文 字符"/>
    <w:link w:val="57"/>
    <w:autoRedefine/>
    <w:qFormat/>
    <w:uiPriority w:val="0"/>
    <w:rPr>
      <w:sz w:val="24"/>
      <w:szCs w:val="24"/>
    </w:rPr>
  </w:style>
  <w:style w:type="paragraph" w:styleId="59">
    <w:name w:val="No Spacing"/>
    <w:link w:val="60"/>
    <w:autoRedefine/>
    <w:qFormat/>
    <w:uiPriority w:val="0"/>
    <w:pPr>
      <w:widowControl w:val="0"/>
      <w:jc w:val="center"/>
    </w:pPr>
    <w:rPr>
      <w:rFonts w:ascii="Times New Roman" w:hAnsi="Times New Roman" w:eastAsia="宋体" w:cs="Times New Roman"/>
      <w:kern w:val="2"/>
      <w:sz w:val="18"/>
      <w:szCs w:val="22"/>
      <w:lang w:val="en-US" w:eastAsia="zh-CN" w:bidi="ar-SA"/>
    </w:rPr>
  </w:style>
  <w:style w:type="character" w:customStyle="1" w:styleId="60">
    <w:name w:val="无间隔 字符"/>
    <w:link w:val="59"/>
    <w:autoRedefine/>
    <w:qFormat/>
    <w:uiPriority w:val="1"/>
    <w:rPr>
      <w:kern w:val="2"/>
      <w:sz w:val="18"/>
      <w:szCs w:val="22"/>
    </w:rPr>
  </w:style>
  <w:style w:type="table" w:customStyle="1" w:styleId="61">
    <w:name w:val="报告表格样式"/>
    <w:basedOn w:val="24"/>
    <w:autoRedefine/>
    <w:qFormat/>
    <w:uiPriority w:val="0"/>
    <w:pPr>
      <w:jc w:val="center"/>
    </w:pPr>
    <w:rPr>
      <w:sz w:val="18"/>
    </w:rPr>
    <w:tblP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
    <w:tcPr>
      <w:vAlign w:val="center"/>
    </w:tcPr>
    <w:tblStylePr w:type="nwCell">
      <w:tcPr>
        <w:tcBorders>
          <w:tl2br w:val="nil"/>
        </w:tcBorders>
      </w:tcPr>
    </w:tblStylePr>
  </w:style>
  <w:style w:type="character" w:customStyle="1" w:styleId="62">
    <w:name w:val="正文(首行缩进) Char1"/>
    <w:link w:val="63"/>
    <w:autoRedefine/>
    <w:qFormat/>
    <w:uiPriority w:val="0"/>
    <w:rPr>
      <w:snapToGrid w:val="0"/>
      <w:color w:val="000000"/>
      <w:sz w:val="24"/>
      <w:szCs w:val="24"/>
    </w:rPr>
  </w:style>
  <w:style w:type="paragraph" w:customStyle="1" w:styleId="63">
    <w:name w:val="正文(首行缩进)"/>
    <w:basedOn w:val="1"/>
    <w:link w:val="62"/>
    <w:autoRedefine/>
    <w:qFormat/>
    <w:uiPriority w:val="0"/>
    <w:pPr>
      <w:spacing w:line="360" w:lineRule="auto"/>
      <w:ind w:firstLine="540" w:firstLineChars="225"/>
    </w:pPr>
    <w:rPr>
      <w:snapToGrid w:val="0"/>
      <w:color w:val="000000"/>
      <w:kern w:val="0"/>
      <w:sz w:val="24"/>
    </w:rPr>
  </w:style>
  <w:style w:type="character" w:customStyle="1" w:styleId="64">
    <w:name w:val="正文文本缩进 2 字符"/>
    <w:link w:val="12"/>
    <w:autoRedefine/>
    <w:semiHidden/>
    <w:qFormat/>
    <w:uiPriority w:val="0"/>
    <w:rPr>
      <w:kern w:val="2"/>
      <w:sz w:val="21"/>
      <w:szCs w:val="24"/>
    </w:rPr>
  </w:style>
  <w:style w:type="paragraph" w:customStyle="1" w:styleId="65">
    <w:name w:val="表格1"/>
    <w:basedOn w:val="1"/>
    <w:autoRedefine/>
    <w:qFormat/>
    <w:uiPriority w:val="0"/>
    <w:pPr>
      <w:adjustRightInd w:val="0"/>
      <w:spacing w:line="20" w:lineRule="atLeast"/>
      <w:jc w:val="center"/>
      <w:textAlignment w:val="center"/>
    </w:pPr>
    <w:rPr>
      <w:rFonts w:ascii="宋体"/>
      <w:kern w:val="0"/>
      <w:sz w:val="24"/>
      <w:szCs w:val="20"/>
    </w:rPr>
  </w:style>
  <w:style w:type="paragraph" w:customStyle="1" w:styleId="66">
    <w:name w:val="haydonli"/>
    <w:basedOn w:val="1"/>
    <w:autoRedefine/>
    <w:qFormat/>
    <w:uiPriority w:val="0"/>
    <w:pPr>
      <w:snapToGrid w:val="0"/>
      <w:spacing w:line="360" w:lineRule="auto"/>
      <w:ind w:firstLine="200" w:firstLineChars="200"/>
    </w:pPr>
    <w:rPr>
      <w:rFonts w:eastAsia="Times New Roman"/>
      <w:sz w:val="24"/>
    </w:rPr>
  </w:style>
  <w:style w:type="character" w:customStyle="1" w:styleId="67">
    <w:name w:val="正文缩进 字符"/>
    <w:link w:val="6"/>
    <w:autoRedefine/>
    <w:qFormat/>
    <w:uiPriority w:val="0"/>
    <w:rPr>
      <w:kern w:val="2"/>
      <w:sz w:val="21"/>
      <w:szCs w:val="24"/>
    </w:rPr>
  </w:style>
  <w:style w:type="character" w:customStyle="1" w:styleId="68">
    <w:name w:val="表格文字内容 Char Char"/>
    <w:autoRedefine/>
    <w:qFormat/>
    <w:uiPriority w:val="0"/>
    <w:rPr>
      <w:rFonts w:ascii="Times New Roman" w:hAnsi="Times New Roman" w:eastAsia="仿宋_GB2312"/>
      <w:kern w:val="2"/>
      <w:sz w:val="18"/>
      <w:szCs w:val="18"/>
      <w:lang w:bidi="ar-SA"/>
    </w:rPr>
  </w:style>
  <w:style w:type="character" w:customStyle="1" w:styleId="69">
    <w:name w:val="正文文本首行缩进 字符"/>
    <w:link w:val="22"/>
    <w:autoRedefine/>
    <w:qFormat/>
    <w:uiPriority w:val="99"/>
    <w:rPr>
      <w:rFonts w:eastAsia="仿宋_GB2312"/>
      <w:kern w:val="2"/>
      <w:sz w:val="24"/>
      <w:szCs w:val="24"/>
      <w:lang w:val="zh-CN"/>
    </w:rPr>
  </w:style>
  <w:style w:type="character" w:customStyle="1" w:styleId="70">
    <w:name w:val="标题 5 字符"/>
    <w:link w:val="5"/>
    <w:autoRedefine/>
    <w:qFormat/>
    <w:uiPriority w:val="0"/>
    <w:rPr>
      <w:rFonts w:eastAsia="仿宋_GB2312"/>
      <w:b/>
      <w:bCs/>
      <w:kern w:val="2"/>
      <w:sz w:val="24"/>
      <w:szCs w:val="28"/>
    </w:rPr>
  </w:style>
  <w:style w:type="character" w:customStyle="1" w:styleId="71">
    <w:name w:val="标题 5 字符1"/>
    <w:autoRedefine/>
    <w:qFormat/>
    <w:uiPriority w:val="0"/>
    <w:rPr>
      <w:rFonts w:eastAsia="仿宋_GB2312"/>
      <w:b/>
      <w:bCs/>
      <w:kern w:val="2"/>
      <w:sz w:val="24"/>
      <w:szCs w:val="28"/>
    </w:rPr>
  </w:style>
  <w:style w:type="character" w:customStyle="1" w:styleId="72">
    <w:name w:val="文档结构图 字符"/>
    <w:link w:val="7"/>
    <w:autoRedefine/>
    <w:qFormat/>
    <w:uiPriority w:val="0"/>
    <w:rPr>
      <w:rFonts w:ascii="宋体"/>
      <w:kern w:val="2"/>
      <w:sz w:val="18"/>
      <w:szCs w:val="18"/>
    </w:rPr>
  </w:style>
  <w:style w:type="character" w:customStyle="1" w:styleId="73">
    <w:name w:val="正文文本 2 字符"/>
    <w:link w:val="18"/>
    <w:autoRedefine/>
    <w:qFormat/>
    <w:uiPriority w:val="0"/>
    <w:rPr>
      <w:rFonts w:eastAsia="华文中宋"/>
      <w:kern w:val="2"/>
      <w:sz w:val="24"/>
      <w:szCs w:val="24"/>
    </w:rPr>
  </w:style>
  <w:style w:type="paragraph" w:customStyle="1" w:styleId="74">
    <w:name w:val="0正文"/>
    <w:basedOn w:val="1"/>
    <w:autoRedefine/>
    <w:qFormat/>
    <w:uiPriority w:val="0"/>
    <w:pPr>
      <w:adjustRightInd w:val="0"/>
      <w:snapToGrid w:val="0"/>
      <w:ind w:firstLine="480"/>
    </w:pPr>
    <w:rPr>
      <w:szCs w:val="22"/>
    </w:rPr>
  </w:style>
  <w:style w:type="paragraph" w:customStyle="1" w:styleId="75">
    <w:name w:val="样式 小四 加粗 行距: 1.5 倍行距"/>
    <w:basedOn w:val="1"/>
    <w:autoRedefine/>
    <w:qFormat/>
    <w:uiPriority w:val="99"/>
    <w:pPr>
      <w:spacing w:line="360" w:lineRule="auto"/>
      <w:ind w:firstLine="482" w:firstLineChars="200"/>
    </w:pPr>
    <w:rPr>
      <w:rFonts w:cs="宋体"/>
      <w:b/>
      <w:bCs/>
      <w:sz w:val="24"/>
      <w:szCs w:val="20"/>
    </w:rPr>
  </w:style>
  <w:style w:type="paragraph" w:customStyle="1" w:styleId="76">
    <w:name w:val="Normal_0"/>
    <w:autoRedefine/>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77">
    <w:name w:val="Normal_0_0"/>
    <w:autoRedefine/>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78">
    <w:name w:val="+正文"/>
    <w:basedOn w:val="1"/>
    <w:autoRedefine/>
    <w:qFormat/>
    <w:uiPriority w:val="0"/>
    <w:pPr>
      <w:spacing w:before="120" w:after="120" w:line="360" w:lineRule="auto"/>
    </w:pPr>
    <w:rPr>
      <w:rFonts w:eastAsia="仿宋_GB2312"/>
      <w:sz w:val="24"/>
      <w:szCs w:val="28"/>
    </w:rPr>
  </w:style>
  <w:style w:type="paragraph" w:customStyle="1" w:styleId="79">
    <w:name w:val="样式 样式 小四 加粗 行距: 1.5 倍行距 + 非加粗 首行缩进:  2 字符"/>
    <w:basedOn w:val="1"/>
    <w:autoRedefine/>
    <w:qFormat/>
    <w:uiPriority w:val="0"/>
    <w:pPr>
      <w:spacing w:line="360" w:lineRule="auto"/>
      <w:ind w:firstLine="480" w:firstLineChars="200"/>
    </w:pPr>
    <w:rPr>
      <w:rFonts w:cs="宋体"/>
      <w:sz w:val="24"/>
      <w:szCs w:val="20"/>
    </w:rPr>
  </w:style>
  <w:style w:type="paragraph" w:customStyle="1" w:styleId="80">
    <w:name w:val="Table Paragraph"/>
    <w:basedOn w:val="1"/>
    <w:autoRedefine/>
    <w:qFormat/>
    <w:uiPriority w:val="1"/>
    <w:pPr>
      <w:jc w:val="left"/>
    </w:pPr>
    <w:rPr>
      <w:rFonts w:asciiTheme="minorHAnsi" w:hAnsiTheme="minorHAnsi" w:eastAsiaTheme="minorEastAsia" w:cstheme="minorBidi"/>
      <w:kern w:val="0"/>
      <w:sz w:val="22"/>
      <w:szCs w:val="22"/>
      <w:lang w:eastAsia="en-US"/>
    </w:rPr>
  </w:style>
  <w:style w:type="character" w:customStyle="1" w:styleId="81">
    <w:name w:val="正文文本缩进 2 Char"/>
    <w:basedOn w:val="26"/>
    <w:link w:val="12"/>
    <w:autoRedefine/>
    <w:qFormat/>
    <w:uiPriority w:val="0"/>
    <w:rPr>
      <w:kern w:val="2"/>
      <w:sz w:val="21"/>
      <w:szCs w:val="24"/>
    </w:rPr>
  </w:style>
  <w:style w:type="paragraph" w:customStyle="1" w:styleId="82">
    <w:name w:val="列出段落1"/>
    <w:basedOn w:val="1"/>
    <w:autoRedefine/>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1"/>
      <w:lang w:val="en-US" w:eastAsia="zh-CN" w:bidi="ar"/>
    </w:rPr>
  </w:style>
  <w:style w:type="paragraph" w:customStyle="1" w:styleId="83">
    <w:name w:val="列出段落11"/>
    <w:basedOn w:val="1"/>
    <w:autoRedefine/>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1"/>
      <w:lang w:val="en-US" w:eastAsia="zh-CN" w:bidi="ar"/>
    </w:rPr>
  </w:style>
  <w:style w:type="character" w:customStyle="1" w:styleId="84">
    <w:name w:val="正文文本缩进 Char"/>
    <w:basedOn w:val="26"/>
    <w:link w:val="10"/>
    <w:autoRedefine/>
    <w:qFormat/>
    <w:uiPriority w:val="0"/>
    <w:rPr>
      <w:sz w:val="24"/>
    </w:rPr>
  </w:style>
  <w:style w:type="character" w:customStyle="1" w:styleId="85">
    <w:name w:val="正文文本 Char"/>
    <w:basedOn w:val="26"/>
    <w:link w:val="9"/>
    <w:autoRedefine/>
    <w:qFormat/>
    <w:uiPriority w:val="0"/>
    <w:rPr>
      <w:sz w:val="18"/>
    </w:rPr>
  </w:style>
  <w:style w:type="character" w:customStyle="1" w:styleId="86">
    <w:name w:val="日期 Char"/>
    <w:basedOn w:val="26"/>
    <w:link w:val="11"/>
    <w:autoRedefine/>
    <w:qFormat/>
    <w:uiPriority w:val="0"/>
    <w:rPr>
      <w:sz w:val="24"/>
    </w:rPr>
  </w:style>
  <w:style w:type="character" w:customStyle="1" w:styleId="87">
    <w:name w:val="标题 1 Char"/>
    <w:basedOn w:val="26"/>
    <w:link w:val="2"/>
    <w:autoRedefine/>
    <w:qFormat/>
    <w:uiPriority w:val="0"/>
    <w:rPr>
      <w:rFonts w:hint="eastAsia" w:ascii="黑体" w:hAnsi="宋体" w:eastAsia="黑体" w:cs="黑体"/>
      <w:b/>
      <w:bCs/>
      <w:color w:val="000000"/>
      <w:kern w:val="44"/>
      <w:sz w:val="30"/>
      <w:szCs w:val="30"/>
    </w:rPr>
  </w:style>
  <w:style w:type="character" w:customStyle="1" w:styleId="88">
    <w:name w:val="文档结构图 Char"/>
    <w:basedOn w:val="26"/>
    <w:link w:val="7"/>
    <w:autoRedefine/>
    <w:qFormat/>
    <w:uiPriority w:val="0"/>
    <w:rPr>
      <w:rFonts w:hint="eastAsia" w:ascii="宋体" w:hAnsi="宋体" w:eastAsia="宋体" w:cs="宋体"/>
      <w:kern w:val="2"/>
      <w:sz w:val="18"/>
      <w:szCs w:val="18"/>
    </w:rPr>
  </w:style>
  <w:style w:type="character" w:customStyle="1" w:styleId="89">
    <w:name w:val="页眉 Char"/>
    <w:basedOn w:val="26"/>
    <w:link w:val="16"/>
    <w:autoRedefine/>
    <w:qFormat/>
    <w:uiPriority w:val="0"/>
    <w:rPr>
      <w:sz w:val="18"/>
    </w:rPr>
  </w:style>
  <w:style w:type="paragraph" w:customStyle="1" w:styleId="90">
    <w:name w:val="CM16"/>
    <w:autoRedefine/>
    <w:qFormat/>
    <w:uiPriority w:val="0"/>
    <w:pPr>
      <w:keepNext w:val="0"/>
      <w:keepLines w:val="0"/>
      <w:widowControl w:val="0"/>
      <w:suppressLineNumbers w:val="0"/>
      <w:autoSpaceDE w:val="0"/>
      <w:autoSpaceDN w:val="0"/>
      <w:adjustRightInd w:val="0"/>
      <w:spacing w:before="0" w:beforeAutospacing="0" w:after="243" w:afterAutospacing="0" w:line="312" w:lineRule="atLeast"/>
      <w:ind w:left="0" w:right="0" w:firstLine="200" w:firstLineChars="200"/>
      <w:jc w:val="both"/>
    </w:pPr>
    <w:rPr>
      <w:rFonts w:hint="eastAsia" w:ascii="宋体" w:hAnsi="宋体" w:eastAsia="宋体" w:cs="Times New Roman"/>
      <w:caps/>
      <w:color w:val="auto"/>
      <w:kern w:val="0"/>
      <w:sz w:val="24"/>
      <w:szCs w:val="24"/>
      <w:lang w:val="en-US" w:eastAsia="zh-CN" w:bidi="ar"/>
    </w:rPr>
  </w:style>
  <w:style w:type="character" w:customStyle="1" w:styleId="91">
    <w:name w:val="页脚 Char"/>
    <w:basedOn w:val="26"/>
    <w:link w:val="15"/>
    <w:autoRedefine/>
    <w:qFormat/>
    <w:uiPriority w:val="0"/>
    <w:rPr>
      <w:sz w:val="18"/>
    </w:rPr>
  </w:style>
  <w:style w:type="character" w:customStyle="1" w:styleId="92">
    <w:name w:val="msosubtleemphasis"/>
    <w:basedOn w:val="26"/>
    <w:autoRedefine/>
    <w:qFormat/>
    <w:uiPriority w:val="0"/>
    <w:rPr>
      <w:i/>
      <w:iCs/>
      <w:color w:val="404040"/>
    </w:rPr>
  </w:style>
  <w:style w:type="character" w:customStyle="1" w:styleId="93">
    <w:name w:val="批注框文本 Char"/>
    <w:basedOn w:val="26"/>
    <w:link w:val="14"/>
    <w:autoRedefine/>
    <w:qFormat/>
    <w:uiPriority w:val="0"/>
    <w:rPr>
      <w:sz w:val="18"/>
    </w:rPr>
  </w:style>
  <w:style w:type="character" w:customStyle="1" w:styleId="94">
    <w:name w:val="标题 2 Char"/>
    <w:basedOn w:val="26"/>
    <w:link w:val="3"/>
    <w:autoRedefine/>
    <w:qFormat/>
    <w:uiPriority w:val="0"/>
    <w:rPr>
      <w:rFonts w:hint="eastAsia" w:ascii="黑体" w:hAnsi="宋体" w:eastAsia="黑体" w:cs="黑体"/>
      <w:sz w:val="30"/>
    </w:rPr>
  </w:style>
  <w:style w:type="character" w:customStyle="1" w:styleId="95">
    <w:name w:val="正文缩进 Char"/>
    <w:basedOn w:val="26"/>
    <w:link w:val="6"/>
    <w:autoRedefine/>
    <w:qFormat/>
    <w:uiPriority w:val="0"/>
    <w:rPr>
      <w:kern w:val="2"/>
      <w:sz w:val="21"/>
    </w:rPr>
  </w:style>
  <w:style w:type="character" w:customStyle="1" w:styleId="96">
    <w:name w:val="批注主题 Char"/>
    <w:basedOn w:val="97"/>
    <w:link w:val="21"/>
    <w:autoRedefine/>
    <w:qFormat/>
    <w:uiPriority w:val="0"/>
    <w:rPr>
      <w:b/>
      <w:kern w:val="2"/>
      <w:sz w:val="24"/>
    </w:rPr>
  </w:style>
  <w:style w:type="character" w:customStyle="1" w:styleId="97">
    <w:name w:val="批注文字 Char"/>
    <w:basedOn w:val="26"/>
    <w:link w:val="8"/>
    <w:autoRedefine/>
    <w:qFormat/>
    <w:uiPriority w:val="0"/>
    <w:rPr>
      <w:sz w:val="24"/>
    </w:rPr>
  </w:style>
  <w:style w:type="paragraph" w:customStyle="1" w:styleId="98">
    <w:name w:val="Normal"/>
    <w:basedOn w:val="1"/>
    <w:autoRedefine/>
    <w:qFormat/>
    <w:uiPriority w:val="0"/>
    <w:pPr>
      <w:keepNext w:val="0"/>
      <w:keepLines w:val="0"/>
      <w:widowControl/>
      <w:suppressLineNumbers w:val="0"/>
      <w:spacing w:before="0" w:beforeAutospacing="0" w:after="0" w:afterAutospacing="0"/>
      <w:ind w:left="0" w:right="0"/>
      <w:jc w:val="both"/>
    </w:pPr>
    <w:rPr>
      <w:rFonts w:hint="default" w:ascii="Calibri" w:hAnsi="Calibri" w:eastAsia="宋体" w:cs="Calibri"/>
      <w:kern w:val="2"/>
      <w:sz w:val="21"/>
      <w:szCs w:val="21"/>
      <w:lang w:val="en-US" w:eastAsia="zh-CN" w:bidi="ar"/>
    </w:rPr>
  </w:style>
  <w:style w:type="paragraph" w:customStyle="1" w:styleId="99">
    <w:name w:val="样式 样式 四号 首行缩进:  1.1 厘米 + 首行缩进:  2 字符"/>
    <w:basedOn w:val="1"/>
    <w:autoRedefine/>
    <w:qFormat/>
    <w:uiPriority w:val="0"/>
    <w:pPr>
      <w:keepNext w:val="0"/>
      <w:keepLines w:val="0"/>
      <w:widowControl w:val="0"/>
      <w:suppressLineNumbers w:val="0"/>
      <w:spacing w:before="0" w:beforeAutospacing="0" w:after="0" w:afterAutospacing="0" w:line="360" w:lineRule="auto"/>
      <w:ind w:left="0" w:right="0" w:firstLine="200" w:firstLineChars="200"/>
      <w:jc w:val="both"/>
    </w:pPr>
    <w:rPr>
      <w:rFonts w:hint="default" w:ascii="Times New Roman" w:hAnsi="Times New Roman" w:eastAsia="宋体" w:cs="宋体"/>
      <w:kern w:val="2"/>
      <w:sz w:val="24"/>
      <w:szCs w:val="20"/>
      <w:lang w:val="en-US" w:eastAsia="zh-CN" w:bidi="ar"/>
    </w:rPr>
  </w:style>
  <w:style w:type="character" w:customStyle="1" w:styleId="100">
    <w:name w:val="NormalCharacter"/>
    <w:link w:val="101"/>
    <w:autoRedefine/>
    <w:qFormat/>
    <w:uiPriority w:val="0"/>
    <w:rPr>
      <w:rFonts w:ascii="宋体" w:hAnsi="宋体" w:eastAsia="楷体_GB2312" w:cstheme="minorBidi"/>
      <w:sz w:val="32"/>
      <w:szCs w:val="28"/>
    </w:rPr>
  </w:style>
  <w:style w:type="paragraph" w:customStyle="1" w:styleId="101">
    <w:name w:val="UserStyle_1"/>
    <w:basedOn w:val="1"/>
    <w:link w:val="100"/>
    <w:autoRedefine/>
    <w:qFormat/>
    <w:uiPriority w:val="0"/>
    <w:pPr>
      <w:widowControl/>
      <w:spacing w:line="240" w:lineRule="atLeast"/>
      <w:ind w:firstLine="200" w:firstLineChars="200"/>
    </w:pPr>
    <w:rPr>
      <w:rFonts w:ascii="宋体" w:hAnsi="宋体" w:eastAsia="楷体_GB2312" w:cstheme="minorBidi"/>
      <w:sz w:val="32"/>
      <w:szCs w:val="28"/>
    </w:rPr>
  </w:style>
  <w:style w:type="table" w:customStyle="1" w:styleId="102">
    <w:name w:val="Table Grid_0"/>
    <w:basedOn w:val="24"/>
    <w:autoRedefine/>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
    <w:name w:val="Table Normal"/>
    <w:autoRedefine/>
    <w:semiHidden/>
    <w:unhideWhenUsed/>
    <w:qFormat/>
    <w:uiPriority w:val="0"/>
    <w:tblPr>
      <w:tblCellMar>
        <w:top w:w="0" w:type="dxa"/>
        <w:left w:w="0" w:type="dxa"/>
        <w:bottom w:w="0" w:type="dxa"/>
        <w:right w:w="0" w:type="dxa"/>
      </w:tblCellMar>
    </w:tblPr>
  </w:style>
  <w:style w:type="paragraph" w:customStyle="1" w:styleId="104">
    <w:name w:val="00表格"/>
    <w:autoRedefine/>
    <w:qFormat/>
    <w:uiPriority w:val="0"/>
    <w:pPr>
      <w:spacing w:line="320" w:lineRule="exact"/>
      <w:jc w:val="center"/>
    </w:pPr>
    <w:rPr>
      <w:rFonts w:ascii="Calibri" w:hAnsi="Calibri" w:eastAsia="华文仿宋" w:cs="Times New Roman"/>
      <w:sz w:val="24"/>
    </w:rPr>
  </w:style>
  <w:style w:type="paragraph" w:customStyle="1" w:styleId="105">
    <w:name w:val="无间隔1"/>
    <w:autoRedefine/>
    <w:qFormat/>
    <w:uiPriority w:val="0"/>
    <w:pPr>
      <w:widowControl w:val="0"/>
      <w:jc w:val="center"/>
    </w:pPr>
    <w:rPr>
      <w:rFonts w:ascii="Calibri" w:hAnsi="Calibri" w:eastAsia="宋体" w:cs="Times New Roman"/>
      <w:kern w:val="2"/>
      <w:sz w:val="21"/>
      <w:szCs w:val="24"/>
      <w:lang w:val="en-US" w:eastAsia="zh-CN" w:bidi="ar-SA"/>
    </w:rPr>
  </w:style>
  <w:style w:type="paragraph" w:customStyle="1" w:styleId="106">
    <w:name w:val="正文-欣欣"/>
    <w:basedOn w:val="1"/>
    <w:next w:val="1"/>
    <w:autoRedefine/>
    <w:qFormat/>
    <w:uiPriority w:val="0"/>
    <w:pPr>
      <w:spacing w:line="360" w:lineRule="auto"/>
      <w:ind w:firstLine="480" w:firstLineChars="200"/>
    </w:pPr>
    <w:rPr>
      <w:bCs/>
      <w:sz w:val="24"/>
    </w:rPr>
  </w:style>
  <w:style w:type="paragraph" w:customStyle="1" w:styleId="107">
    <w:name w:val="表标题"/>
    <w:basedOn w:val="106"/>
    <w:autoRedefine/>
    <w:qFormat/>
    <w:uiPriority w:val="0"/>
    <w:pPr>
      <w:ind w:firstLine="482"/>
      <w:jc w:val="center"/>
    </w:pPr>
    <w:rPr>
      <w:rFonts w:hAnsi="宋体" w:eastAsia="仿宋_GB2312"/>
      <w:b/>
      <w:bCs w:val="0"/>
      <w:szCs w:val="30"/>
      <w:lang w:val="zh-CN"/>
    </w:rPr>
  </w:style>
  <w:style w:type="paragraph" w:customStyle="1" w:styleId="108">
    <w:name w:val="表头何昌泽"/>
    <w:basedOn w:val="109"/>
    <w:autoRedefine/>
    <w:qFormat/>
    <w:uiPriority w:val="0"/>
    <w:pPr>
      <w:widowControl/>
      <w:adjustRightInd w:val="0"/>
    </w:pPr>
    <w:rPr>
      <w:rFonts w:eastAsia="Times New Roman"/>
      <w:b/>
      <w:szCs w:val="21"/>
    </w:rPr>
  </w:style>
  <w:style w:type="paragraph" w:customStyle="1" w:styleId="109">
    <w:name w:val="1表格"/>
    <w:basedOn w:val="1"/>
    <w:autoRedefine/>
    <w:qFormat/>
    <w:uiPriority w:val="0"/>
    <w:pPr>
      <w:snapToGrid w:val="0"/>
      <w:spacing w:line="160" w:lineRule="atLeast"/>
      <w:jc w:val="center"/>
    </w:pPr>
    <w:rPr>
      <w:rFonts w:ascii="Calibri" w:hAnsi="Calibri" w:eastAsia="仿宋_GB2312" w:cs="Times New Roman"/>
      <w:szCs w:val="20"/>
    </w:rPr>
  </w:style>
  <w:style w:type="paragraph" w:customStyle="1" w:styleId="110">
    <w:name w:val="1、表内字"/>
    <w:basedOn w:val="1"/>
    <w:autoRedefine/>
    <w:qFormat/>
    <w:uiPriority w:val="0"/>
    <w:pPr>
      <w:jc w:val="center"/>
    </w:pPr>
    <w:rPr>
      <w:rFonts w:ascii="Calibri" w:hAnsi="Calibri" w:eastAsia="宋体" w:cs="Times New Roman"/>
      <w:color w:val="000000"/>
      <w:szCs w:val="21"/>
    </w:rPr>
  </w:style>
  <w:style w:type="paragraph" w:customStyle="1" w:styleId="111">
    <w:name w:val="【正文】"/>
    <w:basedOn w:val="1"/>
    <w:next w:val="1"/>
    <w:autoRedefine/>
    <w:qFormat/>
    <w:uiPriority w:val="99"/>
    <w:pPr>
      <w:adjustRightInd w:val="0"/>
      <w:snapToGrid w:val="0"/>
      <w:ind w:firstLine="480"/>
    </w:pPr>
    <w:rPr>
      <w:rFonts w:ascii="Calibri" w:hAnsi="Calibri" w:eastAsia="Times New Roman" w:cs="Times New Roman"/>
      <w:color w:val="0000CC"/>
      <w:szCs w:val="22"/>
    </w:rPr>
  </w:style>
  <w:style w:type="paragraph" w:customStyle="1" w:styleId="112">
    <w:name w:val="1-正文"/>
    <w:basedOn w:val="1"/>
    <w:autoRedefine/>
    <w:qFormat/>
    <w:uiPriority w:val="0"/>
    <w:pPr>
      <w:spacing w:after="60" w:line="360" w:lineRule="auto"/>
      <w:ind w:firstLine="200" w:firstLineChars="200"/>
    </w:pPr>
    <w:rPr>
      <w:kern w:val="0"/>
      <w:sz w:val="24"/>
      <w:szCs w:val="20"/>
    </w:rPr>
  </w:style>
  <w:style w:type="paragraph" w:customStyle="1" w:styleId="113">
    <w:name w:val="表头"/>
    <w:basedOn w:val="1"/>
    <w:autoRedefine/>
    <w:qFormat/>
    <w:uiPriority w:val="0"/>
    <w:pPr>
      <w:widowControl/>
      <w:tabs>
        <w:tab w:val="left" w:pos="1260"/>
      </w:tabs>
      <w:adjustRightInd w:val="0"/>
      <w:spacing w:beforeLines="20" w:afterLines="20" w:line="440" w:lineRule="exact"/>
      <w:jc w:val="center"/>
    </w:pPr>
    <w:rPr>
      <w:rFonts w:ascii="Arial" w:eastAsia="黑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2.emf"/><Relationship Id="rId3" Type="http://schemas.openxmlformats.org/officeDocument/2006/relationships/footer" Target="footer1.xml"/><Relationship Id="rId29" Type="http://schemas.openxmlformats.org/officeDocument/2006/relationships/oleObject" Target="embeddings/oleObject1.bin"/><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chemeClr val="tx1"/>
          </a:solidFill>
          <a:tailEnd type="arrow"/>
        </a:ln>
      </a:spPr>
      <a:bodyPr/>
      <a:lstStyle/>
      <a:style>
        <a:lnRef idx="2">
          <a:schemeClr val="accent1"/>
        </a:lnRef>
        <a:fillRef idx="0">
          <a:srgbClr val="FFFFFF"/>
        </a:fillRef>
        <a:effectRef idx="0">
          <a:srgbClr val="FFFFFF"/>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A49C04-E552-4290-9D3D-0022E1D4D2A5}">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109</Pages>
  <Words>65942</Words>
  <Characters>76648</Characters>
  <Lines>726</Lines>
  <Paragraphs>204</Paragraphs>
  <TotalTime>62</TotalTime>
  <ScaleCrop>false</ScaleCrop>
  <LinksUpToDate>false</LinksUpToDate>
  <CharactersWithSpaces>77067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2022-05-06T06:25:00Z</dcterms:created>
  <dc:creator>lhj</dc:creator>
  <cp:lastModifiedBy>idiot</cp:lastModifiedBy>
  <cp:lastPrinted>2022-04-27T06:23:00Z</cp:lastPrinted>
  <dcterms:modified xsi:type="dcterms:W3CDTF">2024-04-19T08:36:03Z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699A7B0117F74DBD99A9A7A06952A82B_12</vt:lpwstr>
  </property>
</Properties>
</file>